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RRES Press Release 24 April 2019 How </w:t>
      </w:r>
      <w:proofErr w:type="gramStart"/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>fungi</w:t>
      </w:r>
      <w:proofErr w:type="gramEnd"/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 Taste KHK</w:t>
      </w:r>
    </w:p>
    <w:p w:rsid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How fungi “taste” wheat could hold key in crop disease </w:t>
      </w:r>
      <w:proofErr w:type="gramStart"/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>fight :</w:t>
      </w:r>
      <w:proofErr w:type="gramEnd"/>
      <w:r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 exploring how the hazardous FHB-causing fungus senses its surroundings during infections could help scientists give it a good licking</w:t>
      </w:r>
    </w:p>
    <w:p w:rsid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</w:p>
    <w:p w:rsidR="00D343C6" w:rsidRP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New research carried out at Rothamsted has examined how fungal cell surface receptors, which are like the taste receptors on our tongues, help </w:t>
      </w:r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 xml:space="preserve">Fusarium </w:t>
      </w:r>
      <w:proofErr w:type="spellStart"/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>graminearum</w:t>
      </w:r>
      <w:proofErr w:type="spell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 monitor and adapt to its host plant during infection.</w:t>
      </w:r>
    </w:p>
    <w:p w:rsidR="00D343C6" w:rsidRP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The fungus is responsible for the world’s number one floral disease in cereals, Fusarium Head Blight (FHB), which attacks the grain and makes infected wheat dangerous to consume.</w:t>
      </w:r>
    </w:p>
    <w:p w:rsidR="00D343C6" w:rsidRP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Rothamsted Plant Pathologist, Professor Kim Hammond-</w:t>
      </w:r>
      <w:proofErr w:type="spellStart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Kosack</w:t>
      </w:r>
      <w:proofErr w:type="spell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, said that G-protein coupled receptors - which monitor the status of their wheat host and allow the fungi to mount an appropriate biological response - are promising targets for controlling this and other fungal diseases.</w:t>
      </w:r>
    </w:p>
    <w:p w:rsidR="00D343C6" w:rsidRP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“The options to control </w:t>
      </w:r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>Fusarium</w:t>
      </w: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 floral infections in cereal crops are very limited </w:t>
      </w:r>
      <w:proofErr w:type="gramStart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at the moment</w:t>
      </w:r>
      <w:proofErr w:type="gram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. This is causing growers and processors in the food and feed industries a tremendous headache, and why Rothamsted has been looking to apply our considerable expertise in crop diseases to this problem.</w:t>
      </w:r>
    </w:p>
    <w:p w:rsidR="00D343C6" w:rsidRP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“These results open up the possibility of devising novel ways to control FHB disease through either targeted drug development or by eliminating the signals these receptors perceive during a fungal attack.”</w:t>
      </w:r>
    </w:p>
    <w:p w:rsidR="00D343C6" w:rsidRP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In a series of experiments the scientific team demonstrated that </w:t>
      </w:r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 xml:space="preserve">F. </w:t>
      </w:r>
      <w:proofErr w:type="spellStart"/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>graminearum</w:t>
      </w: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’s</w:t>
      </w:r>
      <w:proofErr w:type="spell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 receptors are important in wheat infections. The team made a collection of fungal mutants lacking individual receptors and showed that the absence of one type of receptor, specific to fungi, allowed the wheat host to mount a stronger defence.</w:t>
      </w:r>
    </w:p>
    <w:p w:rsid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The team also showed that the removal of this receptor meant that the virulence on wheat was reduced, because various fungal processes required for infection were disrupted.</w:t>
      </w:r>
    </w:p>
    <w:p w:rsidR="00D343C6" w:rsidRP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A former Rothamsted Research scientist who led the study said we still know very little about fungal G-protein coupled receptors.</w:t>
      </w:r>
    </w:p>
    <w:p w:rsidR="00D343C6" w:rsidRPr="00D343C6" w:rsidRDefault="00D343C6" w:rsidP="00D343C6">
      <w:pPr>
        <w:spacing w:after="40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Dr Neil Brown, who is now a lecturer at the University of Bath’s Department of Biology &amp; Biochemistry, said: “G-protein coupled receptors have been studied extensively in humans, where around 40% of our pharmaceuticals target these human receptors, as they’re exposed on the cell surface, making them accessible to drugs, and they control important biological functions.</w:t>
      </w:r>
    </w:p>
    <w:p w:rsidR="00D343C6" w:rsidRPr="00D343C6" w:rsidRDefault="00D343C6" w:rsidP="00D343C6">
      <w:pPr>
        <w:spacing w:after="0" w:line="306" w:lineRule="atLeast"/>
        <w:textAlignment w:val="baseline"/>
        <w:rPr>
          <w:rFonts w:ascii="Arial" w:eastAsia="Times New Roman" w:hAnsi="Arial" w:cs="Arial"/>
          <w:color w:val="000000"/>
          <w:sz w:val="24"/>
          <w:szCs w:val="27"/>
          <w:lang w:eastAsia="en-GB"/>
        </w:rPr>
      </w:pPr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“Our results show that fungal receptors are important </w:t>
      </w:r>
      <w:proofErr w:type="spellStart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for</w:t>
      </w:r>
      <w:r w:rsidRPr="00D343C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>Fusarium</w:t>
      </w:r>
      <w:proofErr w:type="spell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 infection of wheat. By learning more about the structure and function of these fungal-specific receptors, and the compounds they detect, we may be able to develop </w:t>
      </w:r>
      <w:proofErr w:type="gramStart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new approaches</w:t>
      </w:r>
      <w:proofErr w:type="gram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 to control FHB and other plant pathogens.” UK outbreaks of FHB occur every few years, with the 2012 one leading to wheat crop losses of around 10%, whilst </w:t>
      </w:r>
      <w:proofErr w:type="gramStart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>In</w:t>
      </w:r>
      <w:proofErr w:type="gramEnd"/>
      <w:r w:rsidRPr="00D343C6">
        <w:rPr>
          <w:rFonts w:ascii="Arial" w:eastAsia="Times New Roman" w:hAnsi="Arial" w:cs="Arial"/>
          <w:color w:val="000000"/>
          <w:sz w:val="24"/>
          <w:szCs w:val="27"/>
          <w:lang w:eastAsia="en-GB"/>
        </w:rPr>
        <w:t xml:space="preserve"> other parts of the world such as the USA, Brazil and China, the disease causes severe crop losses and mycotoxin contamination problems for farmers at nearly every harvest.</w:t>
      </w:r>
    </w:p>
    <w:p w:rsidR="004702E2" w:rsidRPr="00D343C6" w:rsidRDefault="0003464A" w:rsidP="00D343C6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aps/>
          <w:color w:val="000000"/>
          <w:sz w:val="16"/>
          <w:szCs w:val="37"/>
          <w:lang w:eastAsia="en-GB"/>
        </w:rPr>
      </w:pPr>
      <w:hyperlink r:id="rId5" w:history="1">
        <w:r w:rsidR="00D343C6" w:rsidRPr="00D343C6">
          <w:rPr>
            <w:rFonts w:ascii="Arial" w:eastAsia="Times New Roman" w:hAnsi="Arial" w:cs="Arial"/>
            <w:caps/>
            <w:color w:val="0E6633"/>
            <w:sz w:val="16"/>
            <w:szCs w:val="37"/>
            <w:bdr w:val="none" w:sz="0" w:space="0" w:color="auto" w:frame="1"/>
            <w:lang w:eastAsia="en-GB"/>
          </w:rPr>
          <w:t>NON-CANONICAL FUNGAL G-PROTEIN COUPLED RECEPTORS PROMOTE FUSARIUM HEAD BLIGHT ON WHEAT</w:t>
        </w:r>
      </w:hyperlink>
      <w:r w:rsidR="00D343C6">
        <w:rPr>
          <w:rFonts w:ascii="Arial" w:eastAsia="Times New Roman" w:hAnsi="Arial" w:cs="Arial"/>
          <w:caps/>
          <w:color w:val="000000"/>
          <w:sz w:val="16"/>
          <w:szCs w:val="37"/>
          <w:lang w:eastAsia="en-GB"/>
        </w:rPr>
        <w:t xml:space="preserve"> PloS Pathogens 2019</w:t>
      </w:r>
    </w:p>
    <w:sectPr w:rsidR="004702E2" w:rsidRPr="00D343C6" w:rsidSect="00D34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75D1"/>
    <w:multiLevelType w:val="multilevel"/>
    <w:tmpl w:val="55B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96981"/>
    <w:multiLevelType w:val="multilevel"/>
    <w:tmpl w:val="951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6"/>
    <w:rsid w:val="004702E2"/>
    <w:rsid w:val="005661B6"/>
    <w:rsid w:val="00D343C6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3D3E-6084-43F1-8B70-411D932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1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D300"/>
                                                        <w:left w:val="single" w:sz="2" w:space="0" w:color="FFD300"/>
                                                        <w:bottom w:val="single" w:sz="2" w:space="0" w:color="FFD300"/>
                                                        <w:right w:val="single" w:sz="48" w:space="0" w:color="FFD3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2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1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951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4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371/journal.ppat.1007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Bartlett</dc:creator>
  <cp:keywords/>
  <dc:description/>
  <cp:lastModifiedBy>Vanessa Bartlett</cp:lastModifiedBy>
  <cp:revision>1</cp:revision>
  <dcterms:created xsi:type="dcterms:W3CDTF">2019-04-26T11:41:00Z</dcterms:created>
  <dcterms:modified xsi:type="dcterms:W3CDTF">2019-04-26T11:47:00Z</dcterms:modified>
</cp:coreProperties>
</file>