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ED95A" w14:textId="088AA977" w:rsidR="00DC3D8E" w:rsidRPr="00BD225D" w:rsidRDefault="00B639F1">
      <w:pPr>
        <w:rPr>
          <w:b/>
          <w:bCs/>
        </w:rPr>
      </w:pPr>
      <w:r w:rsidRPr="00BD225D">
        <w:rPr>
          <w:b/>
          <w:bCs/>
        </w:rPr>
        <w:t>The role of int</w:t>
      </w:r>
      <w:r w:rsidR="00BF0179">
        <w:rPr>
          <w:b/>
          <w:bCs/>
        </w:rPr>
        <w:t>er</w:t>
      </w:r>
      <w:r w:rsidRPr="00BD225D">
        <w:rPr>
          <w:b/>
          <w:bCs/>
        </w:rPr>
        <w:t xml:space="preserve">specific variability and herbicide pre-adaptation in the cinmethylin response of </w:t>
      </w:r>
      <w:r w:rsidRPr="00BD225D">
        <w:rPr>
          <w:b/>
          <w:bCs/>
          <w:i/>
          <w:iCs/>
        </w:rPr>
        <w:t>Alopecurus myosuroides</w:t>
      </w:r>
      <w:r w:rsidRPr="00BD225D">
        <w:rPr>
          <w:b/>
          <w:bCs/>
        </w:rPr>
        <w:t>.</w:t>
      </w:r>
    </w:p>
    <w:p w14:paraId="31EC59B2" w14:textId="6B828DFD" w:rsidR="00CE68A3" w:rsidRDefault="00CE68A3"/>
    <w:p w14:paraId="0A8E1A33" w14:textId="77777777" w:rsidR="0002406F" w:rsidRDefault="0002406F"/>
    <w:p w14:paraId="11606351" w14:textId="2B269C59" w:rsidR="00B639F1" w:rsidRPr="00CE68A3" w:rsidRDefault="00CE68A3" w:rsidP="00CE68A3">
      <w:pPr>
        <w:spacing w:line="360" w:lineRule="auto"/>
        <w:rPr>
          <w:b/>
          <w:u w:val="single"/>
        </w:rPr>
      </w:pPr>
      <w:r>
        <w:rPr>
          <w:b/>
          <w:u w:val="single"/>
        </w:rPr>
        <w:t>Authors:</w:t>
      </w:r>
    </w:p>
    <w:p w14:paraId="6714B247" w14:textId="69CDAFA2" w:rsidR="00CE68A3" w:rsidRPr="0093436E" w:rsidRDefault="00CE68A3">
      <w:r>
        <w:t>David Comont</w:t>
      </w:r>
      <w:r w:rsidRPr="00CE68A3">
        <w:rPr>
          <w:vertAlign w:val="superscript"/>
        </w:rPr>
        <w:t>1</w:t>
      </w:r>
      <w:r>
        <w:t>, Laura Crook</w:t>
      </w:r>
      <w:r w:rsidRPr="00CE68A3">
        <w:rPr>
          <w:vertAlign w:val="superscript"/>
        </w:rPr>
        <w:t>1</w:t>
      </w:r>
      <w:r>
        <w:t>, Richard Hull</w:t>
      </w:r>
      <w:r w:rsidRPr="00CE68A3">
        <w:rPr>
          <w:vertAlign w:val="superscript"/>
        </w:rPr>
        <w:t>1</w:t>
      </w:r>
      <w:r>
        <w:t xml:space="preserve">, </w:t>
      </w:r>
      <w:r w:rsidR="008D2BCF" w:rsidRPr="008D2BCF">
        <w:t>Bernd Sievernich</w:t>
      </w:r>
      <w:r w:rsidR="008D2BCF" w:rsidRPr="004B6BAD">
        <w:rPr>
          <w:vertAlign w:val="superscript"/>
        </w:rPr>
        <w:t>2</w:t>
      </w:r>
      <w:r w:rsidR="008D2BCF">
        <w:t xml:space="preserve">, </w:t>
      </w:r>
      <w:r w:rsidR="008D2BCF" w:rsidRPr="008D2BCF">
        <w:t>Stuart Kevis</w:t>
      </w:r>
      <w:r w:rsidR="008D2BCF" w:rsidRPr="004B6BAD">
        <w:rPr>
          <w:vertAlign w:val="superscript"/>
        </w:rPr>
        <w:t>3</w:t>
      </w:r>
      <w:r w:rsidR="008D2BCF">
        <w:t xml:space="preserve">, </w:t>
      </w:r>
      <w:r>
        <w:t>Paul Neve</w:t>
      </w:r>
      <w:r w:rsidRPr="00CE68A3">
        <w:rPr>
          <w:vertAlign w:val="superscript"/>
        </w:rPr>
        <w:t>1,</w:t>
      </w:r>
      <w:r w:rsidR="008D2BCF">
        <w:rPr>
          <w:vertAlign w:val="superscript"/>
        </w:rPr>
        <w:t>4</w:t>
      </w:r>
    </w:p>
    <w:p w14:paraId="45FDE518" w14:textId="384AB22B" w:rsidR="00CE68A3" w:rsidRDefault="00CE68A3"/>
    <w:p w14:paraId="20C85B0F" w14:textId="77777777" w:rsidR="00CE68A3" w:rsidRDefault="00CE68A3" w:rsidP="00CE68A3">
      <w:pPr>
        <w:spacing w:line="360" w:lineRule="auto"/>
      </w:pPr>
    </w:p>
    <w:p w14:paraId="415A0453" w14:textId="77777777" w:rsidR="00CE68A3" w:rsidRDefault="00CE68A3" w:rsidP="00CE68A3">
      <w:pPr>
        <w:spacing w:line="360" w:lineRule="auto"/>
        <w:rPr>
          <w:b/>
          <w:u w:val="single"/>
        </w:rPr>
      </w:pPr>
      <w:r>
        <w:rPr>
          <w:b/>
          <w:u w:val="single"/>
        </w:rPr>
        <w:t>Affiliations:</w:t>
      </w:r>
    </w:p>
    <w:p w14:paraId="3564AEA2" w14:textId="2907B85D" w:rsidR="00CE68A3" w:rsidRDefault="00CE68A3" w:rsidP="00CE68A3">
      <w:pPr>
        <w:spacing w:line="360" w:lineRule="auto"/>
      </w:pPr>
      <w:r w:rsidRPr="00713FFB">
        <w:t>1</w:t>
      </w:r>
      <w:r w:rsidR="008D2BCF">
        <w:t>.</w:t>
      </w:r>
      <w:r>
        <w:t xml:space="preserve"> </w:t>
      </w:r>
      <w:r w:rsidR="001820AA" w:rsidRPr="001820AA">
        <w:t xml:space="preserve">Department of </w:t>
      </w:r>
      <w:r w:rsidR="001820AA">
        <w:t>Protecting Crops and the Environment</w:t>
      </w:r>
      <w:r>
        <w:t>, Rothamsted Research, Harpenden, Hertfordshire, AL5 2JQ, UK</w:t>
      </w:r>
    </w:p>
    <w:p w14:paraId="488EE436" w14:textId="5CF2D3CB" w:rsidR="008D2BCF" w:rsidRDefault="008D2BCF" w:rsidP="00CE68A3">
      <w:pPr>
        <w:spacing w:line="360" w:lineRule="auto"/>
      </w:pPr>
      <w:r>
        <w:t xml:space="preserve">2. </w:t>
      </w:r>
      <w:r w:rsidRPr="008D2BCF">
        <w:t>BASF SE, Speyerer Strasse 2, 67117 Limburgerhof, Germany</w:t>
      </w:r>
    </w:p>
    <w:p w14:paraId="3BA6EFCE" w14:textId="64DCB720" w:rsidR="008D2BCF" w:rsidRDefault="008D2BCF" w:rsidP="00CE68A3">
      <w:pPr>
        <w:spacing w:line="360" w:lineRule="auto"/>
      </w:pPr>
      <w:r>
        <w:t xml:space="preserve">3. </w:t>
      </w:r>
      <w:r w:rsidRPr="008D2BCF">
        <w:t>BASF plc, 2 Stockport Exchange, Railway Road, Stockport, SK1 3GG, United Kingdom</w:t>
      </w:r>
    </w:p>
    <w:p w14:paraId="71D127FE" w14:textId="12D7CF1E" w:rsidR="00CE68A3" w:rsidRDefault="008D2BCF" w:rsidP="00CE68A3">
      <w:pPr>
        <w:spacing w:line="360" w:lineRule="auto"/>
      </w:pPr>
      <w:r>
        <w:t>4.</w:t>
      </w:r>
      <w:r w:rsidR="00CE68A3">
        <w:t xml:space="preserve"> Department of Plant and Environmental Sciences, Section for Crop Sciences, University of Copenhagen, Højbakkegård Allé 13, 2630 Taastrup, Denmark</w:t>
      </w:r>
    </w:p>
    <w:p w14:paraId="7FF8266B" w14:textId="77777777" w:rsidR="00CE68A3" w:rsidRDefault="00CE68A3" w:rsidP="00CE68A3">
      <w:pPr>
        <w:spacing w:line="360" w:lineRule="auto"/>
        <w:rPr>
          <w:rFonts w:eastAsia="Arial"/>
        </w:rPr>
      </w:pPr>
    </w:p>
    <w:p w14:paraId="6DE6CD7B" w14:textId="77777777" w:rsidR="00CE68A3" w:rsidRPr="000C3B71" w:rsidRDefault="00CE68A3" w:rsidP="00CE68A3">
      <w:pPr>
        <w:spacing w:line="360" w:lineRule="auto"/>
      </w:pPr>
      <w:r w:rsidRPr="000C3B71">
        <w:rPr>
          <w:rFonts w:eastAsia="Arial"/>
        </w:rPr>
        <w:t>* For correspondence: david.comont@rothamsted.ac.uk</w:t>
      </w:r>
    </w:p>
    <w:p w14:paraId="6D5D1DEE" w14:textId="02524634" w:rsidR="00BD225D" w:rsidRDefault="00BD225D" w:rsidP="00BD225D">
      <w:pPr>
        <w:spacing w:after="0" w:line="360" w:lineRule="auto"/>
      </w:pPr>
      <w:r>
        <w:tab/>
      </w:r>
    </w:p>
    <w:p w14:paraId="28521877" w14:textId="77777777" w:rsidR="00BD225D" w:rsidRDefault="00BD225D" w:rsidP="00BD225D">
      <w:pPr>
        <w:spacing w:line="360" w:lineRule="auto"/>
      </w:pPr>
    </w:p>
    <w:p w14:paraId="7081615F" w14:textId="77777777" w:rsidR="00BD225D" w:rsidRDefault="00BD225D" w:rsidP="00BD225D">
      <w:pPr>
        <w:spacing w:line="360" w:lineRule="auto"/>
      </w:pPr>
    </w:p>
    <w:p w14:paraId="2E81790B" w14:textId="77777777" w:rsidR="00BD225D" w:rsidRDefault="00BD225D" w:rsidP="00BD225D">
      <w:pPr>
        <w:spacing w:line="360" w:lineRule="auto"/>
        <w:rPr>
          <w:b/>
          <w:u w:val="single"/>
        </w:rPr>
      </w:pPr>
      <w:r>
        <w:rPr>
          <w:b/>
          <w:u w:val="single"/>
        </w:rPr>
        <w:t>Keywords:</w:t>
      </w:r>
    </w:p>
    <w:p w14:paraId="643886C7" w14:textId="22F2C2F3" w:rsidR="003C3008" w:rsidRDefault="00BE1640">
      <w:r>
        <w:t>cinmethylin</w:t>
      </w:r>
      <w:r w:rsidR="00BD225D">
        <w:t>, int</w:t>
      </w:r>
      <w:r w:rsidR="00395374">
        <w:t>er-</w:t>
      </w:r>
      <w:r w:rsidR="00BD225D">
        <w:t>population variability, herbicide resistance</w:t>
      </w:r>
    </w:p>
    <w:p w14:paraId="0D539CD5" w14:textId="5BB44802" w:rsidR="003C3008" w:rsidRDefault="003C3008">
      <w:r>
        <w:br w:type="page"/>
      </w:r>
    </w:p>
    <w:p w14:paraId="0FC482BD" w14:textId="7E933A3C" w:rsidR="00D20569" w:rsidRDefault="003C3008" w:rsidP="00B56E00">
      <w:pPr>
        <w:spacing w:line="360" w:lineRule="auto"/>
        <w:rPr>
          <w:b/>
          <w:bCs/>
        </w:rPr>
      </w:pPr>
      <w:r w:rsidRPr="003C3008">
        <w:rPr>
          <w:b/>
          <w:bCs/>
        </w:rPr>
        <w:lastRenderedPageBreak/>
        <w:t>Abstract:</w:t>
      </w:r>
    </w:p>
    <w:p w14:paraId="56E81F28" w14:textId="439BDF70" w:rsidR="0093217E" w:rsidRDefault="0093217E" w:rsidP="00B56E00">
      <w:pPr>
        <w:spacing w:line="360" w:lineRule="auto"/>
      </w:pPr>
      <w:r>
        <w:t xml:space="preserve">BACKGROUND: </w:t>
      </w:r>
      <w:r w:rsidR="00D20569" w:rsidRPr="00D20569">
        <w:t>Cinmethylin</w:t>
      </w:r>
      <w:r w:rsidR="00D20569">
        <w:t xml:space="preserve"> is an inhibitor of plant fatty acid biosynthesis, with </w:t>
      </w:r>
      <w:r w:rsidR="00812801">
        <w:t xml:space="preserve">in-plant </w:t>
      </w:r>
      <w:r w:rsidR="00D20569">
        <w:t xml:space="preserve">activity caused by its binding to </w:t>
      </w:r>
      <w:r w:rsidR="00D20569" w:rsidRPr="00146BE4">
        <w:t>fatty acid thioesterase</w:t>
      </w:r>
      <w:r w:rsidR="00D20569">
        <w:t>s</w:t>
      </w:r>
      <w:r w:rsidR="00D20569" w:rsidRPr="00146BE4">
        <w:t xml:space="preserve"> (FAT)</w:t>
      </w:r>
      <w:r w:rsidR="00D20569">
        <w:t xml:space="preserve">. </w:t>
      </w:r>
      <w:r w:rsidR="00214F17">
        <w:t xml:space="preserve">The </w:t>
      </w:r>
      <w:r w:rsidR="00D20569">
        <w:t xml:space="preserve">recent registration </w:t>
      </w:r>
      <w:r w:rsidR="00214F17">
        <w:t xml:space="preserve">of cinmethylin </w:t>
      </w:r>
      <w:r w:rsidR="00D20569">
        <w:t>for pre-emergence herbicidal use in the UK represents a new mode of action (MOA) for control of the grassweed blackgrass (</w:t>
      </w:r>
      <w:r w:rsidR="00D20569" w:rsidRPr="00D20569">
        <w:rPr>
          <w:i/>
          <w:iCs/>
        </w:rPr>
        <w:t>Alopecurus myosuroides</w:t>
      </w:r>
      <w:r w:rsidR="00D20569">
        <w:t xml:space="preserve">). </w:t>
      </w:r>
      <w:r w:rsidR="00214F17">
        <w:t>T</w:t>
      </w:r>
      <w:r w:rsidR="00D20569">
        <w:t>o date there is little published information on the extent of blackgrass</w:t>
      </w:r>
      <w:r w:rsidR="00FE6288">
        <w:t>’</w:t>
      </w:r>
      <w:r w:rsidR="00D20569">
        <w:t xml:space="preserve"> inter</w:t>
      </w:r>
      <w:r w:rsidR="00671586">
        <w:t>-</w:t>
      </w:r>
      <w:r w:rsidR="00D20569">
        <w:t xml:space="preserve">population variability in sensitivity to cinmethylin, </w:t>
      </w:r>
      <w:r w:rsidR="00214F17">
        <w:t>n</w:t>
      </w:r>
      <w:r w:rsidR="00D20569">
        <w:t xml:space="preserve">or on </w:t>
      </w:r>
      <w:r w:rsidR="00FE6288">
        <w:t>any potential</w:t>
      </w:r>
      <w:r w:rsidR="00D20569">
        <w:t xml:space="preserve"> </w:t>
      </w:r>
      <w:r w:rsidR="00812801">
        <w:t>effect</w:t>
      </w:r>
      <w:r w:rsidR="00D20569">
        <w:t xml:space="preserve"> of existing non-target-site resistance (NTSR) mechanisms on cinmethylin efficacy. </w:t>
      </w:r>
    </w:p>
    <w:p w14:paraId="4009F9C5" w14:textId="35E7B97C" w:rsidR="0093217E" w:rsidRDefault="0093217E" w:rsidP="00B56E00">
      <w:pPr>
        <w:spacing w:line="360" w:lineRule="auto"/>
      </w:pPr>
      <w:r>
        <w:t xml:space="preserve">RESULTS: </w:t>
      </w:r>
      <w:r w:rsidR="00812801">
        <w:t xml:space="preserve">Here we present a study of variability in cinmethylin sensitivity </w:t>
      </w:r>
      <w:r w:rsidR="00214F17">
        <w:t xml:space="preserve">amongst </w:t>
      </w:r>
      <w:r w:rsidR="00812801">
        <w:t>97 UK blackgrass populations. We demonstrate that under controlled conditions, a UK field-rate dose of 500 g ha</w:t>
      </w:r>
      <w:r w:rsidR="00812801" w:rsidRPr="00812801">
        <w:rPr>
          <w:vertAlign w:val="superscript"/>
        </w:rPr>
        <w:t>-1</w:t>
      </w:r>
      <w:r w:rsidR="00812801">
        <w:t xml:space="preserve"> provides effective control of </w:t>
      </w:r>
      <w:r w:rsidR="007A661A">
        <w:t>the tested</w:t>
      </w:r>
      <w:r w:rsidR="00812801">
        <w:t xml:space="preserve"> populations. Nevertheless, we reveal significant inter-population variability at doses below this rate, with populations previously characterised as strongly NTSR displaying the lowest sensitivity to cinmethylin. </w:t>
      </w:r>
      <w:r w:rsidR="00F314E7">
        <w:t xml:space="preserve">Assessment of paired resistant “R” and sensitive “S” lines from standardised genetic backgrounds confirms that selection for NTSR to the </w:t>
      </w:r>
      <w:r w:rsidR="00214F17">
        <w:t>a</w:t>
      </w:r>
      <w:r w:rsidR="00F314E7">
        <w:t>cetyl-CoA-</w:t>
      </w:r>
      <w:r w:rsidR="00214F17">
        <w:t>c</w:t>
      </w:r>
      <w:r w:rsidR="00F314E7">
        <w:t>arboxylase inhibitor fenoxaprop, and the m</w:t>
      </w:r>
      <w:r w:rsidR="00F314E7" w:rsidRPr="00F314E7">
        <w:t>icrotubule assembly</w:t>
      </w:r>
      <w:r w:rsidR="00F314E7">
        <w:t xml:space="preserve"> inhibitor pendimethalin, simultaneously results in reduced sensitivity to cinmethylin</w:t>
      </w:r>
      <w:r w:rsidR="0020348C">
        <w:t xml:space="preserve"> </w:t>
      </w:r>
      <w:r w:rsidR="00214F17">
        <w:t xml:space="preserve">at doses </w:t>
      </w:r>
      <w:r w:rsidR="0020348C">
        <w:t xml:space="preserve">below </w:t>
      </w:r>
      <w:r w:rsidR="00427323">
        <w:t>500</w:t>
      </w:r>
      <w:r w:rsidR="0020348C">
        <w:t xml:space="preserve"> g ha</w:t>
      </w:r>
      <w:r w:rsidR="0020348C" w:rsidRPr="00812801">
        <w:rPr>
          <w:vertAlign w:val="superscript"/>
        </w:rPr>
        <w:t>-1</w:t>
      </w:r>
      <w:r w:rsidR="00F314E7">
        <w:t xml:space="preserve">. Whilst </w:t>
      </w:r>
      <w:r w:rsidR="007A661A">
        <w:t>we find no</w:t>
      </w:r>
      <w:r w:rsidR="00F314E7">
        <w:t xml:space="preserve"> resistance to </w:t>
      </w:r>
      <w:r w:rsidR="0020348C">
        <w:t xml:space="preserve">the </w:t>
      </w:r>
      <w:r w:rsidR="00F314E7">
        <w:t xml:space="preserve">field-rate dose, we reveal that cinmethylin sensitivity can be further reduced through experimental </w:t>
      </w:r>
      <w:r w:rsidR="00214F17">
        <w:t xml:space="preserve">selection with </w:t>
      </w:r>
      <w:r w:rsidR="00060C0B">
        <w:t>cinmethylin</w:t>
      </w:r>
      <w:r w:rsidR="00F314E7">
        <w:t xml:space="preserve">. </w:t>
      </w:r>
    </w:p>
    <w:p w14:paraId="09423417" w14:textId="28F47B10" w:rsidR="00146BE4" w:rsidRDefault="0093217E" w:rsidP="00B56E00">
      <w:pPr>
        <w:spacing w:line="360" w:lineRule="auto"/>
      </w:pPr>
      <w:r>
        <w:t xml:space="preserve">CONCLUSION: </w:t>
      </w:r>
      <w:r w:rsidR="00F314E7">
        <w:t>Cinmethylin therefore represents a</w:t>
      </w:r>
      <w:r>
        <w:t xml:space="preserve"> much-needed</w:t>
      </w:r>
      <w:r w:rsidR="00F314E7">
        <w:t xml:space="preserve"> </w:t>
      </w:r>
      <w:r w:rsidR="004B6BAD">
        <w:t xml:space="preserve">further </w:t>
      </w:r>
      <w:r w:rsidR="00F314E7">
        <w:t xml:space="preserve">MOA for blackgrass </w:t>
      </w:r>
      <w:r w:rsidR="0020348C">
        <w:t>control</w:t>
      </w:r>
      <w:r w:rsidR="004B6BAD">
        <w:t>,</w:t>
      </w:r>
      <w:r w:rsidR="0020348C">
        <w:t xml:space="preserve"> but</w:t>
      </w:r>
      <w:r w:rsidR="00F314E7">
        <w:t xml:space="preserve"> needs to be carefully managed within a resistance monitoring and integrated weed management (IWM) framework to maximise the effective longevity of this compound.</w:t>
      </w:r>
      <w:r w:rsidR="00146BE4">
        <w:br w:type="page"/>
      </w:r>
    </w:p>
    <w:p w14:paraId="26B8DE08" w14:textId="1C371C37" w:rsidR="00377492" w:rsidRPr="00146BE4" w:rsidRDefault="00377492" w:rsidP="00B56E00">
      <w:pPr>
        <w:spacing w:line="360" w:lineRule="auto"/>
        <w:rPr>
          <w:b/>
          <w:bCs/>
          <w:u w:val="single"/>
        </w:rPr>
      </w:pPr>
      <w:r w:rsidRPr="00146BE4">
        <w:rPr>
          <w:b/>
          <w:bCs/>
          <w:u w:val="single"/>
        </w:rPr>
        <w:lastRenderedPageBreak/>
        <w:t>Introduction:</w:t>
      </w:r>
    </w:p>
    <w:p w14:paraId="668C3F77" w14:textId="45C905F4" w:rsidR="00323768" w:rsidRDefault="006B5A2B" w:rsidP="00B56E00">
      <w:pPr>
        <w:spacing w:line="360" w:lineRule="auto"/>
      </w:pPr>
      <w:r>
        <w:t xml:space="preserve">Herbicides represent a mainstay of agricultural weed control, and productivity in many agricultural systems globally is predicated on the effective use of herbicide products. Nevertheless, the widespread, rapid, and repeated evolution of herbicide resistance has compromised the efficacy of a vast range of </w:t>
      </w:r>
      <w:r w:rsidR="00214F17">
        <w:t xml:space="preserve">herbicide </w:t>
      </w:r>
      <w:r>
        <w:t>active</w:t>
      </w:r>
      <w:r w:rsidR="00214F17">
        <w:t xml:space="preserve"> ingredients</w:t>
      </w:r>
      <w:r>
        <w:t xml:space="preserve">. To date, </w:t>
      </w:r>
      <w:r w:rsidR="00810A39">
        <w:t>267</w:t>
      </w:r>
      <w:r>
        <w:t xml:space="preserve"> species have been reported with evolved resistance to </w:t>
      </w:r>
      <w:r w:rsidR="00810A39">
        <w:t>21</w:t>
      </w:r>
      <w:r>
        <w:t xml:space="preserve"> herbicidal </w:t>
      </w:r>
      <w:r w:rsidR="00214F17">
        <w:t>m</w:t>
      </w:r>
      <w:r>
        <w:t>odes-of-</w:t>
      </w:r>
      <w:r w:rsidR="00214F17">
        <w:t>a</w:t>
      </w:r>
      <w:r>
        <w:t>ction (MOAs)</w:t>
      </w:r>
      <w:r w:rsidR="00810A39">
        <w:t xml:space="preserve"> </w:t>
      </w:r>
      <w:r w:rsidR="001B5704">
        <w:fldChar w:fldCharType="begin" w:fldLock="1"/>
      </w:r>
      <w:r w:rsidR="00DF0B67">
        <w:instrText>ADDIN CSL_CITATION {"citationItems":[{"id":"ITEM-1","itemData":{"URL":"www.weedscience.org","accessed":{"date-parts":[["2022","9","22"]]},"author":[{"dropping-particle":"","family":"Heap","given":"Ian","non-dropping-particle":"","parse-names":false,"suffix":""}],"id":"ITEM-1","issued":{"date-parts":[["0"]]},"title":"The International Herbicide-Resistant Weed Database","type":"webpage"},"uris":["http://www.mendeley.com/documents/?uuid=16f5a568-6834-4ffb-be3f-ff4c3b87b2c1"]}],"mendeley":{"formattedCitation":"&lt;sup&gt;1&lt;/sup&gt;","plainTextFormattedCitation":"1","previouslyFormattedCitation":"&lt;sup&gt;1&lt;/sup&gt;"},"properties":{"noteIndex":0},"schema":"https://github.com/citation-style-language/schema/raw/master/csl-citation.json"}</w:instrText>
      </w:r>
      <w:r w:rsidR="001B5704">
        <w:fldChar w:fldCharType="separate"/>
      </w:r>
      <w:r w:rsidR="00085D8D" w:rsidRPr="00085D8D">
        <w:rPr>
          <w:noProof/>
          <w:vertAlign w:val="superscript"/>
        </w:rPr>
        <w:t>1</w:t>
      </w:r>
      <w:r w:rsidR="001B5704">
        <w:fldChar w:fldCharType="end"/>
      </w:r>
      <w:r>
        <w:t>. Exacerbating this issue, herbicide discovery has failed to keep pace with the evolution of resistance, with no ‘new’ herbicide MOAs introduced for approximately 30 years</w:t>
      </w:r>
      <w:r w:rsidR="008F5905">
        <w:t>,</w:t>
      </w:r>
      <w:r>
        <w:t xml:space="preserve"> following </w:t>
      </w:r>
      <w:r w:rsidR="002621DC">
        <w:t>the</w:t>
      </w:r>
      <w:r w:rsidR="008F5905">
        <w:t>ir</w:t>
      </w:r>
      <w:r w:rsidR="002621DC">
        <w:t xml:space="preserve"> relatively regular introduction</w:t>
      </w:r>
      <w:r w:rsidR="008F5905">
        <w:t xml:space="preserve"> </w:t>
      </w:r>
      <w:r w:rsidR="002621DC">
        <w:t xml:space="preserve">over the 1970s and 80s </w:t>
      </w:r>
      <w:r w:rsidR="005F553F">
        <w:fldChar w:fldCharType="begin" w:fldLock="1"/>
      </w:r>
      <w:r w:rsidR="00DF0B67">
        <w:instrText>ADDIN CSL_CITATION {"citationItems":[{"id":"ITEM-1","itemData":{"DOI":"10.1002/PS.2333","ISSN":"1526498X","PMID":"22190296","abstract":"Herbicides with new modes of action are badly needed to manage the evolution of resistance of weeds to existing herbicides. Yet no major new mode of action has been introduced to the market place for about 20 years. There are probably several reasons for this. New potential products may have remained dormant owing to concerns that glyphosate-resistant (GR) crops have reduced the market for a new herbicide. The capture of a large fraction of the herbicide market by glyphosate with GR crops led to significantly diminished herbicide discovery efforts. Some of the reduced herbicide discovery research was also due to company consolidations and the availability of more generic herbicides. Another problem might be that the best herbicide molecular target sites may have already been discovered. However, target sites that are not utilized, for which there are inhibitors that are highly effective at killing plants, suggests that this is not true. Results of modern methods of target site discovery (e.g. gene knockout methods) are mostly not public, but there is no evidence of good herbicides with new target sites coming from these approaches. In summary, there are several reasons for a long dry period for new herbicide target sites; however, the relative magnitude of each is unclear. The economic stimulus to the herbicide industry caused by the evolution of herbicide-resistant weeds, especially GR weeds, may result in one or more new modes of action becoming available in the not too distant future. © 2011 Society of Chemical Industry.","author":[{"dropping-particle":"","family":"Duke","given":"Stephen O.","non-dropping-particle":"","parse-names":false,"suffix":""}],"container-title":"Pest Management Science","id":"ITEM-1","issue":"4","issued":{"date-parts":[["2012","4"]]},"page":"505-512","title":"Why have no new herbicide modes of action appeared in recent years?","type":"article-journal","volume":"68"},"uris":["http://www.mendeley.com/documents/?uuid=4cbad7e5-a90d-3e19-a246-e572dacdea10"]}],"mendeley":{"formattedCitation":"&lt;sup&gt;2&lt;/sup&gt;","plainTextFormattedCitation":"2","previouslyFormattedCitation":"&lt;sup&gt;2&lt;/sup&gt;"},"properties":{"noteIndex":0},"schema":"https://github.com/citation-style-language/schema/raw/master/csl-citation.json"}</w:instrText>
      </w:r>
      <w:r w:rsidR="005F553F">
        <w:fldChar w:fldCharType="separate"/>
      </w:r>
      <w:r w:rsidR="00085D8D" w:rsidRPr="00085D8D">
        <w:rPr>
          <w:noProof/>
          <w:vertAlign w:val="superscript"/>
        </w:rPr>
        <w:t>2</w:t>
      </w:r>
      <w:r w:rsidR="005F553F">
        <w:fldChar w:fldCharType="end"/>
      </w:r>
      <w:r>
        <w:t xml:space="preserve">. Recently however, </w:t>
      </w:r>
      <w:r w:rsidR="007E75BF">
        <w:t xml:space="preserve">the </w:t>
      </w:r>
      <w:r>
        <w:t xml:space="preserve">site of action have been </w:t>
      </w:r>
      <w:r w:rsidR="007E75BF">
        <w:t>discovered for a range of herbicidal actives</w:t>
      </w:r>
      <w:r>
        <w:t xml:space="preserve">, including </w:t>
      </w:r>
      <w:r w:rsidRPr="00BC678E">
        <w:t>inhibition of fatty acid thioesterase</w:t>
      </w:r>
      <w:r>
        <w:t xml:space="preserve"> (HRAC group 30), </w:t>
      </w:r>
      <w:r w:rsidRPr="00BC678E">
        <w:t>inhibition of serine threonine protein phosphatase</w:t>
      </w:r>
      <w:r>
        <w:t xml:space="preserve"> (</w:t>
      </w:r>
      <w:r w:rsidR="00194B4A">
        <w:t xml:space="preserve">HRAC </w:t>
      </w:r>
      <w:r>
        <w:t xml:space="preserve">group 31), and </w:t>
      </w:r>
      <w:r w:rsidRPr="00BC678E">
        <w:t>inhibition of solanesyl diphosphate synthase</w:t>
      </w:r>
      <w:r>
        <w:t xml:space="preserve"> (</w:t>
      </w:r>
      <w:r w:rsidR="00194B4A">
        <w:t xml:space="preserve">HRAC </w:t>
      </w:r>
      <w:r>
        <w:t>group 32),</w:t>
      </w:r>
      <w:r w:rsidR="005F553F">
        <w:t xml:space="preserve"> </w:t>
      </w:r>
      <w:r w:rsidR="005F553F">
        <w:fldChar w:fldCharType="begin" w:fldLock="1"/>
      </w:r>
      <w:r w:rsidR="00DF0B67">
        <w:instrText>ADDIN CSL_CITATION {"citationItems":[{"id":"ITEM-1","itemData":{"DOI":"10.1016/j.pestbp.2018.04.006","ISSN":"10959939","PMID":"29891362","abstract":"The prevalent occurrence of herbicide resistant weeds increases the necessity for new site of action herbicides for effective control as well as to relax selection pressure on the known sites of action. As a consequence, interest increased in the unexploited molecule cinmethylin as a new solution for the control of weedy grasses in cereals. Therefore, the mechanism of action of cinmethylin was reevaluated. We applied the chemoproteomic approach cellular Target Profiling™ from Evotec to identify the cinmethylin target in Lemna paucicostata protein extracts. We found three potential targets belonging to the same protein family of fatty acid thioesterases (FAT) to bind to cinmethylin with high affinity. Binding of cinmethylin to FAT proteins from Lemna and Arabidopsis was confirmed by fluorescence-based thermal shift assay. The plastid localized enzyme FAT plays a crucial role in plant lipid biosynthesis, by mediating the release of fatty acids (FA) from its acyl carrier protein (ACP) which is necessary for FA export to the endoplasmic reticulum. GC–MS analysis of free FA composition in Lemna extracts revealed strong reduction of unsaturated C18 as well as saturated C14, and C16 FAs upon treatment with cinmethylin, indicating that FA release for subsequent lipid biosynthesis is the primary target of cinmethylin. Lipid biosynthesis is a prominent target of different herbicide classes. To assess whether FAT inhibition constitutes a new mechanism of action within this complex pathway, we compared physiological effects of cinmethylin to different ACCase and VLCFA synthesis inhibitors and identified characteristic differences in plant symptomology and free FA composition upon treatment with the three herbicide classes. Also, principal component analysis of total metabolic profiling of treated Lemna plants showed strong differences in overall metabolic changes after cinmethylin, ACCase or VLCFA inhibitor treatments. Our results identified and confirmed FAT as the cinmethylin target and validate FAT inhibition as a new site of action different from other lipid biosynthesis inhibitor classes.","author":[{"dropping-particle":"","family":"Campe","given":"Ruth","non-dropping-particle":"","parse-names":false,"suffix":""},{"dropping-particle":"","family":"Hollenbach","given":"Eva","non-dropping-particle":"","parse-names":false,"suffix":""},{"dropping-particle":"","family":"Kämmerer","given":"Lara","non-dropping-particle":"","parse-names":false,"suffix":""},{"dropping-particle":"","family":"Hendriks","given":"Janneke","non-dropping-particle":"","parse-names":false,"suffix":""},{"dropping-particle":"","family":"Höffken","given":"Hans Wolfgang","non-dropping-particle":"","parse-names":false,"suffix":""},{"dropping-particle":"","family":"Kraus","given":"Helmut","non-dropping-particle":"","parse-names":false,"suffix":""},{"dropping-particle":"","family":"Lerchl","given":"Jens","non-dropping-particle":"","parse-names":false,"suffix":""},{"dropping-particle":"","family":"Mietzner","given":"Thomas","non-dropping-particle":"","parse-names":false,"suffix":""},{"dropping-particle":"","family":"Tresch","given":"Stefan","non-dropping-particle":"","parse-names":false,"suffix":""},{"dropping-particle":"","family":"Witschel","given":"Matthias","non-dropping-particle":"","parse-names":false,"suffix":""},{"dropping-particle":"","family":"Hutzler","given":"Johannes","non-dropping-particle":"","parse-names":false,"suffix":""}],"container-title":"Pesticide Biochemistry and Physiology","id":"ITEM-1","issued":{"date-parts":[["2018","6","1"]]},"page":"116-125","publisher":"Academic Press","title":"A new herbicidal site of action: Cinmethylin binds to acyl-ACP thioesterase and inhibits plant fatty acid biosynthesis","type":"article-journal","volume":"148"},"uris":["http://www.mendeley.com/documents/?uuid=b54e0bfd-a5e2-3ead-a2e6-63baa214124c"]},{"id":"ITEM-2","itemData":{"DOI":"10.1016/j.pestbp.2011.10.007","ISSN":"00483575","abstract":"Endothall, an older commercial herbicide, and cantharidin, a natural product from the blister beetle (Epicauta spp.), are close chemical analogues. A comparison of the effect of endothall and cantharidin on plants revealed a similarity in their level of phytotoxicity on both Arabidopsis thaliana and Lemna paucicostata. Cantharidin is a potent inhibitor of animal serine/threonine protein phosphatases. Protein phosphatases and kinases maintain a sensitive balance between phosphorylated and dephosphorylated forms of proteins playing important roles in signal transduction pathways. In this study, we found endothall and cantharidin to both completely inhibit plant serine/threonine protein phosphatases, and their relative inhibitory activities were similar to their relative phytotoxicities. Both compounds acted as slow, irreversible inactivators of the serine/threonine protein phosphatase activities. Transcription of several genes determined to be affected by the inhibition of these protein phosphatases by cantharidin in A. thaliana by transcriptome analyses were affected similarly by endothall, but in a more pronounced way. Therefore, the molecular target site of endothall in plants is similar to that of cantharidin in animals, namely, serine/threonine protein phosphatases responsible for regulating an array of biochemical processes. This mode of action is unlike any other commercial herbicide. © 2011.","author":[{"dropping-particle":"","family":"Bajsa","given":"Joanna","non-dropping-particle":"","parse-names":false,"suffix":""},{"dropping-particle":"","family":"Pan","given":"Zhiqiang","non-dropping-particle":"","parse-names":false,"suffix":""},{"dropping-particle":"","family":"Dayan","given":"Franck E.","non-dropping-particle":"","parse-names":false,"suffix":""},{"dropping-particle":"","family":"Owens","given":"Daniel K.","non-dropping-particle":"","parse-names":false,"suffix":""},{"dropping-particle":"","family":"Duke","given":"Stephen O.","non-dropping-particle":"","parse-names":false,"suffix":""}],"container-title":"Pesticide Biochemistry and Physiology","id":"ITEM-2","issue":"1","issued":{"date-parts":[["2012","1","1"]]},"page":"38-44","publisher":"Academic Press","title":"Validation of serine/threonine protein phosphatase as the herbicide target site of endothall","type":"article-journal","volume":"102"},"uris":["http://www.mendeley.com/documents/?uuid=75699b31-394e-3844-9fb8-bd6dab39255d"]},{"id":"ITEM-3","itemData":{"DOI":"10.1002/ps.5781","ISSN":"15264998","PMID":"32034864","abstract":"BACKGROUND: Aclonifen is a unique diphenyl ether herbicide. Despite its structural similarities to known inhibitors of the protoporphyrinogen oxidase (e.g. acifluorfen, bifenox or oxadiazon), which result in leaf necrosis, aclonifen causes a different phenotype that is described as bleaching. This also is reflected by the Herbicide Resistance Action Committee (HRAC) classification that categorizes aclonifen as an inhibitor of pigment biosynthesis with an unknown target. RESULTS: A comprehensive Arabidopsis thaliana RNAseq dataset comprising 49 different inhibitor treatments and covering 40 known target pathways was used to predict the aclonifen mode of action (MoA) by a random forest classifier. The classifier predicts for aclonifen a MoA within the carotenoid biosynthesis pathway similar to the reference compound norflurazon that inhibits the phytoene desaturase. Upon aclonifen treatment, the phytoene desaturation reaction is disturbed, resulting in a characteristic phytoene accumulation in vivo. However, direct enzyme inhibition by the herbicide was excluded for known herbicidal targets such as phytoene desaturase, 4-hydroxyphenylpyruvate dioxygenase and homogentisate solanesyltransferase. Eventually, the solanesyl diphosphate synthase (SPS), providing one of the two homogentisate solanesyltransferase substrate molecules, could be identified as the molecular target of aclonifen. Inhibition was confirmed using biochemical activity assays for the A. thaliana SPSs 1 and 2. Furthermore, a Chlamydomonas reinhardtii homolog was used for co-crystallization of the enzyme–inhibitor complex, showing that one inhibitor molecule binds at the interface between two protein monomers. CONCLUSION: Solanesyl diphosphate synthase was identified as the target of aclonifen, representing a novel mode of action for herbicides. © 2020 Society of Chemical Industry.","author":[{"dropping-particle":"","family":"Kahlau","given":"Sabine","non-dropping-particle":"","parse-names":false,"suffix":""},{"dropping-particle":"","family":"Schröder","given":"Florian","non-dropping-particle":"","parse-names":false,"suffix":""},{"dropping-particle":"","family":"Freigang","given":"Jörg","non-dropping-particle":"","parse-names":false,"suffix":""},{"dropping-particle":"","family":"Laber","given":"Bernd","non-dropping-particle":"","parse-names":false,"suffix":""},{"dropping-particle":"","family":"Lange","given":"Gudrun","non-dropping-particle":"","parse-names":false,"suffix":""},{"dropping-particle":"","family":"Passon","given":"Daniel","non-dropping-particle":"","parse-names":false,"suffix":""},{"dropping-particle":"","family":"Kleeßen","given":"Sabrina","non-dropping-particle":"","parse-names":false,"suffix":""},{"dropping-particle":"","family":"Lohse","given":"Marc","non-dropping-particle":"","parse-names":false,"suffix":""},{"dropping-particle":"","family":"Schulz","given":"Arno","non-dropping-particle":"","parse-names":false,"suffix":""},{"dropping-particle":"","family":"Koskull-Döring","given":"Pascal","non-dropping-particle":"von","parse-names":false,"suffix":""},{"dropping-particle":"","family":"Klie","given":"Sebastian","non-dropping-particle":"","parse-names":false,"suffix":""},{"dropping-particle":"","family":"Gille","given":"Sascha","non-dropping-particle":"","parse-names":false,"suffix":""}],"container-title":"Pest Management Science","id":"ITEM-3","issue":"10","issued":{"date-parts":[["2020","10","1"]]},"page":"3377-3388","publisher":"John Wiley and Sons Ltd","title":"Aclonifen targets solanesyl diphosphate synthase, representing a novel mode of action for herbicides","type":"article-journal","volume":"76"},"uris":["http://www.mendeley.com/documents/?uuid=bff4fd8a-2bdd-395b-be75-10967e943c18"]}],"mendeley":{"formattedCitation":"&lt;sup&gt;3–5&lt;/sup&gt;","plainTextFormattedCitation":"3–5","previouslyFormattedCitation":"&lt;sup&gt;3–5&lt;/sup&gt;"},"properties":{"noteIndex":0},"schema":"https://github.com/citation-style-language/schema/raw/master/csl-citation.json"}</w:instrText>
      </w:r>
      <w:r w:rsidR="005F553F">
        <w:fldChar w:fldCharType="separate"/>
      </w:r>
      <w:r w:rsidR="00085D8D" w:rsidRPr="00085D8D">
        <w:rPr>
          <w:noProof/>
          <w:vertAlign w:val="superscript"/>
        </w:rPr>
        <w:t>3–5</w:t>
      </w:r>
      <w:r w:rsidR="005F553F">
        <w:fldChar w:fldCharType="end"/>
      </w:r>
      <w:r w:rsidR="007E75BF">
        <w:t>, leading to a resurgence of interest in these groups</w:t>
      </w:r>
      <w:r>
        <w:t xml:space="preserve">. </w:t>
      </w:r>
    </w:p>
    <w:p w14:paraId="2B4842CA" w14:textId="2D4FF8CF" w:rsidR="00323768" w:rsidRDefault="00323768" w:rsidP="00B56E00">
      <w:pPr>
        <w:spacing w:line="360" w:lineRule="auto"/>
      </w:pPr>
      <w:r>
        <w:t xml:space="preserve">The </w:t>
      </w:r>
      <w:r w:rsidRPr="00024891">
        <w:t>benzylether</w:t>
      </w:r>
      <w:r>
        <w:t xml:space="preserve"> </w:t>
      </w:r>
      <w:r w:rsidR="00214F17">
        <w:t>compound c</w:t>
      </w:r>
      <w:r>
        <w:t xml:space="preserve">inmethylin was discovered in the early 1980s by the </w:t>
      </w:r>
      <w:r w:rsidRPr="00024891">
        <w:t>Shell Chemical Company</w:t>
      </w:r>
      <w:r>
        <w:t xml:space="preserve">, and first commercialised for use against weeds in rice </w:t>
      </w:r>
      <w:r w:rsidR="00557768">
        <w:fldChar w:fldCharType="begin" w:fldLock="1"/>
      </w:r>
      <w:r w:rsidR="00DF0B67">
        <w:instrText>ADDIN CSL_CITATION {"citationItems":[{"id":"ITEM-1","itemData":{"DOI":"10.1002/ps.2780210207","ISSN":"10969063","abstract":"Cinmethylin (SD 95481), is a novel herbicide developed for the selective pre‐emergence control of many annual grass weeds in a wide range of temperate and tropical crops. Representing new herbicide chemistry, cinmethylin is in the cineole family. Cinmethylin is a mobile colourless liquid with a boiling point of 313°C under an inert atmosphere at atmospheric pressure. It has a density of 1015 kg m−3 and a viscosity of 70–90 mPa s, both at 20°C. It is miscible in all proportions with most organic solvents but has a low solubility, 63 mg litre−1, in water. It has a vapour pressure of 10.2 mPa (20°C) and the vapour pressure/temperature relationship is given by loge P(Pa)=28.9–9816/T (K). The n‐octanol/water partition coefficient is 6850 and soil organic matter/water sorption coefficient (Kom) ranges between 165 and 235 over the three types of soil used in these studies. Cinmethylin is stable in water over the pH range 3–11. Solutions of cinmethylin in water or solvents are reasonably stable to sunlight, though thin films on a quartz surface photooxidise mainly to an ester within 24 h. This rate can be reduced by the addition of photostabilisers or by sorption onto soil surfaces. In an inert atmosphere cinmethylin is stable to high temperatures, though, in air, oxidation occurs at temperatures above 100°C to give the same product as by photodecay. Copyright © 1987 John Wiley &amp; Sons, Ltd","author":[{"dropping-particle":"","family":"Grayson","given":"B. Terence","non-dropping-particle":"","parse-names":false,"suffix":""},{"dropping-particle":"","family":"Williams","given":"Karen S.","non-dropping-particle":"","parse-names":false,"suffix":""},{"dropping-particle":"","family":"Freehauf","given":"Paul A.","non-dropping-particle":"","parse-names":false,"suffix":""},{"dropping-particle":"","family":"Pease","given":"Rodney R.","non-dropping-particle":"","parse-names":false,"suffix":""},{"dropping-particle":"","family":"Ziesel","given":"William T.","non-dropping-particle":"","parse-names":false,"suffix":""},{"dropping-particle":"","family":"Sereno","given":"Richard L.","non-dropping-particle":"","parse-names":false,"suffix":""},{"dropping-particle":"","family":"Reinsfelder","given":"Ronald E.","non-dropping-particle":"","parse-names":false,"suffix":""}],"container-title":"Pesticide Science","id":"ITEM-1","issue":"2","issued":{"date-parts":[["1987","1","1"]]},"page":"143-153","publisher":"John Wiley &amp; Sons, Ltd","title":"The physical and chemical properties of the herbicide cinmethylin (SD 95481)","type":"article-journal","volume":"21"},"uris":["http://www.mendeley.com/documents/?uuid=55c7c30e-0c6f-39f4-96d9-0f2197f7470e"]}],"mendeley":{"formattedCitation":"&lt;sup&gt;6&lt;/sup&gt;","plainTextFormattedCitation":"6","previouslyFormattedCitation":"&lt;sup&gt;6&lt;/sup&gt;"},"properties":{"noteIndex":0},"schema":"https://github.com/citation-style-language/schema/raw/master/csl-citation.json"}</w:instrText>
      </w:r>
      <w:r w:rsidR="00557768">
        <w:fldChar w:fldCharType="separate"/>
      </w:r>
      <w:r w:rsidR="00085D8D" w:rsidRPr="00085D8D">
        <w:rPr>
          <w:noProof/>
          <w:vertAlign w:val="superscript"/>
        </w:rPr>
        <w:t>6</w:t>
      </w:r>
      <w:r w:rsidR="00557768">
        <w:fldChar w:fldCharType="end"/>
      </w:r>
      <w:r>
        <w:t>. It was found to be effective at controlling a range of both monocotyledonous and dicotyledonous weed species</w:t>
      </w:r>
      <w:r w:rsidR="00557768">
        <w:t xml:space="preserve"> </w:t>
      </w:r>
      <w:r w:rsidR="00557768">
        <w:fldChar w:fldCharType="begin" w:fldLock="1"/>
      </w:r>
      <w:r w:rsidR="00DF0B67">
        <w:instrText>ADDIN CSL_CITATION {"citationItems":[{"id":"ITEM-1","itemData":{"DOI":"10.1002/047126363x.agr126","author":[{"dropping-particle":"","family":"Dayan","given":"Franck E.","non-dropping-particle":"","parse-names":false,"suffix":""},{"dropping-particle":"","family":"Romagni","given":"Joanne G.","non-dropping-particle":"","parse-names":false,"suffix":""},{"dropping-particle":"","family":"Duke","given":"Stephen O.","non-dropping-particle":"","parse-names":false,"suffix":""}],"container-title":"Encyclopedia of Agrochemicals","id":"ITEM-1","issued":{"date-parts":[["2003","4","15"]]},"publisher":"John Wiley &amp; Sons, Ltd","title":"Herbicides, Cinmethylin","type":"chapter"},"uris":["http://www.mendeley.com/documents/?uuid=668e14bf-757f-3b4d-98d8-01ed8a03bc8f"]}],"mendeley":{"formattedCitation":"&lt;sup&gt;7&lt;/sup&gt;","plainTextFormattedCitation":"7","previouslyFormattedCitation":"&lt;sup&gt;7&lt;/sup&gt;"},"properties":{"noteIndex":0},"schema":"https://github.com/citation-style-language/schema/raw/master/csl-citation.json"}</w:instrText>
      </w:r>
      <w:r w:rsidR="00557768">
        <w:fldChar w:fldCharType="separate"/>
      </w:r>
      <w:r w:rsidR="00085D8D" w:rsidRPr="00085D8D">
        <w:rPr>
          <w:noProof/>
          <w:vertAlign w:val="superscript"/>
        </w:rPr>
        <w:t>7</w:t>
      </w:r>
      <w:r w:rsidR="00557768">
        <w:fldChar w:fldCharType="end"/>
      </w:r>
      <w:r>
        <w:t xml:space="preserve">. </w:t>
      </w:r>
      <w:r w:rsidR="00B50236">
        <w:t>D</w:t>
      </w:r>
      <w:r>
        <w:t xml:space="preserve">ue to the simultaneous development of several other effective herbicidal modes-of-action (MOAs) such as the acetyl-CoA carboxylase </w:t>
      </w:r>
      <w:r w:rsidR="00214F17">
        <w:t xml:space="preserve">inhibitors </w:t>
      </w:r>
      <w:r>
        <w:t>(ACCase</w:t>
      </w:r>
      <w:r w:rsidR="00194B4A">
        <w:t>, HRAC group 1</w:t>
      </w:r>
      <w:r>
        <w:t xml:space="preserve">), very long chain fatty acid </w:t>
      </w:r>
      <w:r w:rsidR="00194B4A">
        <w:t xml:space="preserve">inhibitors </w:t>
      </w:r>
      <w:r>
        <w:t>(VLCFA</w:t>
      </w:r>
      <w:r w:rsidR="00194B4A">
        <w:t>, HRAC group 15</w:t>
      </w:r>
      <w:r>
        <w:t xml:space="preserve">), and </w:t>
      </w:r>
      <w:r w:rsidR="00895160">
        <w:t>acetolactate</w:t>
      </w:r>
      <w:r>
        <w:t>-synthase</w:t>
      </w:r>
      <w:r w:rsidR="00194B4A" w:rsidRPr="00194B4A">
        <w:t xml:space="preserve"> </w:t>
      </w:r>
      <w:r w:rsidR="00194B4A">
        <w:t>inhibitors</w:t>
      </w:r>
      <w:r>
        <w:t xml:space="preserve"> (ALS</w:t>
      </w:r>
      <w:r w:rsidR="00194B4A">
        <w:t>, HRAC group 2</w:t>
      </w:r>
      <w:r>
        <w:t xml:space="preserve">), the registration and use of cinmethylin for </w:t>
      </w:r>
      <w:r w:rsidR="00B50236">
        <w:t>grass-</w:t>
      </w:r>
      <w:r>
        <w:t xml:space="preserve">weed control was </w:t>
      </w:r>
      <w:r w:rsidR="00B50236">
        <w:t xml:space="preserve">not extensively </w:t>
      </w:r>
      <w:r>
        <w:t>pursued</w:t>
      </w:r>
      <w:r w:rsidR="00365DA1">
        <w:t xml:space="preserve"> in other crops, however</w:t>
      </w:r>
      <w:r>
        <w:t xml:space="preserve">. Increasing herbicide resistance to these other MOAs has led to a resurgence of interest in </w:t>
      </w:r>
      <w:r w:rsidR="00B50236">
        <w:t>alternative</w:t>
      </w:r>
      <w:r>
        <w:t xml:space="preserve"> </w:t>
      </w:r>
      <w:r w:rsidR="00365DA1">
        <w:t>herbicide active ingredients</w:t>
      </w:r>
      <w:r>
        <w:t xml:space="preserve">, and recently the in-plant site of action for cinmethylin was discovered to be the fatty acid biosynthesis pathway. Cinmethylin inhibits plant fatty acid biosynthesis through binding to the </w:t>
      </w:r>
      <w:r w:rsidRPr="00146BE4">
        <w:t>fatty acid thioesterase</w:t>
      </w:r>
      <w:r>
        <w:t>s</w:t>
      </w:r>
      <w:r w:rsidRPr="00146BE4">
        <w:t xml:space="preserve"> (FAT)</w:t>
      </w:r>
      <w:r>
        <w:t xml:space="preserve">, obstructing the release of fatty acids (FA) from their acyl carrier proteins (ACP) and thereby inhibiting further lipid biosynthesis. Although other plant herbicides target the </w:t>
      </w:r>
      <w:r w:rsidRPr="00146BE4">
        <w:t>fatty acid biosynthesis</w:t>
      </w:r>
      <w:r>
        <w:t xml:space="preserve"> pathway, e.g. the ACCase and VLCFA inhibitors, the inhibition of FAT proteins by cinmethylin constitutes a novel herbicidal mode of action</w:t>
      </w:r>
      <w:r w:rsidR="00677B8F">
        <w:t xml:space="preserve"> </w:t>
      </w:r>
      <w:r w:rsidR="00677B8F">
        <w:fldChar w:fldCharType="begin" w:fldLock="1"/>
      </w:r>
      <w:r w:rsidR="00DF0B67">
        <w:instrText>ADDIN CSL_CITATION {"citationItems":[{"id":"ITEM-1","itemData":{"DOI":"10.1016/j.pestbp.2018.04.006","ISSN":"10959939","PMID":"29891362","abstract":"The prevalent occurrence of herbicide resistant weeds increases the necessity for new site of action herbicides for effective control as well as to relax selection pressure on the known sites of action. As a consequence, interest increased in the unexploited molecule cinmethylin as a new solution for the control of weedy grasses in cereals. Therefore, the mechanism of action of cinmethylin was reevaluated. We applied the chemoproteomic approach cellular Target Profiling™ from Evotec to identify the cinmethylin target in Lemna paucicostata protein extracts. We found three potential targets belonging to the same protein family of fatty acid thioesterases (FAT) to bind to cinmethylin with high affinity. Binding of cinmethylin to FAT proteins from Lemna and Arabidopsis was confirmed by fluorescence-based thermal shift assay. The plastid localized enzyme FAT plays a crucial role in plant lipid biosynthesis, by mediating the release of fatty acids (FA) from its acyl carrier protein (ACP) which is necessary for FA export to the endoplasmic reticulum. GC–MS analysis of free FA composition in Lemna extracts revealed strong reduction of unsaturated C18 as well as saturated C14, and C16 FAs upon treatment with cinmethylin, indicating that FA release for subsequent lipid biosynthesis is the primary target of cinmethylin. Lipid biosynthesis is a prominent target of different herbicide classes. To assess whether FAT inhibition constitutes a new mechanism of action within this complex pathway, we compared physiological effects of cinmethylin to different ACCase and VLCFA synthesis inhibitors and identified characteristic differences in plant symptomology and free FA composition upon treatment with the three herbicide classes. Also, principal component analysis of total metabolic profiling of treated Lemna plants showed strong differences in overall metabolic changes after cinmethylin, ACCase or VLCFA inhibitor treatments. Our results identified and confirmed FAT as the cinmethylin target and validate FAT inhibition as a new site of action different from other lipid biosynthesis inhibitor classes.","author":[{"dropping-particle":"","family":"Campe","given":"Ruth","non-dropping-particle":"","parse-names":false,"suffix":""},{"dropping-particle":"","family":"Hollenbach","given":"Eva","non-dropping-particle":"","parse-names":false,"suffix":""},{"dropping-particle":"","family":"Kämmerer","given":"Lara","non-dropping-particle":"","parse-names":false,"suffix":""},{"dropping-particle":"","family":"Hendriks","given":"Janneke","non-dropping-particle":"","parse-names":false,"suffix":""},{"dropping-particle":"","family":"Höffken","given":"Hans Wolfgang","non-dropping-particle":"","parse-names":false,"suffix":""},{"dropping-particle":"","family":"Kraus","given":"Helmut","non-dropping-particle":"","parse-names":false,"suffix":""},{"dropping-particle":"","family":"Lerchl","given":"Jens","non-dropping-particle":"","parse-names":false,"suffix":""},{"dropping-particle":"","family":"Mietzner","given":"Thomas","non-dropping-particle":"","parse-names":false,"suffix":""},{"dropping-particle":"","family":"Tresch","given":"Stefan","non-dropping-particle":"","parse-names":false,"suffix":""},{"dropping-particle":"","family":"Witschel","given":"Matthias","non-dropping-particle":"","parse-names":false,"suffix":""},{"dropping-particle":"","family":"Hutzler","given":"Johannes","non-dropping-particle":"","parse-names":false,"suffix":""}],"container-title":"Pesticide Biochemistry and Physiology","id":"ITEM-1","issued":{"date-parts":[["2018","6","1"]]},"page":"116-125","publisher":"Academic Press","title":"A new herbicidal site of action: Cinmethylin binds to acyl-ACP thioesterase and inhibits plant fatty acid biosynthesis","type":"article-journal","volume":"148"},"uris":["http://www.mendeley.com/documents/?uuid=b54e0bfd-a5e2-3ead-a2e6-63baa214124c"]}],"mendeley":{"formattedCitation":"&lt;sup&gt;3&lt;/sup&gt;","plainTextFormattedCitation":"3","previouslyFormattedCitation":"&lt;sup&gt;3&lt;/sup&gt;"},"properties":{"noteIndex":0},"schema":"https://github.com/citation-style-language/schema/raw/master/csl-citation.json"}</w:instrText>
      </w:r>
      <w:r w:rsidR="00677B8F">
        <w:fldChar w:fldCharType="separate"/>
      </w:r>
      <w:r w:rsidR="00085D8D" w:rsidRPr="00085D8D">
        <w:rPr>
          <w:noProof/>
          <w:vertAlign w:val="superscript"/>
        </w:rPr>
        <w:t>3</w:t>
      </w:r>
      <w:r w:rsidR="00677B8F">
        <w:fldChar w:fldCharType="end"/>
      </w:r>
      <w:r>
        <w:t xml:space="preserve">, </w:t>
      </w:r>
      <w:r w:rsidR="00A16781">
        <w:t>with</w:t>
      </w:r>
      <w:r>
        <w:t xml:space="preserve"> cinmethylin classified as HRAC group 30 (legacy HRAC group ‘Q’) herbicide</w:t>
      </w:r>
      <w:r w:rsidR="00677B8F">
        <w:t xml:space="preserve"> </w:t>
      </w:r>
      <w:r w:rsidR="00677B8F">
        <w:fldChar w:fldCharType="begin" w:fldLock="1"/>
      </w:r>
      <w:r w:rsidR="00DF0B67">
        <w:instrText>ADDIN CSL_CITATION {"citationItems":[{"id":"ITEM-1","itemData":{"URL":"www.weedscience.org","accessed":{"date-parts":[["2022","9","22"]]},"author":[{"dropping-particle":"","family":"Heap","given":"Ian","non-dropping-particle":"","parse-names":false,"suffix":""}],"id":"ITEM-1","issued":{"date-parts":[["0"]]},"title":"The International Herbicide-Resistant Weed Database","type":"webpage"},"uris":["http://www.mendeley.com/documents/?uuid=16f5a568-6834-4ffb-be3f-ff4c3b87b2c1"]}],"mendeley":{"formattedCitation":"&lt;sup&gt;1&lt;/sup&gt;","plainTextFormattedCitation":"1","previouslyFormattedCitation":"&lt;sup&gt;1&lt;/sup&gt;"},"properties":{"noteIndex":0},"schema":"https://github.com/citation-style-language/schema/raw/master/csl-citation.json"}</w:instrText>
      </w:r>
      <w:r w:rsidR="00677B8F">
        <w:fldChar w:fldCharType="separate"/>
      </w:r>
      <w:r w:rsidR="00085D8D" w:rsidRPr="00085D8D">
        <w:rPr>
          <w:noProof/>
          <w:vertAlign w:val="superscript"/>
        </w:rPr>
        <w:t>1</w:t>
      </w:r>
      <w:r w:rsidR="00677B8F">
        <w:fldChar w:fldCharType="end"/>
      </w:r>
      <w:r>
        <w:t xml:space="preserve">. Due to its cereal crop selectivity and capacity to control problematic weeds including </w:t>
      </w:r>
      <w:r w:rsidRPr="007268F7">
        <w:rPr>
          <w:i/>
          <w:iCs/>
        </w:rPr>
        <w:t>A</w:t>
      </w:r>
      <w:r>
        <w:rPr>
          <w:i/>
          <w:iCs/>
        </w:rPr>
        <w:t>lopecurus</w:t>
      </w:r>
      <w:r w:rsidRPr="007268F7">
        <w:rPr>
          <w:i/>
          <w:iCs/>
        </w:rPr>
        <w:t xml:space="preserve"> myosuroides</w:t>
      </w:r>
      <w:r>
        <w:t xml:space="preserve"> and </w:t>
      </w:r>
      <w:r w:rsidRPr="007268F7">
        <w:rPr>
          <w:i/>
          <w:iCs/>
        </w:rPr>
        <w:t>Lolium multiflorum</w:t>
      </w:r>
      <w:r>
        <w:t xml:space="preserve">, as of </w:t>
      </w:r>
      <w:r w:rsidR="00365DA1">
        <w:t>a</w:t>
      </w:r>
      <w:r>
        <w:t xml:space="preserve">utumn 2022, cinmethylin has been registered and approved for </w:t>
      </w:r>
      <w:r w:rsidR="00DC6C06">
        <w:t>use</w:t>
      </w:r>
      <w:r>
        <w:t xml:space="preserve"> in UK cereal cropping.</w:t>
      </w:r>
    </w:p>
    <w:p w14:paraId="4C054C55" w14:textId="5103DB60" w:rsidR="008A0D5B" w:rsidRDefault="006B5A2B" w:rsidP="00B56E00">
      <w:pPr>
        <w:spacing w:line="360" w:lineRule="auto"/>
      </w:pPr>
      <w:r>
        <w:t xml:space="preserve">While </w:t>
      </w:r>
      <w:r w:rsidR="00323768">
        <w:t>registration of new</w:t>
      </w:r>
      <w:r w:rsidR="006262D4">
        <w:t xml:space="preserve"> or alternative</w:t>
      </w:r>
      <w:r w:rsidR="00323768">
        <w:t xml:space="preserve"> herbicides is </w:t>
      </w:r>
      <w:r>
        <w:t>encouraging</w:t>
      </w:r>
      <w:r w:rsidR="00323768">
        <w:t xml:space="preserve"> for growers</w:t>
      </w:r>
      <w:r>
        <w:t>,</w:t>
      </w:r>
      <w:r w:rsidR="00323768">
        <w:t xml:space="preserve"> their introduction needs to be carefully managed in relation</w:t>
      </w:r>
      <w:r>
        <w:t xml:space="preserve"> </w:t>
      </w:r>
      <w:r w:rsidR="00323768">
        <w:t>to the resistance status and vari</w:t>
      </w:r>
      <w:r w:rsidR="006F2D5B">
        <w:t>ation</w:t>
      </w:r>
      <w:r w:rsidR="00323768">
        <w:t xml:space="preserve"> in sensitivity of their target weed populations. </w:t>
      </w:r>
      <w:r>
        <w:t xml:space="preserve">Of particular importance is the extent to which prior selection with </w:t>
      </w:r>
      <w:r w:rsidR="006262D4">
        <w:t xml:space="preserve">other </w:t>
      </w:r>
      <w:r w:rsidR="00141AE5">
        <w:lastRenderedPageBreak/>
        <w:t>actives</w:t>
      </w:r>
      <w:r>
        <w:t xml:space="preserve"> might have pre-selected for resistance to </w:t>
      </w:r>
      <w:r w:rsidR="00141AE5">
        <w:t xml:space="preserve">the </w:t>
      </w:r>
      <w:r>
        <w:t xml:space="preserve">newer chemistry. </w:t>
      </w:r>
      <w:r w:rsidRPr="002E7575">
        <w:rPr>
          <w:lang w:val="fr-FR"/>
        </w:rPr>
        <w:t xml:space="preserve">As an example, Petit et al. </w:t>
      </w:r>
      <w:r w:rsidR="00B24673">
        <w:fldChar w:fldCharType="begin" w:fldLock="1"/>
      </w:r>
      <w:r w:rsidR="00DF0B67">
        <w:rPr>
          <w:lang w:val="fr-FR"/>
        </w:rPr>
        <w:instrText>ADDIN CSL_CITATION {"citationItems":[{"id":"ITEM-1","itemData":{"DOI":"10.1002/ps.1851","ISBN":"1526-4998 (Electronic)\\r1526-498X (Linking)","ISSN":"1526498X","PMID":"19784963","abstract":"BACKGROUND: Repeated use of acetyl-CoA carboxylase (ACCase) inhibitors, especially fenoxaprop and clodinafop, since the late 1980s has selected for resistance in Alopecurus myosuroides Huds. (black-grass) in France. We investigated whether resistance to pinoxaden, a phenylpyrazoline ACCase inhibitor to be marketed in France, was present in French black-grass populations. We investigated pinoxaden resistance conferred by five mutant ACCase isoforms. Using 84 French black-grass field samples, we also compared the frequencies of other mechanisms endowing resistance to fenoxaprop, clodinafop or pinoxaden. RESULTS: ACCase mutant isoforms Leu-1781, Gly-2078 and, likely, Cys-2027 conferred cross-resistance to pinoxaden, while isoform Asn-2041 possibly conferred moderate resistance. Other mechanisms of resistance to fenoxaprop, clodinafop and pinoxaden were detected in 99, 68 and 64% of the samples investigated, respectively. Cross- or multiple resistance to fenoxaprop or clodinafop and pinoxaden was not systematically observed, suggesting a diversity of mechanisms exist. CONCLUSION: Pinoxaden resistance was observed before pinoxaden release in France. Only a fraction of the mechanisms endowing fenoxaprop or clodinafop resistance also confer pinoxaden resistance. Pinoxaden resistance was likely mostly selected for by ACCase inhibitors, and, in some cases, possibly by herbicides with other modes of action. This illustrates the necessity to use metabolisable herbicides cautiously where black-grass has evolved non-target-site-based resistance.","author":[{"dropping-particle":"","family":"Petit","given":"Cécile","non-dropping-particle":"","parse-names":false,"suffix":""},{"dropping-particle":"","family":"Bay","given":"Guillaume","non-dropping-particle":"","parse-names":false,"suffix":""},{"dropping-particle":"","family":"Pernin","given":"Fanny","non-dropping-particle":"","parse-names":false,"suffix":""},{"dropping-particle":"","family":"Délye","given":"Christophe","non-dropping-particle":"","parse-names":false,"suffix":""}],"container-title":"Pest Management Science","id":"ITEM-1","issue":"2","issued":{"date-parts":[["2010"]]},"page":"168-177","publisher":"Wiley-Blackwell","title":"Prevalence of cross- or multiple resistance to the acetyl-coenzyme a carboxylase inhibitors fenoxaprop, clodinafop and pinoxaden in black-grass (&lt;i&gt;Alopecurus myosuroides&lt;/i&gt; Huds.) in France","type":"article-journal","volume":"66"},"suppress-author":1,"uris":["http://www.mendeley.com/documents/?uuid=40cdbd2b-8ada-3070-9dc6-5352f4836591"]}],"mendeley":{"formattedCitation":"&lt;sup&gt;8&lt;/sup&gt;","plainTextFormattedCitation":"8","previouslyFormattedCitation":"&lt;sup&gt;8&lt;/sup&gt;"},"properties":{"noteIndex":0},"schema":"https://github.com/citation-style-language/schema/raw/master/csl-citation.json"}</w:instrText>
      </w:r>
      <w:r w:rsidR="00B24673">
        <w:fldChar w:fldCharType="separate"/>
      </w:r>
      <w:r w:rsidR="00085D8D" w:rsidRPr="00085D8D">
        <w:rPr>
          <w:noProof/>
          <w:vertAlign w:val="superscript"/>
          <w:lang w:val="en-US"/>
        </w:rPr>
        <w:t>8</w:t>
      </w:r>
      <w:r w:rsidR="00B24673">
        <w:fldChar w:fldCharType="end"/>
      </w:r>
      <w:r w:rsidRPr="002E7575">
        <w:rPr>
          <w:lang w:val="en-US"/>
        </w:rPr>
        <w:t xml:space="preserve"> identified </w:t>
      </w:r>
      <w:r w:rsidR="00895160" w:rsidRPr="002E7575">
        <w:rPr>
          <w:lang w:val="en-US"/>
        </w:rPr>
        <w:t xml:space="preserve">pinoxaden </w:t>
      </w:r>
      <w:r w:rsidRPr="002E7575">
        <w:rPr>
          <w:lang w:val="en-US"/>
        </w:rPr>
        <w:t xml:space="preserve">resistance in French populations of </w:t>
      </w:r>
      <w:r w:rsidRPr="002E7575">
        <w:rPr>
          <w:i/>
          <w:iCs/>
          <w:lang w:val="en-US"/>
        </w:rPr>
        <w:t>A. myosuroides</w:t>
      </w:r>
      <w:r w:rsidRPr="002E7575">
        <w:rPr>
          <w:lang w:val="en-US"/>
        </w:rPr>
        <w:t xml:space="preserve"> before pinoxaden was released in France, while </w:t>
      </w:r>
      <w:r w:rsidR="00895160">
        <w:rPr>
          <w:lang w:val="en-US"/>
        </w:rPr>
        <w:t>q</w:t>
      </w:r>
      <w:r w:rsidR="00895160" w:rsidRPr="002E7575">
        <w:rPr>
          <w:lang w:val="en-US"/>
        </w:rPr>
        <w:t xml:space="preserve">uinclorac </w:t>
      </w:r>
      <w:r w:rsidRPr="002E7575">
        <w:rPr>
          <w:lang w:val="en-US"/>
        </w:rPr>
        <w:t xml:space="preserve">resistance was observed in Californian populations of </w:t>
      </w:r>
      <w:r w:rsidRPr="002E7575">
        <w:rPr>
          <w:i/>
          <w:iCs/>
          <w:lang w:val="en-US"/>
        </w:rPr>
        <w:t>Echinochloa phyllopogon</w:t>
      </w:r>
      <w:r w:rsidRPr="002E7575">
        <w:rPr>
          <w:lang w:val="en-US"/>
        </w:rPr>
        <w:t xml:space="preserve"> without any prior exposure to this herbicide </w:t>
      </w:r>
      <w:r w:rsidR="00B24673">
        <w:fldChar w:fldCharType="begin" w:fldLock="1"/>
      </w:r>
      <w:r w:rsidR="00DF0B67">
        <w:rPr>
          <w:lang w:val="en-US"/>
        </w:rPr>
        <w:instrText>ADDIN CSL_CITATION {"citationItems":[{"id":"ITEM-1","itemData":{"DOI":"10.1002/ps.2230","ISSN":"1526498X","PMID":"21717565","abstract":"Background: Quinclorac (3,7-dichloro-quinoline-carboxylic acid) is a selective herbicide widely used to control annual grasses and certain broadleaf weeds. Echinochloa phyllopogon (Stapf) Koss. is the most noxious grass weed in California rice fields and has evolved resistance to multiple herbicides with different modes of action. A quinclorac-resistant (R) E. phyllopogon biotype found in a Sacramento Valley rice field where quinclorac has never been applied was investigated. Results: Resistant to susceptible (S) GR 50 (herbicide rate for 50% growth reduction) ratios ranged from 6 to 17. The cytochrome P450 inhibitor malathion (200 mg L -1) caused R plants to become as quinclorac susceptible as S plants. Quinclorac rapidly (6 HAT) stimulated ethylene formation in S plants, but only marginally in R plants. Malathion pretreatment did not reduce ethylene formation by quinclorac-treated S and R plants. Activity of β-cyanoalanine synthase (β-CAS) in tissue extracts was 2-3-fold greater in R than in S plants, and incubation of shoot extracts with 1 mM malathion reduced β-CAS activity by 40% in both biotypes. Conclusion: Resistance to quinclorac in R E. phyllopogon involved at least two mechanisms: (a) insensitivity along the response pathway whereby quinclorac induces ethylene production; (b) enhanced β-CAS activity, which should enable greater HCN detoxification following quinclorac stimulation of ethylene biosynthesis. This unveils new resistance mechanisms for this multiple-resistant biotype widely spread throughout California rice fields. © 2011 Society of Chemical Industry.","author":[{"dropping-particle":"","family":"Yasuor","given":"Hagai","non-dropping-particle":"","parse-names":false,"suffix":""},{"dropping-particle":"","family":"Milan","given":"Marco","non-dropping-particle":"","parse-names":false,"suffix":""},{"dropping-particle":"","family":"Eckert","given":"James W.","non-dropping-particle":"","parse-names":false,"suffix":""},{"dropping-particle":"","family":"Fischer","given":"Albert J.","non-dropping-particle":"","parse-names":false,"suffix":""}],"container-title":"Pest Management Science","id":"ITEM-1","issue":"1","issued":{"date-parts":[["2012","1","1"]]},"page":"108-115","publisher":"John Wiley &amp; Sons, Ltd","title":"Quinclorac resistance: A concerted hormonal and enzymatic effort in Echinochloa phyllopogon","type":"article-journal","volume":"68"},"uris":["http://www.mendeley.com/documents/?uuid=47845866-ae7f-3830-95d0-df324ed4baff"]}],"mendeley":{"formattedCitation":"&lt;sup&gt;9&lt;/sup&gt;","plainTextFormattedCitation":"9","previouslyFormattedCitation":"&lt;sup&gt;9&lt;/sup&gt;"},"properties":{"noteIndex":0},"schema":"https://github.com/citation-style-language/schema/raw/master/csl-citation.json"}</w:instrText>
      </w:r>
      <w:r w:rsidR="00B24673">
        <w:fldChar w:fldCharType="separate"/>
      </w:r>
      <w:r w:rsidR="00085D8D" w:rsidRPr="00085D8D">
        <w:rPr>
          <w:noProof/>
          <w:vertAlign w:val="superscript"/>
        </w:rPr>
        <w:t>9</w:t>
      </w:r>
      <w:r w:rsidR="00B24673">
        <w:fldChar w:fldCharType="end"/>
      </w:r>
      <w:r>
        <w:t xml:space="preserve">. </w:t>
      </w:r>
      <w:r w:rsidR="00AA524B">
        <w:t xml:space="preserve">Non-target-site </w:t>
      </w:r>
      <w:r>
        <w:t xml:space="preserve">(NTSR) resistance mechanisms are of particular concern </w:t>
      </w:r>
      <w:r w:rsidR="00365DA1">
        <w:t>in this regard</w:t>
      </w:r>
      <w:r>
        <w:t>, due to their potential to result in broad and unpredictable cross-resistance</w:t>
      </w:r>
      <w:r w:rsidR="00B74F20">
        <w:t>,</w:t>
      </w:r>
      <w:r>
        <w:t xml:space="preserve"> across structurally different herbicide groups </w:t>
      </w:r>
      <w:r w:rsidR="00B24673">
        <w:fldChar w:fldCharType="begin" w:fldLock="1"/>
      </w:r>
      <w:r w:rsidR="00DF0B67">
        <w:instrText>ADDIN CSL_CITATION {"citationItems":[{"id":"ITEM-1","itemData":{"DOI":"10.1111/j.1365-3180.2011.00864.x","ISSN":"00431737","abstract":"Non-target-site-based resistance (NTSR) mechanisms can confer unpredictable resistance to herbicides with different chemistries or modes of action. In two French fields, 18% and 40% individual plants of Alopecurus myosuroides (black-grass), respectively, were resistant via NTSR to all the most effective herbicides approved for A. myosuroides control in wheat (fenoxaprop, clodi- nafop, pinoxaden, iodosulfuron+mesosulfuron and pyroxsulam) and to the broad-leaf-selective herbicide quizalofop. Pinoxaden and pyroxsulam had never been applied to these populations. In the absence of new herbicide modes of action, this renders a purely chemical control of A. myosuroides in winter cereals much more complex in these fields. A segregation analysis showed that multi-resistant phenotypes were endowed by multi- ple NTSR genes, underlining the complexity of NTSR. Yet, despite the threat posed to weed control, our lack of knowledge on NTSR is obvious. NTSR should therefore becomethe priority inherbicide resistance research.","author":[{"dropping-particle":"","family":"Délye","given":"C.","non-dropping-particle":"","parse-names":false,"suffix":""},{"dropping-particle":"","family":"Gardin","given":"J. A C","non-dropping-particle":"","parse-names":false,"suffix":""},{"dropping-particle":"","family":"Boucansaud","given":"K.","non-dropping-particle":"","parse-names":false,"suffix":""},{"dropping-particle":"","family":"Chauvel","given":"B.","non-dropping-particle":"","parse-names":false,"suffix":""},{"dropping-particle":"","family":"Petit","given":"C.","non-dropping-particle":"","parse-names":false,"suffix":""}],"container-title":"Weed Research","id":"ITEM-1","issue":"5","issued":{"date-parts":[["2011","10","1"]]},"page":"433-437","publisher":"Wiley/Blackwell (10.1111)","title":"Non-target-site-based resistance should be the centre of attention for herbicide resistance research: &lt;i&gt;Alopecurus myosuroides&lt;/i&gt; as an illustration","type":"article-journal","volume":"51"},"uris":["http://www.mendeley.com/documents/?uuid=23d734bd-1357-36d3-9ac2-0baecd590ed3"]},{"id":"ITEM-2","itemData":{"DOI":"10.1104/pp.114.242750","abstract":"Weedy plant species that have evolved resistance to herbicides due to enhanced metabolic capacity to detoxify herbicides (metabolic resistance) are a major issue. Metabolic herbicide resistance in weedy plant species first became evident in the 1980s in Australia (in Lolium rigidum) and the United Kingdom (in Alopecurus myosuroides) and is now increasingly recognized in several crop-weed species as a looming threat to herbicide sustainability and thus world crop production. Metabolic resistance often confers resistance to herbicides of different chemical groups and sites of action and can extend to new herbicide(s). Cytochrome P450 monooxygenase, glycosyl transferase, and glutathione S-transferase are often implicated in herbicide metabolic resistance. However, precise biochemical and molecular genetic elucidation of metabolic resistance had been stalled until recently. Complex cytochrome P450 superfamilies, high genetic diversity in metabolic resistant weedy plant species (especially cross-pollinated species), and the complexity of genetic control of metabolic resistance have all been barriers to advances in understanding metabolic herbicide resistance. However, next-generation sequencing technologies and transcriptome-wide gene expression profiling are now revealing the genes endowing metabolic herbicide resistance in plants. This Update presents an historical review to current understanding of metabolic herbicide resistance evolution in weedy plant species.","author":[{"dropping-particle":"","family":"Yu","given":"Qin","non-dropping-particle":"","parse-names":false,"suffix":""},{"dropping-particle":"","family":"Powles","given":"Stephen","non-dropping-particle":"","parse-names":false,"suffix":""}],"container-title":"Plant Physiology","id":"ITEM-2","issued":{"date-parts":[["2014"]]},"page":"1106-1118","title":"Metabolism-based herbicide resistance and cross-resistance in crop weeds: A threat to herbicide sustainability and global crop production 1","type":"article-journal","volume":"166"},"uris":["http://www.mendeley.com/documents/?uuid=a293a63c-be42-3c68-a4ca-8c559f9b81ec"]}],"mendeley":{"formattedCitation":"&lt;sup&gt;10,11&lt;/sup&gt;","plainTextFormattedCitation":"10,11","previouslyFormattedCitation":"&lt;sup&gt;10,11&lt;/sup&gt;"},"properties":{"noteIndex":0},"schema":"https://github.com/citation-style-language/schema/raw/master/csl-citation.json"}</w:instrText>
      </w:r>
      <w:r w:rsidR="00B24673">
        <w:fldChar w:fldCharType="separate"/>
      </w:r>
      <w:r w:rsidR="00085D8D" w:rsidRPr="00085D8D">
        <w:rPr>
          <w:noProof/>
          <w:vertAlign w:val="superscript"/>
        </w:rPr>
        <w:t>10,11</w:t>
      </w:r>
      <w:r w:rsidR="00B24673">
        <w:fldChar w:fldCharType="end"/>
      </w:r>
      <w:r>
        <w:t xml:space="preserve">. </w:t>
      </w:r>
      <w:r w:rsidR="00A87E12">
        <w:t>For example, the cytochrome P450 ‘</w:t>
      </w:r>
      <w:r w:rsidR="00A87E12" w:rsidRPr="00D61CD3">
        <w:t>CYP81A10v7</w:t>
      </w:r>
      <w:r w:rsidR="00A87E12">
        <w:t xml:space="preserve">’ in the grassweed </w:t>
      </w:r>
      <w:r w:rsidR="00A87E12" w:rsidRPr="00721C34">
        <w:rPr>
          <w:i/>
          <w:iCs/>
        </w:rPr>
        <w:t>Lolium rigidum</w:t>
      </w:r>
      <w:r w:rsidR="00A87E12">
        <w:t xml:space="preserve"> has been implicated in NTSR to five different herbicide MOAs </w:t>
      </w:r>
      <w:r w:rsidR="00A87E12">
        <w:fldChar w:fldCharType="begin" w:fldLock="1"/>
      </w:r>
      <w:r w:rsidR="00DF0B67">
        <w:instrText>ADDIN CSL_CITATION {"citationItems":[{"id":"ITEM-1","itemData":{"DOI":"10.1111/tpj.15040","ISSN":"0960-7412","abstract":"Rapid and widespread evolution of multiple herbicide resistance in global weed species endowed by increased capacity to metabolize (degrade) herbicides (metabolic resistance) is a great threat to herbicide sustainability and global food production. Metabolic resistance in the economically damaging crop weed species Lolium rigidum is well known but a molecular understanding has been lacking. We purified a metabolic resistant (R) subset from a field evolved R L. rigidum population. The R, the herbicide susceptible (S) and derived F2 populations were used for candidate herbicide resistance gene discovery by RNA sequencing. A P450 gene CYP81A10v7 was identified with higher expression in R vs. S plants. Transgenic rice overexpressing this Lolium CYP81A10v7 gene became highly resistant to acetyl-coenzyme A carboxylase- and acetolactate synthase-inhibiting herbicides (diclofop-methyl, tralkoxydim, chlorsulfuron) and moderately resistant to hydroxyphenylpyruvate dioxygenase-inhibiting herbicide (mesotrione), photosystem II-inhibiting herbicides (atrazine and chlorotoluron) and the tubulin-inhibiting herbicide trifluralin. This wide cross-resistance profile to many dissimilar herbicides in CYP81A10v7 transgenic rice generally reflects what is evident in the R L. rigidum. This report clearly showed that a single P450 gene in a cross-pollinated weed species L. rigidum confers resistance to herbicides of at least five modes of action across seven herbicide chemistries.","author":[{"dropping-particle":"","family":"Han","given":"Heping","non-dropping-particle":"","parse-names":false,"suffix":""},{"dropping-particle":"","family":"Yu","given":"Qin","non-dropping-particle":"","parse-names":false,"suffix":""},{"dropping-particle":"","family":"Beffa","given":"Roland","non-dropping-particle":"","parse-names":false,"suffix":""},{"dropping-particle":"","family":"González","given":"Susana","non-dropping-particle":"","parse-names":false,"suffix":""},{"dropping-particle":"","family":"Maiwald","given":"Frank","non-dropping-particle":"","parse-names":false,"suffix":""},{"dropping-particle":"","family":"Wang","given":"Jian","non-dropping-particle":"","parse-names":false,"suffix":""},{"dropping-particle":"","family":"Powles","given":"Stephen B.","non-dropping-particle":"","parse-names":false,"suffix":""}],"container-title":"The Plant Journal","id":"ITEM-1","issue":"1","issued":{"date-parts":[["2021","1","27"]]},"page":"79-92","publisher":"Blackwell Publishing Ltd","title":"Cytochrome P450 CYP81A10v7 in &lt;i&gt;Lolium rigidum&lt;/i&gt; confers metabolic resistance to herbicides across at least five modes of action","type":"article-journal","volume":"105"},"uris":["http://www.mendeley.com/documents/?uuid=3e1eb892-5f9a-3cc9-a957-2af04d481def"]}],"mendeley":{"formattedCitation":"&lt;sup&gt;12&lt;/sup&gt;","plainTextFormattedCitation":"12","previouslyFormattedCitation":"&lt;sup&gt;12&lt;/sup&gt;"},"properties":{"noteIndex":0},"schema":"https://github.com/citation-style-language/schema/raw/master/csl-citation.json"}</w:instrText>
      </w:r>
      <w:r w:rsidR="00A87E12">
        <w:fldChar w:fldCharType="separate"/>
      </w:r>
      <w:r w:rsidR="00085D8D" w:rsidRPr="00085D8D">
        <w:rPr>
          <w:noProof/>
          <w:vertAlign w:val="superscript"/>
        </w:rPr>
        <w:t>12</w:t>
      </w:r>
      <w:r w:rsidR="00A87E12">
        <w:fldChar w:fldCharType="end"/>
      </w:r>
      <w:r w:rsidR="008A0D5B">
        <w:t>. I</w:t>
      </w:r>
      <w:r w:rsidR="00A87E12">
        <w:t>nter-population variability in cinmethylin sensitivity</w:t>
      </w:r>
      <w:r w:rsidR="008A0D5B">
        <w:t xml:space="preserve"> has also been found</w:t>
      </w:r>
      <w:r w:rsidR="00A87E12">
        <w:t xml:space="preserve"> amongst</w:t>
      </w:r>
      <w:r w:rsidR="008A0D5B">
        <w:t xml:space="preserve"> Australian</w:t>
      </w:r>
      <w:r w:rsidR="00A87E12">
        <w:t xml:space="preserve"> </w:t>
      </w:r>
      <w:r w:rsidR="00A87E12" w:rsidRPr="00BC7FA5">
        <w:rPr>
          <w:i/>
          <w:iCs/>
        </w:rPr>
        <w:t>L</w:t>
      </w:r>
      <w:r w:rsidR="00A87E12">
        <w:rPr>
          <w:i/>
          <w:iCs/>
        </w:rPr>
        <w:t xml:space="preserve">. </w:t>
      </w:r>
      <w:r w:rsidR="00A87E12" w:rsidRPr="00BC7FA5">
        <w:rPr>
          <w:i/>
          <w:iCs/>
        </w:rPr>
        <w:t>rigidum</w:t>
      </w:r>
      <w:r w:rsidR="00A87E12">
        <w:t xml:space="preserve"> populations</w:t>
      </w:r>
      <w:r w:rsidR="002667FC">
        <w:t xml:space="preserve"> at doses below the field-approved rate</w:t>
      </w:r>
      <w:r w:rsidR="008A0D5B">
        <w:t>,</w:t>
      </w:r>
      <w:r w:rsidR="002E7575">
        <w:t xml:space="preserve"> and is</w:t>
      </w:r>
      <w:r w:rsidR="00A87E12">
        <w:t xml:space="preserve"> also</w:t>
      </w:r>
      <w:r w:rsidR="00365DA1">
        <w:t xml:space="preserve"> </w:t>
      </w:r>
      <w:r w:rsidR="00A87E12">
        <w:t xml:space="preserve">thought to be conveyed via P450 mediated oxidation of the cinmethylin molecule </w:t>
      </w:r>
      <w:r w:rsidR="00A87E12">
        <w:fldChar w:fldCharType="begin" w:fldLock="1"/>
      </w:r>
      <w:r w:rsidR="00DF0B67">
        <w:instrText>ADDIN CSL_CITATION {"citationItems":[{"id":"ITEM-1","itemData":{"DOI":"10.1002/ps.6947","ISSN":"15264998","PMID":"35470951","abstract":"Background: Cinmethylin, a pre-emergence herbicide inhibiting fatty acid thioesterase activity, has recently been introduced to Australian cereal cropping for the control of Lolium rigidum Gaud. (annual ryegrass). To date, there have been no confirmed cases of cinmethylin resistance identified in this species, but some populations exhibit reduced sensitivity to this herbicide. To explore the mechanism which contributes to reduced sensitivity of annual ryegrass to cinmethylin, the extent and nature of cinmethylin metabolism, using carbon-14 (14C)-labelled herbicide, were analysed in three reduced-sensitivity annual ryegrass populations, alongside a susceptible population and cinmethylin-tolerant wheat as controls. Results: All samples showed the same metabolite profile, with the extent of production of a specific water-soluble metabolite being correlated to the level of herbicide sensitivity. Application of the cytochrome P450 inhibitor phorate caused a decrease in water-soluble metabolite production as well as seedling growth in the presence of cinmethylin, indicating that reduced cinmethylin sensitivity in annual ryegrass could be wholly or partially due to oxidative modification of cinmethylin. Conclusion: Because annual ryegrass has the potential to metabolize cinmethylin in the same way as wheat, careful stewardship is required to ensure the longevity of this herbicide. © 2022 The Authors. Pest Management Science published by John Wiley &amp; Sons Ltd on behalf of Society of Chemical Industry.","author":[{"dropping-particle":"","family":"Goggin","given":"Danica E.","non-dropping-particle":"","parse-names":false,"suffix":""},{"dropping-particle":"","family":"Cawthray","given":"Gregory R.","non-dropping-particle":"","parse-names":false,"suffix":""},{"dropping-particle":"","family":"Busi","given":"Roberto","non-dropping-particle":"","parse-names":false,"suffix":""},{"dropping-particle":"","family":"Porri","given":"Aimone","non-dropping-particle":"","parse-names":false,"suffix":""},{"dropping-particle":"","family":"Beckie","given":"Hugh J.","non-dropping-particle":"","parse-names":false,"suffix":""}],"container-title":"Pest Management Science","id":"ITEM-1","issue":"7","issued":{"date-parts":[["2022","7","1"]]},"page":"3173-3182","publisher":"John Wiley &amp; Sons, Ltd","title":"Enhanced production of water-soluble cinmethylin metabolites by Lolium rigidum populations with reduced cinmethylin sensitivity","type":"article-journal","volume":"78"},"uris":["http://www.mendeley.com/documents/?uuid=711f5764-e129-3861-8be9-827a03e98a25"]}],"mendeley":{"formattedCitation":"&lt;sup&gt;13&lt;/sup&gt;","plainTextFormattedCitation":"13","previouslyFormattedCitation":"&lt;sup&gt;13&lt;/sup&gt;"},"properties":{"noteIndex":0},"schema":"https://github.com/citation-style-language/schema/raw/master/csl-citation.json"}</w:instrText>
      </w:r>
      <w:r w:rsidR="00A87E12">
        <w:fldChar w:fldCharType="separate"/>
      </w:r>
      <w:r w:rsidR="00085D8D" w:rsidRPr="00085D8D">
        <w:rPr>
          <w:noProof/>
          <w:vertAlign w:val="superscript"/>
        </w:rPr>
        <w:t>13</w:t>
      </w:r>
      <w:r w:rsidR="00A87E12">
        <w:fldChar w:fldCharType="end"/>
      </w:r>
      <w:r w:rsidR="00A87E12">
        <w:t xml:space="preserve">. Whilst </w:t>
      </w:r>
      <w:r w:rsidR="008A0D5B">
        <w:t>not</w:t>
      </w:r>
      <w:r w:rsidR="000F5E8C">
        <w:t xml:space="preserve"> </w:t>
      </w:r>
      <w:r w:rsidR="006F2D5B">
        <w:t>currently</w:t>
      </w:r>
      <w:r w:rsidR="008A0D5B">
        <w:t xml:space="preserve"> sufficient to convey resistance to cinmethylin at</w:t>
      </w:r>
      <w:r w:rsidR="002667FC">
        <w:t xml:space="preserve"> the</w:t>
      </w:r>
      <w:r w:rsidR="008A0D5B">
        <w:t xml:space="preserve"> field dose, this highlights the importance of considering inter-population variability when introducing a new herbicide.</w:t>
      </w:r>
      <w:r w:rsidR="00A87E12">
        <w:t xml:space="preserve"> </w:t>
      </w:r>
    </w:p>
    <w:p w14:paraId="65BDAFEA" w14:textId="224E8271" w:rsidR="002F7F17" w:rsidRDefault="006B5A2B" w:rsidP="00B56E00">
      <w:pPr>
        <w:spacing w:line="360" w:lineRule="auto"/>
      </w:pPr>
      <w:r w:rsidRPr="00893E68">
        <w:rPr>
          <w:i/>
          <w:iCs/>
        </w:rPr>
        <w:t>A.</w:t>
      </w:r>
      <w:r>
        <w:rPr>
          <w:i/>
          <w:iCs/>
        </w:rPr>
        <w:t xml:space="preserve"> </w:t>
      </w:r>
      <w:r w:rsidRPr="00893E68">
        <w:rPr>
          <w:i/>
          <w:iCs/>
        </w:rPr>
        <w:t>myosuroides</w:t>
      </w:r>
      <w:r>
        <w:t xml:space="preserve"> </w:t>
      </w:r>
      <w:r w:rsidRPr="00FC36E0">
        <w:t xml:space="preserve">is </w:t>
      </w:r>
      <w:r>
        <w:t xml:space="preserve">the most pernicious </w:t>
      </w:r>
      <w:r w:rsidRPr="00FC36E0">
        <w:t xml:space="preserve">UK weed </w:t>
      </w:r>
      <w:r>
        <w:t>of winter cereal crops</w:t>
      </w:r>
      <w:r w:rsidRPr="00FC36E0">
        <w:t xml:space="preserve">, </w:t>
      </w:r>
      <w:r w:rsidR="002B3A04">
        <w:t xml:space="preserve">with evolved resistance to </w:t>
      </w:r>
      <w:r w:rsidR="002B3A04" w:rsidRPr="00FC36E0">
        <w:t>seven herbicide modes-of-action</w:t>
      </w:r>
      <w:r w:rsidR="002B3A04">
        <w:t xml:space="preserve"> </w:t>
      </w:r>
      <w:r w:rsidR="002B3A04">
        <w:fldChar w:fldCharType="begin" w:fldLock="1"/>
      </w:r>
      <w:r w:rsidR="00DF0B67">
        <w:instrText>ADDIN CSL_CITATION {"citationItems":[{"id":"ITEM-1","itemData":{"URL":"www.weedscience.org","accessed":{"date-parts":[["2022","9","22"]]},"author":[{"dropping-particle":"","family":"Heap","given":"Ian","non-dropping-particle":"","parse-names":false,"suffix":""}],"id":"ITEM-1","issued":{"date-parts":[["0"]]},"title":"The International Herbicide-Resistant Weed Database","type":"webpage"},"uris":["http://www.mendeley.com/documents/?uuid=16f5a568-6834-4ffb-be3f-ff4c3b87b2c1"]}],"mendeley":{"formattedCitation":"&lt;sup&gt;1&lt;/sup&gt;","plainTextFormattedCitation":"1","previouslyFormattedCitation":"&lt;sup&gt;1&lt;/sup&gt;"},"properties":{"noteIndex":0},"schema":"https://github.com/citation-style-language/schema/raw/master/csl-citation.json"}</w:instrText>
      </w:r>
      <w:r w:rsidR="002B3A04">
        <w:fldChar w:fldCharType="separate"/>
      </w:r>
      <w:r w:rsidR="00085D8D" w:rsidRPr="00085D8D">
        <w:rPr>
          <w:noProof/>
          <w:vertAlign w:val="superscript"/>
        </w:rPr>
        <w:t>1</w:t>
      </w:r>
      <w:r w:rsidR="002B3A04">
        <w:fldChar w:fldCharType="end"/>
      </w:r>
      <w:r w:rsidR="002B3A04" w:rsidRPr="00FC36E0">
        <w:t>,</w:t>
      </w:r>
      <w:r w:rsidR="002B3A04">
        <w:t xml:space="preserve"> </w:t>
      </w:r>
      <w:r w:rsidRPr="00FC36E0">
        <w:t>causing an annual £0.4</w:t>
      </w:r>
      <w:r w:rsidR="00365DA1">
        <w:t xml:space="preserve"> billion</w:t>
      </w:r>
      <w:r w:rsidRPr="00FC36E0">
        <w:t xml:space="preserve"> in </w:t>
      </w:r>
      <w:r w:rsidR="00365DA1">
        <w:t>crop yield losses</w:t>
      </w:r>
      <w:r w:rsidRPr="00FC36E0">
        <w:t xml:space="preserve"> </w:t>
      </w:r>
      <w:r w:rsidR="00B23668">
        <w:fldChar w:fldCharType="begin" w:fldLock="1"/>
      </w:r>
      <w:r w:rsidR="00DF0B67">
        <w:instrText>ADDIN CSL_CITATION {"citationItems":[{"id":"ITEM-1","itemData":{"DOI":"10.1038/s41893-019-0450-8","ISSN":"23989629","abstract":"Pesticides have underpinned significant improvements in global food security, albeit with associated environmental costs. Currently, the yield benefits of pesticides are threatened as overuse has led to wide-scale evolution of resistance. Despite this threat, there are no large-scale estimates of crop yield losses or economic costs due to resistance. Here, we combine national-scale density and resistance data for the weed Alopecurus myosuroides (black-grass) with crop yield maps and an economic model to estimate resistance impacts. We estimate that the annual cost of resistance in England is £0.4 billion in lost gross profit (2014 prices) and annual wheat yield loss due to resistance is 0.8 million tonnes. A total loss of herbicide control against black-grass would cost £1 billion and 3.4 million tonnes of lost wheat yield annually. Worldwide, there are 253 herbicide-resistant weeds, so the global impact of resistance could be enormous. Our research supports urgent national-scale planning to combat resistance and an incentive for increasing yields through food-production systems rather than herbicides.","author":[{"dropping-particle":"","family":"Varah","given":"Alexa","non-dropping-particle":"","parse-names":false,"suffix":""},{"dropping-particle":"","family":"Ahodo","given":"Kwadjo","non-dropping-particle":"","parse-names":false,"suffix":""},{"dropping-particle":"","family":"Coutts","given":"Shaun R.","non-dropping-particle":"","parse-names":false,"suffix":""},{"dropping-particle":"","family":"Hicks","given":"Helen L.","non-dropping-particle":"","parse-names":false,"suffix":""},{"dropping-particle":"","family":"Comont","given":"David","non-dropping-particle":"","parse-names":false,"suffix":""},{"dropping-particle":"","family":"Crook","given":"Laura","non-dropping-particle":"","parse-names":false,"suffix":""},{"dropping-particle":"","family":"Hull","given":"Richard","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P.","non-dropping-particle":"","parse-names":false,"suffix":""},{"dropping-particle":"","family":"Norris","given":"Ken","non-dropping-particle":"","parse-names":false,"suffix":""}],"container-title":"Nature Sustainability","id":"ITEM-1","issue":"1","issued":{"date-parts":[["2020","1","30"]]},"page":"63-71","title":"The costs of human-induced evolution in an agricultural system","type":"article-journal","volume":"3"},"uris":["http://www.mendeley.com/documents/?uuid=2b634483-aa58-3bc5-a50b-343a2bb822c4"]}],"mendeley":{"formattedCitation":"&lt;sup&gt;14&lt;/sup&gt;","plainTextFormattedCitation":"14","previouslyFormattedCitation":"&lt;sup&gt;14&lt;/sup&gt;"},"properties":{"noteIndex":0},"schema":"https://github.com/citation-style-language/schema/raw/master/csl-citation.json"}</w:instrText>
      </w:r>
      <w:r w:rsidR="00B23668">
        <w:fldChar w:fldCharType="separate"/>
      </w:r>
      <w:r w:rsidR="00085D8D" w:rsidRPr="00085D8D">
        <w:rPr>
          <w:noProof/>
          <w:vertAlign w:val="superscript"/>
        </w:rPr>
        <w:t>14</w:t>
      </w:r>
      <w:r w:rsidR="00B23668">
        <w:fldChar w:fldCharType="end"/>
      </w:r>
      <w:r w:rsidRPr="00FC36E0">
        <w:t xml:space="preserve">. </w:t>
      </w:r>
      <w:r w:rsidR="002B3A04">
        <w:t xml:space="preserve">NTSR is now the predominant resistance mechanism amongst UK blackgrass populations, involving upregulation of plant </w:t>
      </w:r>
      <w:r w:rsidR="00365DA1">
        <w:t>g</w:t>
      </w:r>
      <w:r w:rsidR="002B3A04" w:rsidRPr="00E171AD">
        <w:t>lutathione</w:t>
      </w:r>
      <w:r w:rsidR="002B3A04">
        <w:t>-</w:t>
      </w:r>
      <w:r w:rsidR="002B3A04" w:rsidRPr="00E171AD">
        <w:t>S-transferase</w:t>
      </w:r>
      <w:r w:rsidR="002B3A04">
        <w:t xml:space="preserve">s, ABC-transporters, </w:t>
      </w:r>
      <w:r w:rsidR="00365DA1">
        <w:t>c</w:t>
      </w:r>
      <w:r w:rsidR="002B3A04">
        <w:t>ytochrome P450s, and other metaboli</w:t>
      </w:r>
      <w:r w:rsidR="00365DA1">
        <w:t>sm</w:t>
      </w:r>
      <w:r w:rsidR="002B3A04">
        <w:t xml:space="preserve">-related genes, providing resistance to a wide range of actives from multiple MOAs </w:t>
      </w:r>
      <w:r w:rsidR="002B3A04">
        <w:fldChar w:fldCharType="begin" w:fldLock="1"/>
      </w:r>
      <w:r w:rsidR="00DF0B67">
        <w:instrText>ADDIN CSL_CITATION {"citationItems":[{"id":"ITEM-1","itemData":{"DOI":"10.1111/tpj.13892","ISSN":"09607412","author":[{"dropping-particle":"","family":"Tétard-Jones","given":"Catherine","non-dropping-particle":"","parse-names":false,"suffix":""},{"dropping-particle":"","family":"Sabbadin","given":"Federico","non-dropping-particle":"","parse-names":false,"suffix":""},{"dropping-particle":"","family":"Moss","given":"Stephen","non-dropping-particle":"","parse-names":false,"suffix":""},{"dropping-particle":"","family":"Hull","given":"Richard","non-dropping-particle":"","parse-names":false,"suffix":""},{"dropping-particle":"","family":"Neve","given":"Paul","non-dropping-particle":"","parse-names":false,"suffix":""},{"dropping-particle":"","family":"Edwards","given":"Robert","non-dropping-particle":"","parse-names":false,"suffix":""}],"container-title":"The Plant Journal","id":"ITEM-1","issue":"4","issued":{"date-parts":[["2018","5","1"]]},"page":"709-720","publisher":"Wiley/Blackwell (10.1111)","title":"Changes in the proteome of the problem weed blackgrass correlating with multiple-herbicide resistance","type":"article-journal","volume":"94"},"uris":["http://www.mendeley.com/documents/?uuid=c63cec75-fe5c-32ed-bcba-2fe4e632b874"]},{"id":"ITEM-2","itemData":{"DOI":"10.1073/pnas.1221179110","ISBN":"1091-6490 (Electronic)\\r0027-8424 (Linking)","ISSN":"0027-8424","PMID":"23530204","abstract":"Multiple-herbicide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management.","author":[{"dropping-particle":"","family":"Cummins","given":"Ian","non-dropping-particle":"","parse-names":false,"suffix":""},{"dropping-particle":"","family":"Wortley","given":"David J","non-dropping-particle":"","parse-names":false,"suffix":""},{"dropping-particle":"","family":"Sabbadin","given":"Federico","non-dropping-particle":"","parse-names":false,"suffix":""},{"dropping-particle":"","family":"He","given":"Zhesi","non-dropping-particle":"","parse-names":false,"suffix":""},{"dropping-particle":"","family":"Coxon","given":"Christopher R","non-dropping-particle":"","parse-names":false,"suffix":""},{"dropping-particle":"","family":"Straker","given":"Hannah E","non-dropping-particle":"","parse-names":false,"suffix":""},{"dropping-particle":"","family":"Sellars","given":"Jonathan D","non-dropping-particle":"","parse-names":false,"suffix":""},{"dropping-particle":"","family":"Knight","given":"Kathryn","non-dropping-particle":"","parse-names":false,"suffix":""},{"dropping-particle":"","family":"Edwards","given":"L.","non-dropping-particle":"","parse-names":false,"suffix":""},{"dropping-particle":"","family":"Hughes","given":"David","non-dropping-particle":"","parse-names":false,"suffix":""},{"dropping-particle":"","family":"Kaundun","given":"Shiv Shankhar","non-dropping-particle":"","parse-names":false,"suffix":""},{"dropping-particle":"","family":"Hutchings","given":"S.-J.","non-dropping-particle":"","parse-names":false,"suffix":""},{"dropping-particle":"","family":"Steel","given":"Patrick G","non-dropping-particle":"","parse-names":false,"suffix":""},{"dropping-particle":"","family":"Edwards","given":"Robert","non-dropping-particle":"","parse-names":false,"suffix":""}],"container-title":"Proceedings of the National Academy of Sciences","id":"ITEM-2","issue":"15","issued":{"date-parts":[["2013","4","9"]]},"page":"5812-5817","title":"Key role for a glutathione transferase in multiple-herbicide resistance in grass weeds","type":"article-journal","volume":"110"},"uris":["http://www.mendeley.com/documents/?uuid=4f660bae-6c58-3a9b-9f97-9652e46ab03f"]},{"id":"ITEM-3","itemData":{"DOI":"10.1038/s41559-018-0470-1","ISSN":"2397334X","abstract":"Repeated use of xenobiotic chemicals has selected for the rapid evolution of resistance, threatening health and food security at a global scale. Strategies for preventing the evolution of resistance include cycling and mixtures of chemicals and diversification of management. We currently lack large-scale studies that evaluate the efficacy of these different strategies for minimizing the evolution of resistance. Here we use a national-scale data set of occurrence of the weed Alopecurus myosuroides (black-grass) in the United Kingdom to address this. Weed densities are correlated with assays of evolved resistance, supporting the hypothesis that resistance is driving weed abundance at a national scale. Resistance was correlated with the frequency of historical herbicide applications, suggesting that evolution of resistance is primarily driven by intensity of exposure to herbicides, but was unrelated directly to other cultural techniques. We find that populations resistant to one herbicide are likely to show resistance to multiple herbicide classes. Finally, we show that the economic costs of evolved resistance are considerable: loss of control through resistance can double the economic costs of weeds. This research highlights the importance of managing threats to food production and healthcare systems using an evolutionarily informed approach in a proactive not reactive manner.","author":[{"dropping-particle":"","family":"Hicks","given":"Helen L.","non-dropping-particle":"","parse-names":false,"suffix":""},{"dropping-particle":"","family":"Comont","given":"David","non-dropping-particle":"","parse-names":false,"suffix":""},{"dropping-particle":"","family":"Coutts","given":"Shaun R.","non-dropping-particle":"","parse-names":false,"suffix":""},{"dropping-particle":"","family":"Crook","given":"Laura","non-dropping-particle":"","parse-names":false,"suffix":""},{"dropping-particle":"","family":"Hull","given":"Richard","non-dropping-particle":"","parse-names":false,"suffix":""},{"dropping-particle":"","family":"Norris","given":"Ken","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P.","non-dropping-particle":"","parse-names":false,"suffix":""}],"container-title":"Nature Ecology and Evolution","id":"ITEM-3","issue":"3","issued":{"date-parts":[["2018","3","12"]]},"page":"529-536","title":"The factors driving evolved herbicide resistance at a national scale","type":"article-journal","volume":"2"},"uris":["http://www.mendeley.com/documents/?uuid=ec6862a4-17cf-3a47-8797-5e4be4e48e14"]},{"id":"ITEM-4","itemData":{"DOI":"10.3389/fpls.2021.636652","ISSN":"1664462X","abstract":"Non-target site resistance (NTSR) to herbicides in black-grass (Alopecurus myosuroides) results in enhanced tolerance to multiple chemistries and is widespread in Northern Europe. To help define the underpinning mechanisms of resistance, global transcriptome and biochemical analysis have been used to phenotype three NTSR black-grass populations. These comprised NTSR1 black-grass from the classic Peldon field population, which shows broad-ranging resistance to post-emergence herbicides; NTSR2 derived from herbicide-sensitive (HS) plants repeatedly selected for tolerance to pendimethalin; and NTSR3 selected from HS plants for resistance to fenoxaprop-P-ethyl. NTSR in weeds is commonly associated with enhanced herbicide metabolism catalyzed by glutathione transferases (GSTs) and cytochromes P450 (CYPs). As such, the NTSR populations were assessed for their ability to detoxify chlorotoluron, which is detoxified by CYPs and fenoxaprop-P-ethyl, which is acted on by GSTs. As compared with HS plants, enhanced metabolism toward both herbicides was determined in the NTSR1 and NTSR2 populations. In contrast, the NTSR3 plants showed no increased detoxification capacity, demonstrating that resistance in this population was not due to enhanced metabolism. All resistant populations showed increased levels of AmGSTF1, a protein functionally linked to NTSR and enhanced herbicide metabolism. Enhanced AmGSTF1 was associated with increased levels of the associated transcripts in the NTSR1 and NTSR2 plants, but not in NTSR3, suggestive of both pre- and post-transcriptional regulation. The related HS, NTSR2, and NTSR3 plants were subject to global transcriptome sequencing and weighted gene co-expression network analysis to identify modules of genes with coupled regulatory functions. In the NTSR2 plants, modules linked to detoxification were identified, with many similarities to the transcriptome of NTSR1 black-grass. Critical detoxification genes included members of the CYP81A family and tau and phi class GSTs. The NTSR2 transcriptome also showed network similarities to other (a)biotic stresses of plants and multidrug resistance in humans. In contrast, completely different gene networks were activated in the NTSR3 plants, showing similarity to the responses to cold, osmotic shock and fungal infection determined in cereals. Our results demonstrate that NTSR in black-grass can arise from at least two distinct mechanisms, each involving complex changes in gene regulatory networks.","author":[{"dropping-particle":"","family":"Franco-Ortega","given":"Sara","non-dropping-particle":"","parse-names":false,"suffix":""},{"dropping-particle":"","family":"Goldberg-Cavalleri","given":"Alina","non-dropping-particle":"","parse-names":false,"suffix":""},{"dropping-particle":"","family":"Walker","given":"Andrew","non-dropping-particle":"","parse-names":false,"suffix":""},{"dropping-particle":"","family":"Brazier-Hicks","given":"Melissa","non-dropping-particle":"","parse-names":false,"suffix":""},{"dropping-particle":"","family":"Onkokesung","given":"Nawaporn","non-dropping-particle":"","parse-names":false,"suffix":""},{"dropping-particle":"","family":"Edwards","given":"Robert","non-dropping-particle":"","parse-names":false,"suffix":""}],"container-title":"Frontiers in Plant Science","id":"ITEM-4","issued":{"date-parts":[["2021","3","3"]]},"page":"194","publisher":"Frontiers Media S.A.","title":"Non-target Site Herbicide Resistance Is Conferred by Two Distinct Mechanisms in Black-Grass (Alopecurus myosuroides)","type":"article-journal","volume":"12"},"uris":["http://www.mendeley.com/documents/?uuid=2e3eb19d-745a-3750-a374-b3ef9c56d7a3"]}],"mendeley":{"formattedCitation":"&lt;sup&gt;15–18&lt;/sup&gt;","plainTextFormattedCitation":"15–18","previouslyFormattedCitation":"&lt;sup&gt;15–18&lt;/sup&gt;"},"properties":{"noteIndex":0},"schema":"https://github.com/citation-style-language/schema/raw/master/csl-citation.json"}</w:instrText>
      </w:r>
      <w:r w:rsidR="002B3A04">
        <w:fldChar w:fldCharType="separate"/>
      </w:r>
      <w:r w:rsidR="00085D8D" w:rsidRPr="00085D8D">
        <w:rPr>
          <w:noProof/>
          <w:vertAlign w:val="superscript"/>
          <w:lang w:val="fr-FR"/>
        </w:rPr>
        <w:t>15–18</w:t>
      </w:r>
      <w:r w:rsidR="002B3A04">
        <w:fldChar w:fldCharType="end"/>
      </w:r>
      <w:r w:rsidR="002B3A04" w:rsidRPr="002E7575">
        <w:rPr>
          <w:lang w:val="fr-FR"/>
        </w:rPr>
        <w:t xml:space="preserve">. </w:t>
      </w:r>
      <w:r w:rsidR="002B3A04">
        <w:t>Prevalence of resistance to ALS and ACCase inhibitors in UK populations has led to greater reliance on</w:t>
      </w:r>
      <w:r w:rsidR="00DC6C06">
        <w:t xml:space="preserve"> alternative actives, particularly</w:t>
      </w:r>
      <w:r w:rsidR="002B3A04">
        <w:t xml:space="preserve"> soil-residual pre-emergence herbicides </w:t>
      </w:r>
      <w:r w:rsidR="002B3A04">
        <w:fldChar w:fldCharType="begin" w:fldLock="1"/>
      </w:r>
      <w:r w:rsidR="00DF0B67">
        <w:instrText>ADDIN CSL_CITATION {"citationItems":[{"id":"ITEM-1","itemData":{"DOI":"10.1564/v28_oct_04","ISSN":"17431034","abstract":"Black-grass (Alopecurus myosuroides) occurs in over 60 countries worldwide but its occurrence as a major annual grass-weed of arable crops is very largely confined to Western Europe. However, here it is one of the most problematic weeds of autumn sown crops, largely as a consequence of widespread, evolved resistance to herbicides. Heap listed 14 countries with herbicide resistant populations, including Belgium, Denmark, France, Germany, Netherlands and the UK, the first country where resistance was detected, in 1982. Black-grass is becoming an increasing problem in eastern and northern Europe too, with resistance confirmed in the Czech Republic in 2008, Poland in 2010 and Sweden in 2011. Although often considered a relatively ‘new’ weed, it was recognised as a ‘very troublesome weed among wheat’ over 175 years ago. However, black-grass has certainly become more widespread and more problematic to control during the last 50 years. Why is this? Changes in arable cropping and tillage systems have encouraged black-grass and also, as a consequence, intensive use of herbicides for its control. This over-reliance on herbicides, combined with limited use of non-chemical control methods, has resulted in widespread resistance, especially to post-emergence acetyl-CoA carboxylase (ACCase) and acetolactate synthase (ALS) inhibiting herbicides. Since the 1970s, farmers had grown accustomed to the regular introduction of effective new black-grass herbicides. However, no major new herbicide with a novel mode of action has been commercialised for over 30 years and most, but certainly not all, farmers now accept that there is no simple ‘chemical solution’ for controlling resistant black-grass. With declining performance of post-emergence herbicides, farmers have had no option other than to use more pre-emergence herbicides, which tend to be less resistance prone, combined with much greater reliance on non-chemical control methods. However, while the adoption of integrated weed management (IWM) strategies is laudable, it has largely been out of necessity, rather than as a measured way of reducing pesticide use, which is European Union policy. The author has been involved in research on black-grass for over 40 years, and this article highlights his beliefs that effective management solutions can only be achieved through a good understanding of the agro-ecology of the weed. In addition, farmers need to adopt a longer-term view and accept that 'quick' fixes are unlikely to be…","author":[{"dropping-particle":"","family":"Moss","given":"Stephen","non-dropping-particle":"","parse-names":false,"suffix":""}],"container-title":"Outlooks on Pest Management","id":"ITEM-1","issue":"5","issued":{"date-parts":[["2017","10","1"]]},"page":"207-212","publisher":"Research Information","title":"Black-grass (Alopecurus myosuroides): Why has this weed become such a problem in western europe and what are the solutions?","type":"article-journal","volume":"28"},"uris":["http://www.mendeley.com/documents/?uuid=f873dbc8-115d-3643-a1b2-41ee64522f33"]}],"mendeley":{"formattedCitation":"&lt;sup&gt;19&lt;/sup&gt;","plainTextFormattedCitation":"19","previouslyFormattedCitation":"&lt;sup&gt;19&lt;/sup&gt;"},"properties":{"noteIndex":0},"schema":"https://github.com/citation-style-language/schema/raw/master/csl-citation.json"}</w:instrText>
      </w:r>
      <w:r w:rsidR="002B3A04">
        <w:fldChar w:fldCharType="separate"/>
      </w:r>
      <w:r w:rsidR="00085D8D" w:rsidRPr="00085D8D">
        <w:rPr>
          <w:noProof/>
          <w:vertAlign w:val="superscript"/>
        </w:rPr>
        <w:t>19</w:t>
      </w:r>
      <w:r w:rsidR="002B3A04">
        <w:fldChar w:fldCharType="end"/>
      </w:r>
      <w:r w:rsidR="002B3A04">
        <w:t xml:space="preserve">. </w:t>
      </w:r>
      <w:r w:rsidR="00360230">
        <w:t>A</w:t>
      </w:r>
      <w:r w:rsidR="002B3A04">
        <w:t xml:space="preserve">lthough resistance to pre-emergence herbicides has generally evolved more slowly than </w:t>
      </w:r>
      <w:r w:rsidR="00365DA1">
        <w:t xml:space="preserve">to </w:t>
      </w:r>
      <w:r w:rsidR="002B3A04">
        <w:t>post-em</w:t>
      </w:r>
      <w:r w:rsidR="00310EDC">
        <w:t>ergence</w:t>
      </w:r>
      <w:r w:rsidR="002B3A04">
        <w:t xml:space="preserve"> actives </w:t>
      </w:r>
      <w:r w:rsidR="002B3A04">
        <w:fldChar w:fldCharType="begin" w:fldLock="1"/>
      </w:r>
      <w:r w:rsidR="00DF0B67">
        <w:instrText>ADDIN CSL_CITATION {"citationItems":[{"id":"ITEM-1","itemData":{"DOI":"10.1016/j.cropro.2018.09.005","ISSN":"02612194","abstract":"Herbicide resistance is of increasing concern, especially as there is a lack of new modes of action. An assessment of resistance risk has been a key part of the pesticide authorisation process in most European countries since the early 2000's. However, little guidance is provided on how to quantify these risks. The risk matrix described here presents a quantitative approach to the evaluation of the resistance risk posed by the use of herbicides. The inherent, ‘unmodified’ risk is first assessed by ranking herbicides and major target weed species on a scale from low to high resistance risk, based largely on published information. In practice, agronomic management practices (‘modifiers’) will reduce the risk and these are factored into the matrix. Modifiers can include management strategies relating to herbicide use as well as non-chemical methods of weed control. By assigning defined impact factors to possible agronomic modifiers, the overall resistance risk of a herbicide under defined use conditions can be quantified. The approach, although simple, appears robust and produces realistic assessments of the resistance risks associated with four contrasting test scenarios. The aim is to achieve a better harmonisation of herbicide resistance risk assessment across Europe. Although the matrix has a European legislative focus, the approach and principles are relevant in other parts of the world where the extensive use of herbicides is a relatively recent development, and where there is currently limited knowledge and expertise on herbicide resistance and the evaluation of resistance risks.","author":[{"dropping-particle":"","family":"Moss","given":"Stephen","non-dropping-particle":"","parse-names":false,"suffix":""},{"dropping-particle":"","family":"Ulber","given":"Lena","non-dropping-particle":"","parse-names":false,"suffix":""},{"dropping-particle":"den","family":"Hoed","given":"Ingrid","non-dropping-particle":"","parse-names":false,"suffix":""}],"container-title":"Crop Protection","id":"ITEM-1","issued":{"date-parts":[["2019","1","1"]]},"page":"13-19","publisher":"Elsevier Ltd","title":"A herbicide resistance risk matrix","type":"article-journal","volume":"115"},"uris":["http://www.mendeley.com/documents/?uuid=8f9cbe30-409b-38cd-aec1-b9709b643347"]}],"mendeley":{"formattedCitation":"&lt;sup&gt;20&lt;/sup&gt;","plainTextFormattedCitation":"20","previouslyFormattedCitation":"&lt;sup&gt;20&lt;/sup&gt;"},"properties":{"noteIndex":0},"schema":"https://github.com/citation-style-language/schema/raw/master/csl-citation.json"}</w:instrText>
      </w:r>
      <w:r w:rsidR="002B3A04">
        <w:fldChar w:fldCharType="separate"/>
      </w:r>
      <w:r w:rsidR="00085D8D" w:rsidRPr="00085D8D">
        <w:rPr>
          <w:noProof/>
          <w:vertAlign w:val="superscript"/>
        </w:rPr>
        <w:t>20</w:t>
      </w:r>
      <w:r w:rsidR="002B3A04">
        <w:fldChar w:fldCharType="end"/>
      </w:r>
      <w:r w:rsidR="002B3A04">
        <w:t xml:space="preserve">, resistance to the </w:t>
      </w:r>
      <w:r w:rsidR="00194B4A">
        <w:t xml:space="preserve">HRAC </w:t>
      </w:r>
      <w:r w:rsidR="002B3A04">
        <w:t>group-3 herbicide pendimethalin is now widely observed, and evidence suggests selection towards flufenacet (</w:t>
      </w:r>
      <w:r w:rsidR="00194B4A">
        <w:t xml:space="preserve">HRAC </w:t>
      </w:r>
      <w:r w:rsidR="002B3A04">
        <w:t xml:space="preserve">group 15) resistance is also occurring </w:t>
      </w:r>
      <w:r w:rsidR="002B3A04">
        <w:fldChar w:fldCharType="begin" w:fldLock="1"/>
      </w:r>
      <w:r w:rsidR="00DF0B67">
        <w:instrText>ADDIN CSL_CITATION {"citationItems":[{"id":"ITEM-1","itemData":{"DOI":"10.1002/ps.5414","ISSN":"15264998","PMID":"30891919","abstract":"BACKGROUND: Black-grass (Alopecurus myosuroides Huds.) is a frequent grass weed that commonly occurs in winter wheat in temperate Europe. Evolving resistance to post-emergence herbicides, e.g. acetyl CoA carboxylase (ACCase) and acetolactate synthase (ALS) inhibitors requires more complex weed management strategies and ensuring good efficacy of pre-emergence treatments becomes increasingly important. Flufenacet, in particular, has become a key herbicide for the control of multiple-resistant A. myosuroides. However, in some of those populations, reduced flufenacet efficacy was already observed. RESULTS: In a screening of black-grass populations from several European countries, most populations were controlled with the registered field rate of flufenacet. However, differences in the level of flufenacet sensitivity were observed and correlated with glutathione S-transferase-mediated enhanced flufenacet metabolism. The efficacy of the pre-emergence herbicides pendimethalin, prosulfocarb, S-metolachlor and pethoxamid, was also significantly decreased in populations with reduced flufenacet sensitivity. The use of flufenacet in mixtures with diflufenican, particularly in combination with flurtamone or metribuzin, however, significantly improved efficacy in less susceptible black-grass populations. CONCLUSIONS: In several populations of different European origins, reduced efficacy of flufenacet was observed due to enhanced metabolism. Although differences between populations were relatively small, best weed management practices (e.g. application of full dose rates and herbicide mixtures and wide crop rotations) should be applied to reduce selection pressure and prevent flufenacet resistance from further evolving. This is particularly important as flufenacet is one of the few still-effective herbicides suitable for the control of multiple-resistant A. myosuroides genotypes in Europe, whereas alternative pre-emergence herbicides were less effective against multiple-resistant A. myosuroides populations. © 2019 Society of Chemical Industry.","author":[{"dropping-particle":"","family":"Dücker","given":"Rebecka","non-dropping-particle":"","parse-names":false,"suffix":""},{"dropping-particle":"","family":"Zöllner","given":"Peter","non-dropping-particle":"","parse-names":false,"suffix":""},{"dropping-particle":"","family":"Parcharidou","given":"Evlampia","non-dropping-particle":"","parse-names":false,"suffix":""},{"dropping-particle":"","family":"Ries","given":"Susanne","non-dropping-particle":"","parse-names":false,"suffix":""},{"dropping-particle":"","family":"Lorentz","given":"Lothar","non-dropping-particle":"","parse-names":false,"suffix":""},{"dropping-particle":"","family":"Beffa","given":"Roland","non-dropping-particle":"","parse-names":false,"suffix":""}],"container-title":"Pest Management Science","id":"ITEM-1","issue":"11","issued":{"date-parts":[["2019","11","1"]]},"page":"2996-3004","publisher":"John Wiley &amp; Sons, Ltd","title":"Enhanced metabolism causes reduced flufenacet sensitivity in black-grass (Alopecurus myosuroides Huds.) field populations","type":"article-journal","volume":"75"},"uris":["http://www.mendeley.com/documents/?uuid=3dae9ae7-fa31-315e-b90c-d0965d7dc0db"]},{"id":"ITEM-2","itemData":{"DOI":"10.1017/wsc.2020.54","ISSN":"15502759","abstract":"The WSSA Group 15 (HRAC Group K3) herbicide flufenacet is a key compound in weed resistance management, primarily used for PRE control of grass weeds in winter cereal-based crop rotations in Europe. Although resistance to compounds of its mechanism of action (inhibition of the synthesis of very-long-chain fatty acids) generally evolves slowly, reduced flufenacet efficacy due to enhanced glutathione transferase (GST) activity has been described in several blackgrass (Alopecurus myosuroides Huds.) populations. The present study aimed to better understand of the mechanism of flufenacet detoxification in A. myosuroides. Therefore, we characterized four A. myosuroides populations with different levels of flufenacet sensitivity. Flufenacet degradation was significantly slowed down in a sensitive population and a population with reduced flufenacet sensitivity by the use of the GST inhibitors tridiphane and ethacrynic acid at sublethal rates. Finally, an RNA sequencing (RNA-seq) study with the four A. myosuroides populations was conducted. In total, six differentially expressed GSTs and nine transcription factors as well as a keto-acyl-CoA reductase involved in the biosynthesis of very-long-chain fatty acids were identified as candidate genes among a set of 319 significantly more highly expressed gene-associated contigs. Among a set of 218 contigs with significantly lower expression levels, receptor kinase activity was the most frequent annotation. In summary, the likely GST-mediated reduction in sensitivity evolves in A. myosuroides at a slow rate and can partially be reversed by an interaction between flufenacet and the GST inhibitors tridiphane and ethacrynic acid. This provides further evidence for enhanced GST activity as a key mechanism in flufenacet resistance in A. myosuroides and supports the hypothesis that the six differentially expressed GSTs detected in the present RNA-seq study are potentially involved in flufenacet resistance.","author":[{"dropping-particle":"","family":"Dücker","given":"Rebecka","non-dropping-particle":"","parse-names":false,"suffix":""},{"dropping-particle":"","family":"Parcharidou","given":"Evlampia","non-dropping-particle":"","parse-names":false,"suffix":""},{"dropping-particle":"","family":"Beffa","given":"Roland","non-dropping-particle":"","parse-names":false,"suffix":""}],"container-title":"Weed Science","id":"ITEM-2","issue":"5","issued":{"date-parts":[["2020","9","1"]]},"page":"451-459","publisher":"Cambridge University Press","title":"Flufenacet activity is affected by GST inhibitors in blackgrass (Alopecurus myosuroides) populations with reduced flufenacet sensitivity and higher expression levels of GSTs","type":"article-journal","volume":"68"},"uris":["http://www.mendeley.com/documents/?uuid=2d976f7d-a720-3349-9170-0bd868da7a8f"]}],"mendeley":{"formattedCitation":"&lt;sup&gt;21,22&lt;/sup&gt;","plainTextFormattedCitation":"21,22","previouslyFormattedCitation":"&lt;sup&gt;21,22&lt;/sup&gt;"},"properties":{"noteIndex":0},"schema":"https://github.com/citation-style-language/schema/raw/master/csl-citation.json"}</w:instrText>
      </w:r>
      <w:r w:rsidR="002B3A04">
        <w:fldChar w:fldCharType="separate"/>
      </w:r>
      <w:r w:rsidR="00085D8D" w:rsidRPr="00085D8D">
        <w:rPr>
          <w:noProof/>
          <w:vertAlign w:val="superscript"/>
        </w:rPr>
        <w:t>21,22</w:t>
      </w:r>
      <w:r w:rsidR="002B3A04">
        <w:fldChar w:fldCharType="end"/>
      </w:r>
      <w:r w:rsidR="002B3A04">
        <w:t xml:space="preserve">. </w:t>
      </w:r>
      <w:r w:rsidR="002E7575">
        <w:t>The introduction of cinmethylin therefore represents an important additional herbicide for blackgrass control, yet there is the risk of strong selective pressure for resistance on this active if it is not sustainably used.</w:t>
      </w:r>
      <w:r w:rsidR="004D1B84">
        <w:t xml:space="preserve"> </w:t>
      </w:r>
      <w:r w:rsidR="002B3A04">
        <w:t>T</w:t>
      </w:r>
      <w:r w:rsidR="004D1B84">
        <w:t>he widespread presence of NTSR amongst blackgrass populations raises the question of</w:t>
      </w:r>
      <w:r w:rsidR="00217E5D">
        <w:t>:</w:t>
      </w:r>
      <w:r w:rsidR="002F7F17">
        <w:t xml:space="preserve"> </w:t>
      </w:r>
      <w:r w:rsidR="00217E5D">
        <w:t>t</w:t>
      </w:r>
      <w:r w:rsidR="002F7F17">
        <w:t>o what extent</w:t>
      </w:r>
      <w:r w:rsidR="00217E5D">
        <w:t xml:space="preserve"> has</w:t>
      </w:r>
      <w:r w:rsidR="002F7F17">
        <w:t xml:space="preserve"> </w:t>
      </w:r>
      <w:r w:rsidR="00217E5D">
        <w:t xml:space="preserve">selection for </w:t>
      </w:r>
      <w:r w:rsidR="002F7F17">
        <w:t xml:space="preserve">metabolic </w:t>
      </w:r>
      <w:r w:rsidR="00217E5D">
        <w:t xml:space="preserve">resistance to </w:t>
      </w:r>
      <w:r w:rsidR="002F7F17">
        <w:t>prior herbicides</w:t>
      </w:r>
      <w:r w:rsidR="00217E5D">
        <w:t xml:space="preserve"> </w:t>
      </w:r>
      <w:r w:rsidR="002F7F17">
        <w:t>provided pre-adaptation to cinmethylin?</w:t>
      </w:r>
    </w:p>
    <w:p w14:paraId="6719CC25" w14:textId="0FB03693" w:rsidR="006B5A2B" w:rsidRDefault="00A90897" w:rsidP="00B56E00">
      <w:pPr>
        <w:spacing w:line="360" w:lineRule="auto"/>
      </w:pPr>
      <w:r>
        <w:t xml:space="preserve">In light of such issues, </w:t>
      </w:r>
      <w:r w:rsidR="004720B1">
        <w:t>i</w:t>
      </w:r>
      <w:r w:rsidR="002F7F17">
        <w:t>t has been argued that</w:t>
      </w:r>
      <w:r w:rsidR="004720B1">
        <w:t xml:space="preserve"> </w:t>
      </w:r>
      <w:r w:rsidR="006A16C7">
        <w:t xml:space="preserve">any herbicide </w:t>
      </w:r>
      <w:r w:rsidR="004720B1">
        <w:t>introduction</w:t>
      </w:r>
      <w:r>
        <w:t xml:space="preserve"> </w:t>
      </w:r>
      <w:r w:rsidR="004720B1">
        <w:t>should be accompanied by</w:t>
      </w:r>
      <w:r w:rsidR="002F7F17">
        <w:t xml:space="preserve"> </w:t>
      </w:r>
      <w:r w:rsidR="006B5A2B">
        <w:t xml:space="preserve">detailed </w:t>
      </w:r>
      <w:r w:rsidR="004720B1">
        <w:t>evaluation</w:t>
      </w:r>
      <w:r w:rsidR="006B5A2B">
        <w:t xml:space="preserve"> of </w:t>
      </w:r>
      <w:r w:rsidR="00097B54">
        <w:t xml:space="preserve">existing </w:t>
      </w:r>
      <w:r w:rsidR="006B5A2B">
        <w:t>sensitivity</w:t>
      </w:r>
      <w:r w:rsidR="00097B54">
        <w:t xml:space="preserve"> in field populations</w:t>
      </w:r>
      <w:r w:rsidR="006B5A2B">
        <w:t xml:space="preserve">, </w:t>
      </w:r>
      <w:r w:rsidR="004720B1">
        <w:t>assessment</w:t>
      </w:r>
      <w:r w:rsidR="006B5A2B">
        <w:t xml:space="preserve"> of cross-resistance from exposure to other herbicide groups</w:t>
      </w:r>
      <w:r w:rsidR="004720B1">
        <w:t>, and monitoring for potential further shifts in sensitivity</w:t>
      </w:r>
      <w:r w:rsidR="002F7F17">
        <w:t xml:space="preserve"> </w:t>
      </w:r>
      <w:r>
        <w:fldChar w:fldCharType="begin" w:fldLock="1"/>
      </w:r>
      <w:r w:rsidR="00DF0B67">
        <w:instrText>ADDIN CSL_CITATION {"citationItems":[{"id":"ITEM-1","itemData":{"DOI":"10.1002/ps.6457","ISSN":"15264998","PMID":"33942963","abstract":"While herbicides are the most effective and widely adopted weed management approach, the evolution of multiple herbicide resistance in damaging weed species threatens the yield and profitability of many crops. Weeds accumulate multiple resistance mechanisms through sequential selection and/or gene flow, with long-range and international transport of herbicide-resistant weeds proving to be a serious issue. Metabolic resistance mechanisms can confer resistance across multiple sites of action and even to herbicides not yet discovered. When a new site of action herbicide is introduced to control a key driver weed, it likely will be one of very few effective available herbicide options for that weed in a specific crop due to the continuous use of herbicides over the years and the resulting accumulation of resistance mechanisms, placing it at even higher risk to be rapidly lost to resistance due to the high selection pressure it will experience. The number of available, effective herbicides for certain driver weeds is decreasing over time because the rate of resistance evolution is faster than the rate of new herbicide discovery. Effective monitoring for species movement and diagnostics for resistance should be deployed to rapidly identify emerging resistance to any new site of action. While innovation in herbicide discovery is urgently needed to combat the pressing issue of resistance in weeds, the rate of selection for herbicide resistance in weeds must be slowed through changes in the patterns of how herbicides are used. © 2021 Society of Chemical Industry. © 2021 Society of Chemical Industry.","author":[{"dropping-particle":"","family":"Gaines","given":"Todd A.","non-dropping-particle":"","parse-names":false,"suffix":""},{"dropping-particle":"","family":"Busi","given":"Roberto","non-dropping-particle":"","parse-names":false,"suffix":""},{"dropping-particle":"","family":"Küpper","given":"Anita","non-dropping-particle":"","parse-names":false,"suffix":""}],"container-title":"Pest Management Science","id":"ITEM-1","issue":"7","issued":{"date-parts":[["2021","7","1"]]},"page":"3036-3041","publisher":"John Wiley &amp; Sons, Ltd","title":"Can new herbicide discovery allow weed management to outpace resistance evolution?","type":"article-journal","volume":"77"},"uris":["http://www.mendeley.com/documents/?uuid=40532dc5-596a-347d-b1d3-2b58fd3db88e"]}],"mendeley":{"formattedCitation":"&lt;sup&gt;23&lt;/sup&gt;","plainTextFormattedCitation":"23","previouslyFormattedCitation":"&lt;sup&gt;23&lt;/sup&gt;"},"properties":{"noteIndex":0},"schema":"https://github.com/citation-style-language/schema/raw/master/csl-citation.json"}</w:instrText>
      </w:r>
      <w:r>
        <w:fldChar w:fldCharType="separate"/>
      </w:r>
      <w:r w:rsidR="00085D8D" w:rsidRPr="00085D8D">
        <w:rPr>
          <w:noProof/>
          <w:vertAlign w:val="superscript"/>
        </w:rPr>
        <w:t>23</w:t>
      </w:r>
      <w:r>
        <w:fldChar w:fldCharType="end"/>
      </w:r>
      <w:r w:rsidR="006B5A2B">
        <w:t xml:space="preserve">. To date, while some field trials have demonstrated the potential for cinmethylin to control populations of </w:t>
      </w:r>
      <w:r w:rsidR="006B5A2B" w:rsidRPr="003764F6">
        <w:rPr>
          <w:i/>
          <w:iCs/>
        </w:rPr>
        <w:t>A. myosuroides</w:t>
      </w:r>
      <w:r w:rsidR="006B5A2B">
        <w:t xml:space="preserve"> </w:t>
      </w:r>
      <w:r>
        <w:fldChar w:fldCharType="begin" w:fldLock="1"/>
      </w:r>
      <w:r w:rsidR="00DF0B67">
        <w:instrText>ADDIN CSL_CITATION {"citationItems":[{"id":"ITEM-1","itemData":{"DOI":"10.17221/586/2020-PSE","ISSN":"18059368","abstract":"Cinmethylin is a potential new pre-emergence herbicide in Europe inhibiting the fatty acid thioesterases in the plastid against Alopecurus myosuroides and other grass-weeds in winter cereals and oil-seed rape. Five field experiments were conducted in Southwestern Germany from 2018 until 2020 to assess the control efficacy of cin-methylin and other common pre-emergence herbicides alone and combined with post-emergence herbicides against A. myosuroides and yield response of winter wheat and winter triticale. In four experiments, the effect of early and late sowing of winter cereals was included as the second factor in the experiment to investigate if late sowing can reduce A. myosuroides density weed control efficacy. All fields were heavily infested with A. myosuroides with average densities of 110–730 plants/m2. Late sowing reduced densities in three out of four experiments. Herbicides con-trolled 42–100% of the A. myosuroides plants. However, none of the treatments was consistently better than the other treatments over all experiments. In three out of 5 experiments, grain yields were significantly increased by the herbicide treatments. The results demonstrate that cinmethylin increases the options for controlling A. myosuroides in winter cereals. However, it needs to be combined with other control tactics.","author":[{"dropping-particle":"","family":"Messelhäuser","given":"Miriam H.","non-dropping-particle":"","parse-names":false,"suffix":""},{"dropping-particle":"","family":"Saile","given":"Marcus","non-dropping-particle":"","parse-names":false,"suffix":""},{"dropping-particle":"","family":"Sievernich","given":"Bernd","non-dropping-particle":"","parse-names":false,"suffix":""},{"dropping-particle":"","family":"Gerhards","given":"Roland","non-dropping-particle":"","parse-names":false,"suffix":""}],"container-title":"Plant, Soil and Environment","id":"ITEM-1","issue":"1","issued":{"date-parts":[["2021","1","11"]]},"page":"46-54","publisher":"Czech Academy of Agricultural Sciences","title":"Effect of cinmethylin against Alopecurus myosuroides huds. In winter cereals","type":"article-journal","volume":"67"},"uris":["http://www.mendeley.com/documents/?uuid=431e0d3d-7cd4-315f-a46b-282652bd7e01"]}],"mendeley":{"formattedCitation":"&lt;sup&gt;24&lt;/sup&gt;","plainTextFormattedCitation":"24","previouslyFormattedCitation":"&lt;sup&gt;24&lt;/sup&gt;"},"properties":{"noteIndex":0},"schema":"https://github.com/citation-style-language/schema/raw/master/csl-citation.json"}</w:instrText>
      </w:r>
      <w:r>
        <w:fldChar w:fldCharType="separate"/>
      </w:r>
      <w:r w:rsidR="00085D8D" w:rsidRPr="00085D8D">
        <w:rPr>
          <w:noProof/>
          <w:vertAlign w:val="superscript"/>
        </w:rPr>
        <w:t>24</w:t>
      </w:r>
      <w:r>
        <w:fldChar w:fldCharType="end"/>
      </w:r>
      <w:r w:rsidR="006B5A2B">
        <w:t xml:space="preserve">, there has been no large-scale assessment of inter-population variability in cinmethylin response in </w:t>
      </w:r>
      <w:r w:rsidR="008F4483" w:rsidRPr="008F4483">
        <w:t>this species</w:t>
      </w:r>
      <w:r w:rsidR="006B5A2B">
        <w:t>, nor how pre-existing</w:t>
      </w:r>
      <w:r w:rsidR="008F4483">
        <w:t xml:space="preserve"> NTSR</w:t>
      </w:r>
      <w:r w:rsidR="006B5A2B">
        <w:t xml:space="preserve"> mechanisms might affect cinmethylin efficacy. Here we provide such a study for UK populations of </w:t>
      </w:r>
      <w:r w:rsidR="006B5A2B" w:rsidRPr="007D02E3">
        <w:rPr>
          <w:i/>
          <w:iCs/>
        </w:rPr>
        <w:t>A. myosuroides</w:t>
      </w:r>
      <w:r w:rsidR="006B1014">
        <w:t xml:space="preserve">, </w:t>
      </w:r>
      <w:r w:rsidR="006B5A2B">
        <w:t xml:space="preserve">to coincide </w:t>
      </w:r>
      <w:r w:rsidR="006B5A2B">
        <w:lastRenderedPageBreak/>
        <w:t xml:space="preserve">with the UK introduction of cinmethylin. We provide a detailed assessment of inter-population variability in sensitivity to this new active </w:t>
      </w:r>
      <w:r w:rsidR="006B1014">
        <w:t>across</w:t>
      </w:r>
      <w:r w:rsidR="006B5A2B">
        <w:t xml:space="preserve"> 97 blackgrass populations. Using experimentally derived blackgrass lines segregating for NTSR resistance to the</w:t>
      </w:r>
      <w:r w:rsidR="00CA1139">
        <w:t xml:space="preserve"> HRAC group</w:t>
      </w:r>
      <w:r w:rsidR="006B5A2B">
        <w:t xml:space="preserve"> </w:t>
      </w:r>
      <w:r w:rsidR="00CA1139">
        <w:t>1</w:t>
      </w:r>
      <w:r w:rsidR="006B5A2B">
        <w:t xml:space="preserve">, </w:t>
      </w:r>
      <w:r w:rsidR="00CA1139">
        <w:t>2</w:t>
      </w:r>
      <w:r w:rsidR="006B5A2B">
        <w:t xml:space="preserve">, </w:t>
      </w:r>
      <w:r w:rsidR="00CA1139">
        <w:t>3</w:t>
      </w:r>
      <w:r w:rsidR="006B5A2B">
        <w:t xml:space="preserve">, and </w:t>
      </w:r>
      <w:r w:rsidR="00CA1139">
        <w:t xml:space="preserve">15 </w:t>
      </w:r>
      <w:r w:rsidR="006B5A2B">
        <w:t xml:space="preserve">herbicides, we </w:t>
      </w:r>
      <w:r w:rsidR="00BA2BEE">
        <w:t>evaluate</w:t>
      </w:r>
      <w:r w:rsidR="006B5A2B">
        <w:t xml:space="preserve"> the potential for metabolic cross-resistance between these groups. Finally, using experimental evolution we investigate the potential for cinmethylin selection to cause directional shifts in cinmethylin sensitivity. </w:t>
      </w:r>
    </w:p>
    <w:p w14:paraId="7938BE0F" w14:textId="77777777" w:rsidR="00241594" w:rsidRDefault="00241594" w:rsidP="00B56E00">
      <w:pPr>
        <w:spacing w:line="360" w:lineRule="auto"/>
        <w:rPr>
          <w:b/>
          <w:bCs/>
          <w:u w:val="single"/>
        </w:rPr>
      </w:pPr>
    </w:p>
    <w:p w14:paraId="2E0891F5" w14:textId="57A8C1DB" w:rsidR="00377492" w:rsidRPr="005876B4" w:rsidRDefault="00377492" w:rsidP="00B56E00">
      <w:pPr>
        <w:spacing w:line="360" w:lineRule="auto"/>
        <w:rPr>
          <w:b/>
          <w:bCs/>
          <w:u w:val="single"/>
        </w:rPr>
      </w:pPr>
      <w:r w:rsidRPr="005876B4">
        <w:rPr>
          <w:b/>
          <w:bCs/>
          <w:u w:val="single"/>
        </w:rPr>
        <w:t>Methods:</w:t>
      </w:r>
    </w:p>
    <w:p w14:paraId="22252BC0" w14:textId="51EB559B" w:rsidR="005876B4" w:rsidRPr="005876B4" w:rsidRDefault="005876B4" w:rsidP="00B56E00">
      <w:pPr>
        <w:spacing w:line="360" w:lineRule="auto"/>
        <w:rPr>
          <w:i/>
          <w:iCs/>
          <w:u w:val="single"/>
        </w:rPr>
      </w:pPr>
      <w:r>
        <w:rPr>
          <w:i/>
          <w:iCs/>
          <w:u w:val="single"/>
        </w:rPr>
        <w:t>Inter-population variability in cinmethylin sensitivity</w:t>
      </w:r>
    </w:p>
    <w:p w14:paraId="37538424" w14:textId="0CA3E770" w:rsidR="00BC5132" w:rsidRDefault="005876B4" w:rsidP="00B56E00">
      <w:pPr>
        <w:spacing w:line="360" w:lineRule="auto"/>
      </w:pPr>
      <w:r>
        <w:t>A dose</w:t>
      </w:r>
      <w:r w:rsidR="00577D78">
        <w:t>-</w:t>
      </w:r>
      <w:r>
        <w:t xml:space="preserve">response </w:t>
      </w:r>
      <w:r w:rsidR="003070EC">
        <w:t>experiment was conducted under glasshouse conditions</w:t>
      </w:r>
      <w:r>
        <w:t xml:space="preserve"> to test the efficacy of cinmeth</w:t>
      </w:r>
      <w:r w:rsidR="00B309AF">
        <w:t>y</w:t>
      </w:r>
      <w:r>
        <w:t>lin against a variety</w:t>
      </w:r>
      <w:r w:rsidR="00A135C0">
        <w:t xml:space="preserve"> of</w:t>
      </w:r>
      <w:r>
        <w:t xml:space="preserve"> UK </w:t>
      </w:r>
      <w:r>
        <w:rPr>
          <w:i/>
          <w:iCs/>
        </w:rPr>
        <w:t>A</w:t>
      </w:r>
      <w:r w:rsidR="00577D78">
        <w:rPr>
          <w:i/>
          <w:iCs/>
        </w:rPr>
        <w:t>.</w:t>
      </w:r>
      <w:r>
        <w:rPr>
          <w:i/>
          <w:iCs/>
        </w:rPr>
        <w:t xml:space="preserve"> myosuroides</w:t>
      </w:r>
      <w:r>
        <w:t xml:space="preserve"> </w:t>
      </w:r>
      <w:r w:rsidR="001038D5">
        <w:t>(</w:t>
      </w:r>
      <w:r w:rsidR="00BE1640">
        <w:t>blackgrass</w:t>
      </w:r>
      <w:r w:rsidR="001038D5">
        <w:t xml:space="preserve">) </w:t>
      </w:r>
      <w:r>
        <w:t xml:space="preserve">field collected populations. </w:t>
      </w:r>
      <w:r w:rsidR="00577D78">
        <w:t xml:space="preserve">In total </w:t>
      </w:r>
      <w:r>
        <w:t>97 populations were assessed</w:t>
      </w:r>
      <w:r w:rsidR="00577D78">
        <w:t>,</w:t>
      </w:r>
      <w:r>
        <w:t xml:space="preserve"> 94 collected from </w:t>
      </w:r>
      <w:r w:rsidR="00577D78">
        <w:t>different fields</w:t>
      </w:r>
      <w:r>
        <w:t xml:space="preserve"> across the Black-grass Resistance Initiative (BGRI) </w:t>
      </w:r>
      <w:r w:rsidR="00F655DF">
        <w:t>field</w:t>
      </w:r>
      <w:r>
        <w:t xml:space="preserve"> network</w:t>
      </w:r>
      <w:r w:rsidR="000260F0">
        <w:t xml:space="preserve"> </w:t>
      </w:r>
      <w:r w:rsidR="0034353D">
        <w:fldChar w:fldCharType="begin" w:fldLock="1"/>
      </w:r>
      <w:r w:rsidR="00DF0B67">
        <w:instrText>ADDIN CSL_CITATION {"citationItems":[{"id":"ITEM-1","itemData":{"DOI":"10.1038/s41559-018-0470-1","ISSN":"2397334X","abstract":"Repeated use of xenobiotic chemicals has selected for the rapid evolution of resistance, threatening health and food security at a global scale. Strategies for preventing the evolution of resistance include cycling and mixtures of chemicals and diversification of management. We currently lack large-scale studies that evaluate the efficacy of these different strategies for minimizing the evolution of resistance. Here we use a national-scale data set of occurrence of the weed Alopecurus myosuroides (black-grass) in the United Kingdom to address this. Weed densities are correlated with assays of evolved resistance, supporting the hypothesis that resistance is driving weed abundance at a national scale. Resistance was correlated with the frequency of historical herbicide applications, suggesting that evolution of resistance is primarily driven by intensity of exposure to herbicides, but was unrelated directly to other cultural techniques. We find that populations resistant to one herbicide are likely to show resistance to multiple herbicide classes. Finally, we show that the economic costs of evolved resistance are considerable: loss of control through resistance can double the economic costs of weeds. This research highlights the importance of managing threats to food production and healthcare systems using an evolutionarily informed approach in a proactive not reactive manner.","author":[{"dropping-particle":"","family":"Hicks","given":"Helen L.","non-dropping-particle":"","parse-names":false,"suffix":""},{"dropping-particle":"","family":"Comont","given":"David","non-dropping-particle":"","parse-names":false,"suffix":""},{"dropping-particle":"","family":"Coutts","given":"Shaun R.","non-dropping-particle":"","parse-names":false,"suffix":""},{"dropping-particle":"","family":"Crook","given":"Laura","non-dropping-particle":"","parse-names":false,"suffix":""},{"dropping-particle":"","family":"Hull","given":"Richard","non-dropping-particle":"","parse-names":false,"suffix":""},{"dropping-particle":"","family":"Norris","given":"Ken","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P.","non-dropping-particle":"","parse-names":false,"suffix":""}],"container-title":"Nature Ecology and Evolution","id":"ITEM-1","issue":"3","issued":{"date-parts":[["2018","3","12"]]},"page":"529-536","title":"The factors driving evolved herbicide resistance at a national scale","type":"article-journal","volume":"2"},"uris":["http://www.mendeley.com/documents/?uuid=ec6862a4-17cf-3a47-8797-5e4be4e48e14"]}],"mendeley":{"formattedCitation":"&lt;sup&gt;17&lt;/sup&gt;","plainTextFormattedCitation":"17","previouslyFormattedCitation":"&lt;sup&gt;17&lt;/sup&gt;"},"properties":{"noteIndex":0},"schema":"https://github.com/citation-style-language/schema/raw/master/csl-citation.json"}</w:instrText>
      </w:r>
      <w:r w:rsidR="0034353D">
        <w:fldChar w:fldCharType="separate"/>
      </w:r>
      <w:r w:rsidR="00085D8D" w:rsidRPr="00085D8D">
        <w:rPr>
          <w:noProof/>
          <w:vertAlign w:val="superscript"/>
        </w:rPr>
        <w:t>17</w:t>
      </w:r>
      <w:r w:rsidR="0034353D">
        <w:fldChar w:fldCharType="end"/>
      </w:r>
      <w:r>
        <w:t xml:space="preserve"> </w:t>
      </w:r>
      <w:r w:rsidR="00577D78">
        <w:t>over</w:t>
      </w:r>
      <w:r>
        <w:t xml:space="preserve"> 2018 and 2019</w:t>
      </w:r>
      <w:r w:rsidR="00577D78">
        <w:t>, and three ‘</w:t>
      </w:r>
      <w:r>
        <w:t>standard</w:t>
      </w:r>
      <w:r w:rsidR="00577D78">
        <w:t>’</w:t>
      </w:r>
      <w:r>
        <w:t xml:space="preserve"> </w:t>
      </w:r>
      <w:r w:rsidRPr="00397E25">
        <w:t xml:space="preserve">populations </w:t>
      </w:r>
      <w:r w:rsidR="00577D78">
        <w:t xml:space="preserve">with well characterised resistance phenotypes. These standard populations </w:t>
      </w:r>
      <w:r w:rsidRPr="00397E25">
        <w:t xml:space="preserve">were </w:t>
      </w:r>
      <w:r w:rsidR="00577D78">
        <w:t>‘</w:t>
      </w:r>
      <w:r>
        <w:t>Rothamsted 2018</w:t>
      </w:r>
      <w:r w:rsidR="00577D78">
        <w:t>’</w:t>
      </w:r>
      <w:r>
        <w:t xml:space="preserve"> (susceptible), </w:t>
      </w:r>
      <w:r w:rsidR="00577D78">
        <w:t>‘</w:t>
      </w:r>
      <w:r>
        <w:t>Notts</w:t>
      </w:r>
      <w:r w:rsidR="00577D78">
        <w:t xml:space="preserve"> 2005’</w:t>
      </w:r>
      <w:r>
        <w:t xml:space="preserve"> (ACCase TSR only)</w:t>
      </w:r>
      <w:r w:rsidR="00577D78">
        <w:t>,</w:t>
      </w:r>
      <w:r w:rsidR="00F655DF">
        <w:t xml:space="preserve"> </w:t>
      </w:r>
      <w:r>
        <w:t xml:space="preserve">and </w:t>
      </w:r>
      <w:r w:rsidR="00577D78">
        <w:t>‘</w:t>
      </w:r>
      <w:r>
        <w:t>Peldon 2013</w:t>
      </w:r>
      <w:r w:rsidR="00577D78">
        <w:t>’</w:t>
      </w:r>
      <w:r>
        <w:t xml:space="preserve"> (NTSR). Seeds of each population were germinated in Petri dishes containing three Whatman No. 1 filter papers soaked in 5 ml of 0.02 M KNO</w:t>
      </w:r>
      <w:r w:rsidRPr="00CA701B">
        <w:rPr>
          <w:vertAlign w:val="subscript"/>
        </w:rPr>
        <w:t>3</w:t>
      </w:r>
      <w:r>
        <w:t>. Petri dishes were incubated for seven days in a Sanyo MLR-350 growth cabinet with a 17/11</w:t>
      </w:r>
      <w:r>
        <w:sym w:font="Symbol" w:char="F0B0"/>
      </w:r>
      <w:r>
        <w:t>C temperature cycle and a 14/10 hour light/dark cycle</w:t>
      </w:r>
      <w:r w:rsidR="00594D01">
        <w:t xml:space="preserve">, </w:t>
      </w:r>
      <w:bookmarkStart w:id="0" w:name="_Hlk157502071"/>
      <w:r w:rsidR="00594D01">
        <w:t>with light provided by 1</w:t>
      </w:r>
      <w:r w:rsidR="003719E8">
        <w:t>5</w:t>
      </w:r>
      <w:r w:rsidR="00594D01">
        <w:t xml:space="preserve"> </w:t>
      </w:r>
      <w:r w:rsidR="00F065CE">
        <w:t>fluorescen</w:t>
      </w:r>
      <w:bookmarkEnd w:id="0"/>
      <w:r w:rsidR="003719E8">
        <w:t>t Philips TL-D 90 36W bulbs, set to their maximum irradiance.</w:t>
      </w:r>
    </w:p>
    <w:p w14:paraId="41B1265B" w14:textId="0BAAD67C" w:rsidR="005876B4" w:rsidRDefault="00BC5132" w:rsidP="00B56E00">
      <w:pPr>
        <w:spacing w:line="360" w:lineRule="auto"/>
      </w:pPr>
      <w:r>
        <w:t xml:space="preserve">After pre-germination, pots of each </w:t>
      </w:r>
      <w:r w:rsidR="008F58E4">
        <w:t>b</w:t>
      </w:r>
      <w:r w:rsidRPr="000B70EF">
        <w:t>lackgrass</w:t>
      </w:r>
      <w:r>
        <w:t xml:space="preserve"> population were sown by transplanting </w:t>
      </w:r>
      <w:r w:rsidR="005876B4">
        <w:t xml:space="preserve">eight </w:t>
      </w:r>
      <w:r>
        <w:t>pre-</w:t>
      </w:r>
      <w:r w:rsidR="005876B4">
        <w:t xml:space="preserve">germinated seeds </w:t>
      </w:r>
      <w:r>
        <w:t xml:space="preserve">into </w:t>
      </w:r>
      <w:r w:rsidR="005876B4">
        <w:t>8 cm plastic plant pot</w:t>
      </w:r>
      <w:r>
        <w:t>s</w:t>
      </w:r>
      <w:r w:rsidR="005876B4">
        <w:t xml:space="preserve"> containing a Kettering loam soil mixed with 2 kg m</w:t>
      </w:r>
      <w:r w:rsidR="005876B4" w:rsidRPr="00B20529">
        <w:rPr>
          <w:vertAlign w:val="superscript"/>
        </w:rPr>
        <w:t>-</w:t>
      </w:r>
      <w:r w:rsidR="005876B4">
        <w:rPr>
          <w:vertAlign w:val="superscript"/>
        </w:rPr>
        <w:t>3</w:t>
      </w:r>
      <w:r w:rsidR="005876B4">
        <w:t xml:space="preserve"> </w:t>
      </w:r>
      <w:r w:rsidR="008F58E4">
        <w:t xml:space="preserve">of </w:t>
      </w:r>
      <w:r w:rsidR="005876B4">
        <w:t xml:space="preserve">osmocote fertiliser. </w:t>
      </w:r>
      <w:r>
        <w:t>Seeds were sown 5 – 10mm below the soil surface, and 24 pots of each blackgrass population were prepared in this way</w:t>
      </w:r>
      <w:r w:rsidR="00316873">
        <w:t xml:space="preserve"> (sufficient for four replicate pots at each herbicide dose)</w:t>
      </w:r>
      <w:r>
        <w:t xml:space="preserve">. Pots were </w:t>
      </w:r>
      <w:r w:rsidR="002C0DD9">
        <w:t>placed</w:t>
      </w:r>
      <w:r>
        <w:t xml:space="preserve"> </w:t>
      </w:r>
      <w:r w:rsidR="008F58E4">
        <w:t xml:space="preserve">in </w:t>
      </w:r>
      <w:r>
        <w:t xml:space="preserve">a glasshouse chamber, </w:t>
      </w:r>
      <w:r w:rsidR="005876B4">
        <w:t>set to maintain approximately 17/11</w:t>
      </w:r>
      <w:r w:rsidR="005876B4">
        <w:sym w:font="Symbol" w:char="F0B0"/>
      </w:r>
      <w:r w:rsidR="005876B4">
        <w:t>C day/night temperature cycles</w:t>
      </w:r>
      <w:r w:rsidR="00F065CE">
        <w:t xml:space="preserve">. </w:t>
      </w:r>
      <w:bookmarkStart w:id="1" w:name="_Hlk157502410"/>
      <w:r w:rsidR="00F065CE">
        <w:t>No supplementary lighting was required beyond the ambient natural light within the glasshouse</w:t>
      </w:r>
      <w:bookmarkEnd w:id="1"/>
      <w:r>
        <w:t>.</w:t>
      </w:r>
      <w:r w:rsidR="005876B4">
        <w:t xml:space="preserve"> </w:t>
      </w:r>
      <w:r w:rsidR="002C0DD9">
        <w:t xml:space="preserve">Due to the large number of populations involved and </w:t>
      </w:r>
      <w:r w:rsidR="00067CEE">
        <w:t>the need for prompt pre-emergence spraying directly after sowing, the experiment</w:t>
      </w:r>
      <w:r w:rsidR="008F58E4">
        <w:t>al set up was staged</w:t>
      </w:r>
      <w:r w:rsidR="00067CEE">
        <w:t xml:space="preserve"> </w:t>
      </w:r>
      <w:r w:rsidR="008F58E4">
        <w:t>over two weeks with</w:t>
      </w:r>
      <w:r w:rsidR="00067CEE">
        <w:t xml:space="preserve"> half of the replicates </w:t>
      </w:r>
      <w:r w:rsidR="008F58E4">
        <w:t>sprayed in each week</w:t>
      </w:r>
      <w:r w:rsidR="00067CEE">
        <w:t>. A</w:t>
      </w:r>
      <w:r w:rsidR="002C0DD9">
        <w:t xml:space="preserve">ll populations and doses were </w:t>
      </w:r>
      <w:r w:rsidR="00067CEE">
        <w:t xml:space="preserve">equally </w:t>
      </w:r>
      <w:r w:rsidR="002C0DD9">
        <w:t xml:space="preserve">represented across each </w:t>
      </w:r>
      <w:r w:rsidR="00067CEE">
        <w:t>sowing and spraying date</w:t>
      </w:r>
      <w:r w:rsidR="002C0DD9">
        <w:t xml:space="preserve">. </w:t>
      </w:r>
      <w:r w:rsidR="005876B4">
        <w:t>Pots were assigned to positions within the glasshouse using a randomised alpha design</w:t>
      </w:r>
      <w:r w:rsidR="002C0DD9">
        <w:t>.</w:t>
      </w:r>
    </w:p>
    <w:p w14:paraId="44195709" w14:textId="5B6F17FF" w:rsidR="005876B4" w:rsidRDefault="005876B4" w:rsidP="00B56E00">
      <w:pPr>
        <w:spacing w:line="360" w:lineRule="auto"/>
      </w:pPr>
      <w:r>
        <w:t>Pots were sprayed the day immediately after sowing</w:t>
      </w:r>
      <w:r w:rsidR="00000407">
        <w:t>,</w:t>
      </w:r>
      <w:r>
        <w:t xml:space="preserve"> </w:t>
      </w:r>
      <w:r w:rsidR="00000407">
        <w:t>with</w:t>
      </w:r>
      <w:r>
        <w:t xml:space="preserve"> herbicide applied using a fixed track sprayer. The spray nozzle (flat fan 110015VK; Teejet, Wisbech, UK) was mounted 50 cm above the </w:t>
      </w:r>
      <w:r>
        <w:lastRenderedPageBreak/>
        <w:t>pots, with boom speed set at 0.33 m s</w:t>
      </w:r>
      <w:r w:rsidRPr="00857C90">
        <w:rPr>
          <w:vertAlign w:val="superscript"/>
        </w:rPr>
        <w:t>-1</w:t>
      </w:r>
      <w:r w:rsidR="00CE149F">
        <w:t xml:space="preserve">. </w:t>
      </w:r>
      <w:bookmarkStart w:id="2" w:name="_Hlk157507495"/>
      <w:r w:rsidR="00CE149F">
        <w:t xml:space="preserve">The herbicide sprayer was calibrated before each run to account for any small variation in pressure </w:t>
      </w:r>
      <w:r w:rsidR="002A72F6">
        <w:t xml:space="preserve">or flow rate and ensure doses applied were consistent, resulting in application rates </w:t>
      </w:r>
      <w:bookmarkEnd w:id="2"/>
      <w:r>
        <w:t xml:space="preserve"> of 205 </w:t>
      </w:r>
      <w:r w:rsidR="00CE149F">
        <w:t>L</w:t>
      </w:r>
      <w:r>
        <w:t xml:space="preserve"> ha</w:t>
      </w:r>
      <w:r w:rsidRPr="002657C6">
        <w:rPr>
          <w:vertAlign w:val="superscript"/>
        </w:rPr>
        <w:t>-1</w:t>
      </w:r>
      <w:r>
        <w:t xml:space="preserve"> for reps 1 </w:t>
      </w:r>
      <w:r w:rsidR="00000407">
        <w:t>and</w:t>
      </w:r>
      <w:r>
        <w:t xml:space="preserve"> 2 and 212 </w:t>
      </w:r>
      <w:r w:rsidR="00CE149F">
        <w:t>L</w:t>
      </w:r>
      <w:r>
        <w:t xml:space="preserve"> ha</w:t>
      </w:r>
      <w:r w:rsidRPr="002657C6">
        <w:rPr>
          <w:vertAlign w:val="superscript"/>
        </w:rPr>
        <w:t>-1</w:t>
      </w:r>
      <w:r>
        <w:t xml:space="preserve"> for reps 3 </w:t>
      </w:r>
      <w:r w:rsidR="00000407">
        <w:t>and</w:t>
      </w:r>
      <w:r>
        <w:t xml:space="preserve"> 4</w:t>
      </w:r>
      <w:bookmarkStart w:id="3" w:name="_Hlk157507169"/>
      <w:r>
        <w:t>.</w:t>
      </w:r>
      <w:bookmarkEnd w:id="3"/>
      <w:r>
        <w:t xml:space="preserve"> </w:t>
      </w:r>
      <w:bookmarkStart w:id="4" w:name="_Hlk157507868"/>
      <w:r w:rsidR="002C0DD9">
        <w:t>S</w:t>
      </w:r>
      <w:r>
        <w:t>ix doses of cinmethylin</w:t>
      </w:r>
      <w:r w:rsidR="002C0DD9">
        <w:t xml:space="preserve"> were</w:t>
      </w:r>
      <w:r>
        <w:t xml:space="preserve"> used</w:t>
      </w:r>
      <w:r w:rsidR="002C0DD9">
        <w:t>;</w:t>
      </w:r>
      <w:r>
        <w:t xml:space="preserve"> </w:t>
      </w:r>
      <w:r w:rsidR="002C0DD9">
        <w:t>0,</w:t>
      </w:r>
      <w:r>
        <w:t xml:space="preserve"> 15, 50, 125, 250 and 500 g ai/ha</w:t>
      </w:r>
      <w:r w:rsidRPr="00BE5545">
        <w:rPr>
          <w:vertAlign w:val="superscript"/>
        </w:rPr>
        <w:t>-1</w:t>
      </w:r>
      <w:r w:rsidR="0008213E">
        <w:t>, with the highest (500 g ha</w:t>
      </w:r>
      <w:r w:rsidR="0008213E" w:rsidRPr="00C95784">
        <w:rPr>
          <w:vertAlign w:val="superscript"/>
        </w:rPr>
        <w:t>-1</w:t>
      </w:r>
      <w:r w:rsidR="0008213E">
        <w:t>) dose representing the UK field rate registered for grassweed control</w:t>
      </w:r>
      <w:r>
        <w:t>.</w:t>
      </w:r>
      <w:bookmarkEnd w:id="4"/>
      <w:r>
        <w:t xml:space="preserve"> </w:t>
      </w:r>
      <w:r w:rsidR="00000407">
        <w:t>Four replicate pots (n=4)</w:t>
      </w:r>
      <w:r w:rsidR="00986165">
        <w:t xml:space="preserve"> of each population were sprayed at each herbicide dose, and p</w:t>
      </w:r>
      <w:r>
        <w:t xml:space="preserve">ots were placed back in the glasshouse immediately following spraying. Pots were watered from above </w:t>
      </w:r>
      <w:r w:rsidR="00986165">
        <w:t xml:space="preserve">and kept in free-draining trays. Eight </w:t>
      </w:r>
      <w:r>
        <w:t xml:space="preserve">weeks after spraying, pots were visually assessed for plant </w:t>
      </w:r>
      <w:r w:rsidR="00986165">
        <w:t>emergence</w:t>
      </w:r>
      <w:r>
        <w:t xml:space="preserve"> and aboveground biomass </w:t>
      </w:r>
      <w:r w:rsidR="008F58E4">
        <w:t xml:space="preserve">was </w:t>
      </w:r>
      <w:r>
        <w:t xml:space="preserve">harvested. Dry weights were recorded after </w:t>
      </w:r>
      <w:r w:rsidR="00986165">
        <w:t xml:space="preserve">oven </w:t>
      </w:r>
      <w:r>
        <w:t>drying at 80</w:t>
      </w:r>
      <w:r>
        <w:sym w:font="Symbol" w:char="F0B0"/>
      </w:r>
      <w:r>
        <w:t xml:space="preserve"> C for 48 hours.</w:t>
      </w:r>
    </w:p>
    <w:p w14:paraId="052E4CC7" w14:textId="5C441D92" w:rsidR="005B4321" w:rsidRDefault="005B4321" w:rsidP="00B56E00">
      <w:pPr>
        <w:spacing w:line="360" w:lineRule="auto"/>
      </w:pPr>
    </w:p>
    <w:p w14:paraId="3C2F5B7B" w14:textId="35CF8E7F" w:rsidR="005B4321" w:rsidRPr="005B4321" w:rsidRDefault="005B4321" w:rsidP="00B56E00">
      <w:pPr>
        <w:spacing w:line="360" w:lineRule="auto"/>
        <w:rPr>
          <w:i/>
          <w:iCs/>
          <w:u w:val="single"/>
        </w:rPr>
      </w:pPr>
      <w:r w:rsidRPr="005B4321">
        <w:rPr>
          <w:i/>
          <w:iCs/>
          <w:u w:val="single"/>
        </w:rPr>
        <w:t>Confirming variation in cinmethylin sensitivity</w:t>
      </w:r>
    </w:p>
    <w:p w14:paraId="49FAAD1F" w14:textId="5E47DF76" w:rsidR="005B4321" w:rsidRDefault="005B4321" w:rsidP="00B56E00">
      <w:pPr>
        <w:spacing w:line="360" w:lineRule="auto"/>
        <w:rPr>
          <w:rFonts w:cstheme="minorHAnsi"/>
        </w:rPr>
      </w:pPr>
      <w:r>
        <w:t xml:space="preserve">To confirm </w:t>
      </w:r>
      <w:r w:rsidR="007932DD">
        <w:t>results</w:t>
      </w:r>
      <w:r>
        <w:t xml:space="preserve"> observed in the glasshouse experiment, </w:t>
      </w:r>
      <w:r w:rsidR="00755530">
        <w:t xml:space="preserve">a sub-set of populations </w:t>
      </w:r>
      <w:r w:rsidR="007932DD">
        <w:rPr>
          <w:rFonts w:cstheme="minorHAnsi"/>
        </w:rPr>
        <w:t xml:space="preserve">identified to have </w:t>
      </w:r>
      <w:r w:rsidR="00EA73A6">
        <w:rPr>
          <w:rFonts w:cstheme="minorHAnsi"/>
        </w:rPr>
        <w:t xml:space="preserve">differing </w:t>
      </w:r>
      <w:r w:rsidR="007932DD">
        <w:rPr>
          <w:rFonts w:cstheme="minorHAnsi"/>
        </w:rPr>
        <w:t>sensitivity to cinmethylin</w:t>
      </w:r>
      <w:r w:rsidR="007932DD">
        <w:t xml:space="preserve"> </w:t>
      </w:r>
      <w:r w:rsidR="00755530">
        <w:t xml:space="preserve">were grown outdoors in larger containers and assayed again for cinmethylin sensitivity. </w:t>
      </w:r>
      <w:r w:rsidRPr="000B030D">
        <w:rPr>
          <w:rFonts w:cstheme="minorHAnsi"/>
        </w:rPr>
        <w:t>Containers (285 mm x 185 mm x 130</w:t>
      </w:r>
      <w:r w:rsidR="00E3781E">
        <w:rPr>
          <w:rFonts w:cstheme="minorHAnsi"/>
        </w:rPr>
        <w:t xml:space="preserve"> </w:t>
      </w:r>
      <w:r w:rsidRPr="000B030D">
        <w:rPr>
          <w:rFonts w:cstheme="minorHAnsi"/>
        </w:rPr>
        <w:t xml:space="preserve">mm deep) were filled </w:t>
      </w:r>
      <w:r w:rsidR="007932DD">
        <w:rPr>
          <w:rFonts w:cstheme="minorHAnsi"/>
        </w:rPr>
        <w:t>with a 2.5</w:t>
      </w:r>
      <w:r w:rsidR="00E3781E">
        <w:rPr>
          <w:rFonts w:cstheme="minorHAnsi"/>
        </w:rPr>
        <w:t xml:space="preserve"> </w:t>
      </w:r>
      <w:r w:rsidR="007932DD">
        <w:rPr>
          <w:rFonts w:cstheme="minorHAnsi"/>
        </w:rPr>
        <w:t xml:space="preserve">cm layer of </w:t>
      </w:r>
      <w:r w:rsidRPr="000B030D">
        <w:rPr>
          <w:rFonts w:cstheme="minorHAnsi"/>
        </w:rPr>
        <w:t xml:space="preserve">hydroleca </w:t>
      </w:r>
      <w:r w:rsidR="000260F0">
        <w:rPr>
          <w:rFonts w:cstheme="minorHAnsi"/>
        </w:rPr>
        <w:t>at</w:t>
      </w:r>
      <w:r w:rsidR="007932DD">
        <w:rPr>
          <w:rFonts w:cstheme="minorHAnsi"/>
        </w:rPr>
        <w:t xml:space="preserve"> the bottom for drainage, with </w:t>
      </w:r>
      <w:r w:rsidRPr="000B030D">
        <w:rPr>
          <w:rFonts w:cstheme="minorHAnsi"/>
        </w:rPr>
        <w:t xml:space="preserve">the remaining </w:t>
      </w:r>
      <w:r w:rsidR="007932DD">
        <w:rPr>
          <w:rFonts w:cstheme="minorHAnsi"/>
        </w:rPr>
        <w:t>space</w:t>
      </w:r>
      <w:r w:rsidRPr="000B030D">
        <w:rPr>
          <w:rFonts w:cstheme="minorHAnsi"/>
        </w:rPr>
        <w:t xml:space="preserve"> filled with Kettering loam</w:t>
      </w:r>
      <w:r w:rsidR="008F0928">
        <w:rPr>
          <w:rFonts w:cstheme="minorHAnsi"/>
        </w:rPr>
        <w:t xml:space="preserve"> soil</w:t>
      </w:r>
      <w:r w:rsidRPr="000B030D">
        <w:rPr>
          <w:rFonts w:cstheme="minorHAnsi"/>
        </w:rPr>
        <w:t xml:space="preserve">. </w:t>
      </w:r>
      <w:r w:rsidR="00755530">
        <w:rPr>
          <w:rFonts w:cstheme="minorHAnsi"/>
        </w:rPr>
        <w:t xml:space="preserve">Four populations identified to have contrasting sensitivity to cinmethylin were selected; two field collected populations (Lola 8, Lola 91) and two ‘standard’ populations (Rothamsted </w:t>
      </w:r>
      <w:r w:rsidR="003F22B3">
        <w:rPr>
          <w:rFonts w:cstheme="minorHAnsi"/>
        </w:rPr>
        <w:t>20</w:t>
      </w:r>
      <w:r w:rsidR="00755530">
        <w:rPr>
          <w:rFonts w:cstheme="minorHAnsi"/>
        </w:rPr>
        <w:t xml:space="preserve">18, Peldon </w:t>
      </w:r>
      <w:r w:rsidR="003F22B3">
        <w:rPr>
          <w:rFonts w:cstheme="minorHAnsi"/>
        </w:rPr>
        <w:t>20</w:t>
      </w:r>
      <w:r w:rsidR="00755530">
        <w:rPr>
          <w:rFonts w:cstheme="minorHAnsi"/>
        </w:rPr>
        <w:t>13). Containers were dry-seeded by mixing 0.5</w:t>
      </w:r>
      <w:r w:rsidR="00E3781E">
        <w:rPr>
          <w:rFonts w:cstheme="minorHAnsi"/>
        </w:rPr>
        <w:t xml:space="preserve"> </w:t>
      </w:r>
      <w:r w:rsidR="00755530">
        <w:rPr>
          <w:rFonts w:cstheme="minorHAnsi"/>
        </w:rPr>
        <w:t xml:space="preserve">g of seed (approximately 200 seeds) </w:t>
      </w:r>
      <w:r w:rsidR="00755530" w:rsidRPr="000B030D">
        <w:rPr>
          <w:rFonts w:cstheme="minorHAnsi"/>
        </w:rPr>
        <w:t xml:space="preserve">with a standard quantity of the </w:t>
      </w:r>
      <w:r w:rsidR="007932DD">
        <w:rPr>
          <w:rFonts w:cstheme="minorHAnsi"/>
        </w:rPr>
        <w:t>Kettering</w:t>
      </w:r>
      <w:r w:rsidR="00755530">
        <w:rPr>
          <w:rFonts w:cstheme="minorHAnsi"/>
        </w:rPr>
        <w:t xml:space="preserve"> loam</w:t>
      </w:r>
      <w:r w:rsidR="00755530" w:rsidRPr="000B030D">
        <w:rPr>
          <w:rFonts w:cstheme="minorHAnsi"/>
        </w:rPr>
        <w:t xml:space="preserve"> </w:t>
      </w:r>
      <w:r w:rsidR="003F22B3" w:rsidRPr="000B030D">
        <w:rPr>
          <w:rFonts w:cstheme="minorHAnsi"/>
        </w:rPr>
        <w:t>soil</w:t>
      </w:r>
      <w:r w:rsidR="003F22B3">
        <w:rPr>
          <w:rFonts w:cstheme="minorHAnsi"/>
        </w:rPr>
        <w:t xml:space="preserve"> and</w:t>
      </w:r>
      <w:r w:rsidR="00755530">
        <w:rPr>
          <w:rFonts w:cstheme="minorHAnsi"/>
        </w:rPr>
        <w:t xml:space="preserve"> spreading this over the </w:t>
      </w:r>
      <w:r w:rsidR="003F22B3">
        <w:rPr>
          <w:rFonts w:cstheme="minorHAnsi"/>
        </w:rPr>
        <w:t>soil surface</w:t>
      </w:r>
      <w:r w:rsidR="00755530">
        <w:rPr>
          <w:rFonts w:cstheme="minorHAnsi"/>
        </w:rPr>
        <w:t xml:space="preserve"> in each container. This results in an even distribution of seeds</w:t>
      </w:r>
      <w:r w:rsidRPr="000B030D">
        <w:rPr>
          <w:rFonts w:cstheme="minorHAnsi"/>
        </w:rPr>
        <w:t xml:space="preserve"> throughout the surface 3 cm, mimicking a typical field situation. </w:t>
      </w:r>
      <w:r>
        <w:rPr>
          <w:rFonts w:cstheme="minorHAnsi"/>
        </w:rPr>
        <w:t>Containers were arranged in a randomised</w:t>
      </w:r>
      <w:r w:rsidR="00A8437A">
        <w:rPr>
          <w:rFonts w:cstheme="minorHAnsi"/>
        </w:rPr>
        <w:t xml:space="preserve"> </w:t>
      </w:r>
      <w:r>
        <w:rPr>
          <w:rFonts w:cstheme="minorHAnsi"/>
        </w:rPr>
        <w:t>design</w:t>
      </w:r>
      <w:r w:rsidRPr="00B96B8B">
        <w:rPr>
          <w:rFonts w:cstheme="minorHAnsi"/>
        </w:rPr>
        <w:t xml:space="preserve"> </w:t>
      </w:r>
      <w:r w:rsidR="003F22B3">
        <w:rPr>
          <w:rFonts w:cstheme="minorHAnsi"/>
        </w:rPr>
        <w:t>in a plant nursery</w:t>
      </w:r>
      <w:r w:rsidRPr="00B96B8B">
        <w:rPr>
          <w:rFonts w:cstheme="minorHAnsi"/>
        </w:rPr>
        <w:t xml:space="preserve"> exposed to ambient environmental conditions at Harpenden (Hertfordshire, UK) </w:t>
      </w:r>
      <w:r>
        <w:rPr>
          <w:rFonts w:cstheme="minorHAnsi"/>
        </w:rPr>
        <w:t>over</w:t>
      </w:r>
      <w:r w:rsidRPr="00B96B8B">
        <w:rPr>
          <w:rFonts w:cstheme="minorHAnsi"/>
        </w:rPr>
        <w:t xml:space="preserve"> </w:t>
      </w:r>
      <w:r>
        <w:rPr>
          <w:rFonts w:cstheme="minorHAnsi"/>
        </w:rPr>
        <w:t xml:space="preserve">October – </w:t>
      </w:r>
      <w:r w:rsidR="000260F0">
        <w:rPr>
          <w:rFonts w:cstheme="minorHAnsi"/>
        </w:rPr>
        <w:t>Dec</w:t>
      </w:r>
      <w:r>
        <w:rPr>
          <w:rFonts w:cstheme="minorHAnsi"/>
        </w:rPr>
        <w:t>ember</w:t>
      </w:r>
      <w:r w:rsidR="00755530">
        <w:rPr>
          <w:rFonts w:cstheme="minorHAnsi"/>
        </w:rPr>
        <w:t>.</w:t>
      </w:r>
      <w:r>
        <w:rPr>
          <w:rFonts w:cstheme="minorHAnsi"/>
        </w:rPr>
        <w:t xml:space="preserve"> </w:t>
      </w:r>
      <w:r w:rsidRPr="007226EA">
        <w:rPr>
          <w:rFonts w:cstheme="minorHAnsi"/>
        </w:rPr>
        <w:t>After sowing, containers</w:t>
      </w:r>
      <w:r>
        <w:rPr>
          <w:rFonts w:cstheme="minorHAnsi"/>
        </w:rPr>
        <w:t xml:space="preserve"> were</w:t>
      </w:r>
      <w:r w:rsidRPr="007226EA">
        <w:rPr>
          <w:rFonts w:cstheme="minorHAnsi"/>
        </w:rPr>
        <w:t xml:space="preserve"> watered lightly for 2-3 days to </w:t>
      </w:r>
      <w:r>
        <w:rPr>
          <w:rFonts w:cstheme="minorHAnsi"/>
        </w:rPr>
        <w:t>stimulate seed germination</w:t>
      </w:r>
      <w:r w:rsidRPr="007226EA">
        <w:rPr>
          <w:rFonts w:cstheme="minorHAnsi"/>
        </w:rPr>
        <w:t>, but subsequent w</w:t>
      </w:r>
      <w:r>
        <w:rPr>
          <w:rFonts w:cstheme="minorHAnsi"/>
        </w:rPr>
        <w:t>atering was by natural rainfall</w:t>
      </w:r>
      <w:r w:rsidR="00A8437A">
        <w:rPr>
          <w:rFonts w:cstheme="minorHAnsi"/>
        </w:rPr>
        <w:t xml:space="preserve"> only</w:t>
      </w:r>
      <w:r>
        <w:rPr>
          <w:rFonts w:cstheme="minorHAnsi"/>
        </w:rPr>
        <w:t>.</w:t>
      </w:r>
    </w:p>
    <w:p w14:paraId="30D04931" w14:textId="4C66EA64" w:rsidR="005B4321" w:rsidRDefault="005B4321" w:rsidP="00B56E00">
      <w:pPr>
        <w:spacing w:line="360" w:lineRule="auto"/>
        <w:rPr>
          <w:rFonts w:cstheme="minorHAnsi"/>
          <w:szCs w:val="24"/>
        </w:rPr>
      </w:pPr>
      <w:r>
        <w:rPr>
          <w:rFonts w:cstheme="minorHAnsi"/>
          <w:szCs w:val="24"/>
        </w:rPr>
        <w:t>H</w:t>
      </w:r>
      <w:r w:rsidRPr="007226EA">
        <w:rPr>
          <w:rFonts w:cstheme="minorHAnsi"/>
          <w:szCs w:val="24"/>
        </w:rPr>
        <w:t xml:space="preserve">erbicides were applied </w:t>
      </w:r>
      <w:r w:rsidR="00755530">
        <w:rPr>
          <w:rFonts w:cstheme="minorHAnsi"/>
          <w:szCs w:val="24"/>
        </w:rPr>
        <w:t>one</w:t>
      </w:r>
      <w:r w:rsidRPr="007226EA">
        <w:rPr>
          <w:rFonts w:cstheme="minorHAnsi"/>
          <w:szCs w:val="24"/>
        </w:rPr>
        <w:t xml:space="preserve"> week after the </w:t>
      </w:r>
      <w:r w:rsidR="00755530">
        <w:rPr>
          <w:rFonts w:cstheme="minorHAnsi"/>
          <w:szCs w:val="24"/>
        </w:rPr>
        <w:t>containers</w:t>
      </w:r>
      <w:r w:rsidRPr="007226EA">
        <w:rPr>
          <w:rFonts w:cstheme="minorHAnsi"/>
          <w:szCs w:val="24"/>
        </w:rPr>
        <w:t xml:space="preserve"> were sown</w:t>
      </w:r>
      <w:r w:rsidR="00BF012E">
        <w:rPr>
          <w:rFonts w:cstheme="minorHAnsi"/>
          <w:szCs w:val="24"/>
        </w:rPr>
        <w:t xml:space="preserve">, at the point of seed germination but before </w:t>
      </w:r>
      <w:r w:rsidR="003F22B3">
        <w:rPr>
          <w:rFonts w:cstheme="minorHAnsi"/>
          <w:szCs w:val="24"/>
        </w:rPr>
        <w:t>seedling emergence</w:t>
      </w:r>
      <w:r w:rsidRPr="007226EA">
        <w:rPr>
          <w:rFonts w:cstheme="minorHAnsi"/>
          <w:szCs w:val="24"/>
        </w:rPr>
        <w:t>.</w:t>
      </w:r>
      <w:r>
        <w:rPr>
          <w:rFonts w:cstheme="minorHAnsi"/>
          <w:szCs w:val="24"/>
        </w:rPr>
        <w:t xml:space="preserve"> </w:t>
      </w:r>
      <w:r w:rsidR="003F22B3">
        <w:rPr>
          <w:rFonts w:cstheme="minorHAnsi"/>
          <w:szCs w:val="24"/>
        </w:rPr>
        <w:t xml:space="preserve">Cinmethylin was applied to containers at </w:t>
      </w:r>
      <w:r w:rsidR="003F22B3" w:rsidRPr="00935A3D">
        <w:rPr>
          <w:rFonts w:cstheme="minorHAnsi"/>
        </w:rPr>
        <w:t xml:space="preserve">0, 31.25, 62.5, 125, 250, </w:t>
      </w:r>
      <w:r w:rsidR="003F22B3">
        <w:rPr>
          <w:rFonts w:cstheme="minorHAnsi"/>
        </w:rPr>
        <w:t xml:space="preserve">and </w:t>
      </w:r>
      <w:r w:rsidR="003F22B3" w:rsidRPr="00935A3D">
        <w:rPr>
          <w:rFonts w:cstheme="minorHAnsi"/>
        </w:rPr>
        <w:t>500</w:t>
      </w:r>
      <w:r w:rsidR="003F22B3">
        <w:rPr>
          <w:rFonts w:cstheme="minorHAnsi"/>
        </w:rPr>
        <w:t xml:space="preserve"> </w:t>
      </w:r>
      <w:r w:rsidR="003F22B3" w:rsidRPr="000B030D">
        <w:rPr>
          <w:rFonts w:cstheme="minorHAnsi"/>
          <w:szCs w:val="24"/>
        </w:rPr>
        <w:t>g ai ha</w:t>
      </w:r>
      <w:r w:rsidR="003F22B3" w:rsidRPr="000B030D">
        <w:rPr>
          <w:rFonts w:cstheme="minorHAnsi"/>
          <w:szCs w:val="24"/>
          <w:vertAlign w:val="superscript"/>
        </w:rPr>
        <w:t>-1</w:t>
      </w:r>
      <w:r w:rsidR="003F22B3">
        <w:rPr>
          <w:rFonts w:cstheme="minorHAnsi"/>
          <w:szCs w:val="24"/>
          <w:vertAlign w:val="superscript"/>
        </w:rPr>
        <w:t xml:space="preserve"> </w:t>
      </w:r>
      <w:r w:rsidR="003F22B3">
        <w:rPr>
          <w:rFonts w:cstheme="minorHAnsi"/>
          <w:szCs w:val="24"/>
        </w:rPr>
        <w:t xml:space="preserve">as described above </w:t>
      </w:r>
      <w:r>
        <w:rPr>
          <w:rFonts w:cstheme="minorHAnsi"/>
          <w:szCs w:val="24"/>
        </w:rPr>
        <w:t>at a rate of 210 L ha</w:t>
      </w:r>
      <w:r w:rsidRPr="007226EA">
        <w:rPr>
          <w:rFonts w:cstheme="minorHAnsi"/>
          <w:szCs w:val="24"/>
          <w:vertAlign w:val="superscript"/>
        </w:rPr>
        <w:t>-1</w:t>
      </w:r>
      <w:r>
        <w:rPr>
          <w:rFonts w:cstheme="minorHAnsi"/>
          <w:szCs w:val="24"/>
        </w:rPr>
        <w:t xml:space="preserve">. </w:t>
      </w:r>
      <w:r w:rsidR="003F22B3">
        <w:rPr>
          <w:rFonts w:cstheme="minorHAnsi"/>
          <w:szCs w:val="24"/>
        </w:rPr>
        <w:t>There were</w:t>
      </w:r>
      <w:r w:rsidR="00755530">
        <w:rPr>
          <w:rFonts w:cstheme="minorHAnsi"/>
          <w:szCs w:val="24"/>
        </w:rPr>
        <w:t xml:space="preserve"> </w:t>
      </w:r>
      <w:r w:rsidR="00755530">
        <w:rPr>
          <w:rFonts w:cstheme="minorHAnsi"/>
        </w:rPr>
        <w:t xml:space="preserve">three replicate containers (n=3) </w:t>
      </w:r>
      <w:r w:rsidR="00284FA4">
        <w:rPr>
          <w:rFonts w:cstheme="minorHAnsi"/>
        </w:rPr>
        <w:t xml:space="preserve">of </w:t>
      </w:r>
      <w:r w:rsidR="00755530">
        <w:rPr>
          <w:rFonts w:cstheme="minorHAnsi"/>
        </w:rPr>
        <w:t>each population at each herbicide dose</w:t>
      </w:r>
      <w:r>
        <w:rPr>
          <w:rFonts w:cstheme="minorHAnsi"/>
          <w:szCs w:val="24"/>
        </w:rPr>
        <w:t xml:space="preserve">. In addition, </w:t>
      </w:r>
      <w:r w:rsidR="00284FA4">
        <w:rPr>
          <w:rFonts w:cstheme="minorHAnsi"/>
          <w:szCs w:val="24"/>
        </w:rPr>
        <w:t xml:space="preserve">three </w:t>
      </w:r>
      <w:r>
        <w:rPr>
          <w:rFonts w:cstheme="minorHAnsi"/>
          <w:szCs w:val="24"/>
        </w:rPr>
        <w:t>further replicate containers</w:t>
      </w:r>
      <w:r w:rsidR="00284FA4">
        <w:rPr>
          <w:rFonts w:cstheme="minorHAnsi"/>
          <w:szCs w:val="24"/>
        </w:rPr>
        <w:t xml:space="preserve"> of each population</w:t>
      </w:r>
      <w:r>
        <w:rPr>
          <w:rFonts w:cstheme="minorHAnsi"/>
          <w:szCs w:val="24"/>
        </w:rPr>
        <w:t xml:space="preserve"> were sprayed with either pendimethalin (formulation “Claymore”) at 1200 g ai ha</w:t>
      </w:r>
      <w:r w:rsidRPr="007226EA">
        <w:rPr>
          <w:rFonts w:cstheme="minorHAnsi"/>
          <w:szCs w:val="24"/>
          <w:vertAlign w:val="superscript"/>
        </w:rPr>
        <w:t>-1</w:t>
      </w:r>
      <w:r>
        <w:rPr>
          <w:rFonts w:cstheme="minorHAnsi"/>
          <w:szCs w:val="24"/>
        </w:rPr>
        <w:t>, or flufenacet (formulation “Sunrise”) at 180 g ai ha</w:t>
      </w:r>
      <w:r w:rsidRPr="007226EA">
        <w:rPr>
          <w:rFonts w:cstheme="minorHAnsi"/>
          <w:szCs w:val="24"/>
          <w:vertAlign w:val="superscript"/>
        </w:rPr>
        <w:t>-1</w:t>
      </w:r>
      <w:r>
        <w:rPr>
          <w:rFonts w:cstheme="minorHAnsi"/>
          <w:szCs w:val="24"/>
        </w:rPr>
        <w:t xml:space="preserve">. After spraying, containers were immediately moved back outside. </w:t>
      </w:r>
      <w:r w:rsidR="003F22B3">
        <w:rPr>
          <w:rFonts w:cstheme="minorHAnsi"/>
          <w:szCs w:val="24"/>
        </w:rPr>
        <w:t xml:space="preserve">Herbicide efficacy was </w:t>
      </w:r>
      <w:r>
        <w:rPr>
          <w:rFonts w:cstheme="minorHAnsi"/>
          <w:szCs w:val="24"/>
        </w:rPr>
        <w:t>assessed seven weeks after spraying by counting the number of healthy emerged black-grass seedlings.</w:t>
      </w:r>
    </w:p>
    <w:p w14:paraId="01E3910A" w14:textId="77777777" w:rsidR="00025574" w:rsidRDefault="00025574" w:rsidP="00B56E00">
      <w:pPr>
        <w:spacing w:line="360" w:lineRule="auto"/>
      </w:pPr>
    </w:p>
    <w:p w14:paraId="1FDFAB30" w14:textId="3630F13D" w:rsidR="005876B4" w:rsidRPr="00025574" w:rsidRDefault="00025574" w:rsidP="00B56E00">
      <w:pPr>
        <w:spacing w:line="360" w:lineRule="auto"/>
        <w:rPr>
          <w:i/>
          <w:iCs/>
          <w:u w:val="single"/>
        </w:rPr>
      </w:pPr>
      <w:r w:rsidRPr="00025574">
        <w:rPr>
          <w:i/>
          <w:iCs/>
          <w:u w:val="single"/>
        </w:rPr>
        <w:t>Evaluating cross-resistance with other herbicide MOAs</w:t>
      </w:r>
    </w:p>
    <w:p w14:paraId="233C27BF" w14:textId="5044B2DE" w:rsidR="00D1630D" w:rsidRDefault="004324B7" w:rsidP="00B56E00">
      <w:pPr>
        <w:spacing w:line="360" w:lineRule="auto"/>
      </w:pPr>
      <w:r>
        <w:t xml:space="preserve">The </w:t>
      </w:r>
      <w:r w:rsidR="00475195">
        <w:t>e</w:t>
      </w:r>
      <w:r>
        <w:t xml:space="preserve">ffect of </w:t>
      </w:r>
      <w:r w:rsidR="003F22B3">
        <w:t xml:space="preserve">evolved </w:t>
      </w:r>
      <w:r>
        <w:t>metabolic resistance to four other herbicide MOAs</w:t>
      </w:r>
      <w:r w:rsidR="00475195">
        <w:t xml:space="preserve"> on cinmethylin sensitivity</w:t>
      </w:r>
      <w:r w:rsidR="000D4B59">
        <w:t>,</w:t>
      </w:r>
      <w:r>
        <w:t xml:space="preserve"> was assessed in a further glasshouse dose response experiment. </w:t>
      </w:r>
      <w:r w:rsidR="00030FE1">
        <w:t xml:space="preserve">Experimentally derived blackgrass lines were used with either metabolic resistance (“R”) or sensitivity (“S”) to the ALS inhibitor </w:t>
      </w:r>
      <w:r w:rsidR="00DE0947">
        <w:t xml:space="preserve">“Atlantis” </w:t>
      </w:r>
      <w:r w:rsidR="00316873">
        <w:t>(</w:t>
      </w:r>
      <w:r w:rsidR="00DE0947">
        <w:t xml:space="preserve">containing the actives </w:t>
      </w:r>
      <w:r w:rsidR="00030FE1">
        <w:t>meso</w:t>
      </w:r>
      <w:r w:rsidR="00DE0947">
        <w:t>sulfuron-me</w:t>
      </w:r>
      <w:r w:rsidR="00270259">
        <w:t>t</w:t>
      </w:r>
      <w:r w:rsidR="00DE0947">
        <w:t>hyl and iodosulfuron-methyl</w:t>
      </w:r>
      <w:r w:rsidR="00316873">
        <w:t>,</w:t>
      </w:r>
      <w:r w:rsidR="00DE0947">
        <w:t xml:space="preserve"> hereafter referred to as meso+iodosulfuron)</w:t>
      </w:r>
      <w:r w:rsidR="00030FE1">
        <w:t>, the ACCase inhibitor fenoxaprop-p-ethyl, the VLCFA inhibitor flufenacet, or the microtubule assembly inhibitor pendimethalin</w:t>
      </w:r>
      <w:r w:rsidR="00270259">
        <w:t xml:space="preserve"> (Table 1)</w:t>
      </w:r>
      <w:r w:rsidR="00030FE1">
        <w:t xml:space="preserve">. In the case of the </w:t>
      </w:r>
      <w:r w:rsidR="0084470F">
        <w:t>meso+iodosulfuron</w:t>
      </w:r>
      <w:r w:rsidR="00030FE1">
        <w:t xml:space="preserve">, </w:t>
      </w:r>
      <w:r w:rsidR="0084470F">
        <w:t>flufenacet, and pendimethalin</w:t>
      </w:r>
      <w:r w:rsidR="00030FE1">
        <w:t xml:space="preserve"> resistant lines, </w:t>
      </w:r>
      <w:r w:rsidR="001B50C5">
        <w:t>the “R” seed families were derived through experimental selection</w:t>
      </w:r>
      <w:r w:rsidR="000D4B59">
        <w:t xml:space="preserve"> for two, </w:t>
      </w:r>
      <w:r w:rsidR="0084470F">
        <w:t xml:space="preserve">nine, and </w:t>
      </w:r>
      <w:r w:rsidR="00E50D8B">
        <w:t>eight</w:t>
      </w:r>
      <w:r w:rsidR="0084470F">
        <w:t xml:space="preserve"> years respectively</w:t>
      </w:r>
      <w:r w:rsidR="001B50C5">
        <w:t xml:space="preserve">, exposing sequential generations to the </w:t>
      </w:r>
      <w:r w:rsidR="000D4B59">
        <w:t>focal</w:t>
      </w:r>
      <w:r w:rsidR="001B50C5">
        <w:t xml:space="preserve"> herbicide and allowing survivor</w:t>
      </w:r>
      <w:r w:rsidR="0084470F">
        <w:t>s</w:t>
      </w:r>
      <w:r w:rsidR="001B50C5">
        <w:t xml:space="preserve"> to cross-pollinate and set seed.</w:t>
      </w:r>
      <w:r w:rsidR="00E50D8B">
        <w:t xml:space="preserve"> </w:t>
      </w:r>
      <w:r w:rsidR="0084470F">
        <w:t>The ACCase resistant line was derived from an F</w:t>
      </w:r>
      <w:r w:rsidR="0084470F" w:rsidRPr="00BE59AC">
        <w:rPr>
          <w:vertAlign w:val="subscript"/>
        </w:rPr>
        <w:t>2</w:t>
      </w:r>
      <w:r w:rsidR="0084470F">
        <w:t xml:space="preserve"> segregating seed family resulting from a pairwise cross between the herbicide sensitive population “Rothamsted” and the NTSR</w:t>
      </w:r>
      <w:r w:rsidR="00903D73">
        <w:t xml:space="preserve"> field</w:t>
      </w:r>
      <w:r w:rsidR="0084470F">
        <w:t xml:space="preserve"> population “</w:t>
      </w:r>
      <w:r w:rsidR="00903D73">
        <w:t>Lola91</w:t>
      </w:r>
      <w:r w:rsidR="0084470F">
        <w:t>”. Plants from the F</w:t>
      </w:r>
      <w:r w:rsidR="0084470F" w:rsidRPr="00BE59AC">
        <w:rPr>
          <w:vertAlign w:val="subscript"/>
        </w:rPr>
        <w:t>2</w:t>
      </w:r>
      <w:r w:rsidR="0084470F">
        <w:t xml:space="preserve"> family (n=600) were grown under glasshouse conditions, vegetatively cloned by tillering, and screened with two doses (</w:t>
      </w:r>
      <w:r w:rsidR="009400A3" w:rsidRPr="009400A3">
        <w:t xml:space="preserve">138 and 1656 </w:t>
      </w:r>
      <w:r w:rsidR="0084470F">
        <w:t>g ha</w:t>
      </w:r>
      <w:r w:rsidR="0084470F" w:rsidRPr="0084470F">
        <w:rPr>
          <w:vertAlign w:val="superscript"/>
        </w:rPr>
        <w:t>-1</w:t>
      </w:r>
      <w:r w:rsidR="0084470F">
        <w:t>) of the herbicide fenoxaprop-p-ethyl</w:t>
      </w:r>
      <w:r w:rsidR="00BE59AC">
        <w:t xml:space="preserve">. </w:t>
      </w:r>
      <w:r w:rsidR="000260F0">
        <w:t>Clones of s</w:t>
      </w:r>
      <w:r w:rsidR="00BE59AC">
        <w:t xml:space="preserve">urviving healthy plants </w:t>
      </w:r>
      <w:r w:rsidR="000260F0">
        <w:t>at</w:t>
      </w:r>
      <w:r w:rsidR="00BE59AC">
        <w:t xml:space="preserve"> the high</w:t>
      </w:r>
      <w:r w:rsidR="009400A3">
        <w:t>er</w:t>
      </w:r>
      <w:r w:rsidR="00BE59AC">
        <w:t xml:space="preserve"> dose were allowed to cross-pollinate, creating the “R” seed line, while clones of plants which died at the low</w:t>
      </w:r>
      <w:r w:rsidR="009400A3">
        <w:t>er</w:t>
      </w:r>
      <w:r w:rsidR="00BE59AC">
        <w:t xml:space="preserve"> herbicide dose were separately cross pollinated to create the “S” seed line. </w:t>
      </w:r>
      <w:r w:rsidR="0084470F">
        <w:t>These pairs of “R” and “S” seed lines therefore represent populations with shared genetic background</w:t>
      </w:r>
      <w:r w:rsidR="00D12838">
        <w:t>s</w:t>
      </w:r>
      <w:r w:rsidR="0084470F">
        <w:t>, but which differ only in metabolic resistance to the focal herbicide.</w:t>
      </w:r>
    </w:p>
    <w:p w14:paraId="6BF5267C" w14:textId="1CAFACD4" w:rsidR="005876B4" w:rsidRDefault="00B5636B" w:rsidP="00B56E00">
      <w:pPr>
        <w:spacing w:line="360" w:lineRule="auto"/>
      </w:pPr>
      <w:r>
        <w:t>Seeds of each of these lines were pre-germinated and sown into 8 cm plastic plant pots containing a Kettering loam soil as previously</w:t>
      </w:r>
      <w:r w:rsidR="00242A65">
        <w:t>, and</w:t>
      </w:r>
      <w:r>
        <w:t xml:space="preserve"> </w:t>
      </w:r>
      <w:r w:rsidR="00242A65">
        <w:t xml:space="preserve">72 pots (576 plants) of each population were sown in this way. To confirm </w:t>
      </w:r>
      <w:r w:rsidR="006B3202">
        <w:t xml:space="preserve">differences in metabolic resistance between each pair of </w:t>
      </w:r>
      <w:r w:rsidR="00242A65">
        <w:t>“R” and “S” lines, half of the pots</w:t>
      </w:r>
      <w:r w:rsidR="00C475C3">
        <w:t xml:space="preserve"> </w:t>
      </w:r>
      <w:r w:rsidR="00242A65">
        <w:t>from each seed line were treated with the</w:t>
      </w:r>
      <w:r w:rsidR="006B3202">
        <w:t xml:space="preserve"> herbicide </w:t>
      </w:r>
      <w:r w:rsidR="002C312A">
        <w:t>used during experimental</w:t>
      </w:r>
      <w:r w:rsidR="006B3202">
        <w:t xml:space="preserve"> select</w:t>
      </w:r>
      <w:r w:rsidR="002C312A">
        <w:t>ion to create the line (see Table 1)</w:t>
      </w:r>
      <w:r w:rsidR="00242A65">
        <w:t xml:space="preserve">. </w:t>
      </w:r>
      <w:r w:rsidR="00DC5A0C">
        <w:t xml:space="preserve">The remaining pots of each line were treated with a range of doses of cinmethylin. The herbicide actives cinmethylin, pendimethalin, and flufenacet were applied pre-emergence to the soil the day after sowing. The actives fenoxaprop-p-ethyl and meso+iodosulfuron were applied post-emergence, to three-leaf plants after approximately three weeks of seedling growth. </w:t>
      </w:r>
      <w:r w:rsidR="00DE0947">
        <w:t>In the case of meso+iodosulfuron, a commercial formulation (“Atlantis") was used, containing both mesosulfuron-methyl and iodosulfuron-methyl active ingredients</w:t>
      </w:r>
      <w:r w:rsidR="00D97B9E">
        <w:t xml:space="preserve"> in a 5:1 g/g ratio</w:t>
      </w:r>
      <w:r w:rsidR="00DE0947">
        <w:t xml:space="preserve">. </w:t>
      </w:r>
      <w:r w:rsidR="00DC5A0C">
        <w:t>All herbicides were applied with the same fixed-track sprayer as previously described,</w:t>
      </w:r>
      <w:r w:rsidR="00DC5A0C" w:rsidRPr="00DC5A0C">
        <w:t xml:space="preserve"> </w:t>
      </w:r>
      <w:r w:rsidR="00DC5A0C" w:rsidRPr="00797782">
        <w:t>applying herbicide at a rate of 20</w:t>
      </w:r>
      <w:r w:rsidR="00DC5A0C">
        <w:t>0 - 210</w:t>
      </w:r>
      <w:r w:rsidR="00DC5A0C" w:rsidRPr="00797782">
        <w:t xml:space="preserve"> </w:t>
      </w:r>
      <w:r w:rsidR="00DC5A0C">
        <w:t>L</w:t>
      </w:r>
      <w:r w:rsidR="00DC5A0C" w:rsidRPr="00797782">
        <w:t xml:space="preserve"> ha</w:t>
      </w:r>
      <w:r w:rsidR="00DC5A0C" w:rsidRPr="00797782">
        <w:rPr>
          <w:vertAlign w:val="superscript"/>
        </w:rPr>
        <w:t>-1</w:t>
      </w:r>
      <w:r w:rsidR="00DC5A0C">
        <w:t xml:space="preserve">, </w:t>
      </w:r>
      <w:r w:rsidR="00DC5A0C" w:rsidRPr="00797782">
        <w:rPr>
          <w:rFonts w:cstheme="minorHAnsi"/>
        </w:rPr>
        <w:t xml:space="preserve">at 252 kPa </w:t>
      </w:r>
      <w:r w:rsidR="00DC5A0C">
        <w:rPr>
          <w:rFonts w:cstheme="minorHAnsi"/>
        </w:rPr>
        <w:t xml:space="preserve">pressure. For detailed description of all dose rates of each herbicide, see </w:t>
      </w:r>
      <w:r w:rsidR="000260F0">
        <w:rPr>
          <w:rFonts w:cstheme="minorHAnsi"/>
        </w:rPr>
        <w:t xml:space="preserve">the </w:t>
      </w:r>
      <w:r w:rsidR="00DC5A0C">
        <w:rPr>
          <w:rFonts w:cstheme="minorHAnsi"/>
        </w:rPr>
        <w:t xml:space="preserve">supporting materials </w:t>
      </w:r>
      <w:r w:rsidR="00041B17">
        <w:rPr>
          <w:rFonts w:cstheme="minorHAnsi"/>
        </w:rPr>
        <w:t>T</w:t>
      </w:r>
      <w:r w:rsidR="00DC5A0C">
        <w:rPr>
          <w:rFonts w:cstheme="minorHAnsi"/>
        </w:rPr>
        <w:t>able S</w:t>
      </w:r>
      <w:r w:rsidR="00041B17">
        <w:rPr>
          <w:rFonts w:cstheme="minorHAnsi"/>
        </w:rPr>
        <w:t>1</w:t>
      </w:r>
      <w:r w:rsidR="00DC5A0C">
        <w:rPr>
          <w:rFonts w:cstheme="minorHAnsi"/>
        </w:rPr>
        <w:t xml:space="preserve">. </w:t>
      </w:r>
      <w:r w:rsidR="00EC5802">
        <w:rPr>
          <w:rFonts w:cstheme="minorHAnsi"/>
        </w:rPr>
        <w:t xml:space="preserve">Efficacy of herbicide treatments was </w:t>
      </w:r>
      <w:r w:rsidR="00EC5802">
        <w:rPr>
          <w:rFonts w:cstheme="minorHAnsi"/>
        </w:rPr>
        <w:lastRenderedPageBreak/>
        <w:t>assessed through counts of plant survival four weeks after treatment (for post-em actives), or seedling emergence eight weeks after treatment (for pre-em actives).</w:t>
      </w:r>
      <w:r w:rsidR="00755255">
        <w:t xml:space="preserve"> </w:t>
      </w:r>
    </w:p>
    <w:p w14:paraId="373B75D7" w14:textId="77777777" w:rsidR="000260F0" w:rsidRDefault="000260F0" w:rsidP="00B56E00">
      <w:pPr>
        <w:spacing w:line="360" w:lineRule="auto"/>
        <w:rPr>
          <w:i/>
          <w:iCs/>
          <w:u w:val="single"/>
        </w:rPr>
      </w:pPr>
    </w:p>
    <w:p w14:paraId="6573DC66" w14:textId="41E9890C" w:rsidR="00795A0C" w:rsidRPr="00795A0C" w:rsidRDefault="00795A0C" w:rsidP="00B56E00">
      <w:pPr>
        <w:spacing w:line="360" w:lineRule="auto"/>
        <w:rPr>
          <w:i/>
          <w:iCs/>
          <w:u w:val="single"/>
        </w:rPr>
      </w:pPr>
      <w:r w:rsidRPr="00795A0C">
        <w:rPr>
          <w:i/>
          <w:iCs/>
          <w:u w:val="single"/>
        </w:rPr>
        <w:t>Experimental selection with cinmethylin</w:t>
      </w:r>
    </w:p>
    <w:p w14:paraId="7E1CCE53" w14:textId="69C77CBF" w:rsidR="00CE142F" w:rsidRDefault="00880680" w:rsidP="00B56E00">
      <w:pPr>
        <w:spacing w:line="360" w:lineRule="auto"/>
      </w:pPr>
      <w:r>
        <w:t>Plants from two</w:t>
      </w:r>
      <w:r w:rsidR="00516AEE">
        <w:t xml:space="preserve"> field</w:t>
      </w:r>
      <w:r>
        <w:t xml:space="preserve"> populations with lower sensitivity to cinmethylin (Peldon and Lola91) were exposed to recurrent cinmethylin selection for t</w:t>
      </w:r>
      <w:r w:rsidR="00516AEE">
        <w:t>hree</w:t>
      </w:r>
      <w:r>
        <w:t xml:space="preserve"> generations. </w:t>
      </w:r>
      <w:r w:rsidR="004C173A">
        <w:t>P</w:t>
      </w:r>
      <w:r w:rsidR="00516AEE">
        <w:t>lants were grown outside in large containers</w:t>
      </w:r>
      <w:r w:rsidR="00C312D6">
        <w:t xml:space="preserve"> </w:t>
      </w:r>
      <w:r w:rsidR="00516AEE">
        <w:rPr>
          <w:rFonts w:cstheme="minorHAnsi"/>
        </w:rPr>
        <w:t>as previously described</w:t>
      </w:r>
      <w:r w:rsidR="00B451BE">
        <w:rPr>
          <w:rFonts w:cstheme="minorHAnsi"/>
        </w:rPr>
        <w:t xml:space="preserve"> </w:t>
      </w:r>
      <w:r w:rsidR="00B451BE">
        <w:t>(n=3, approximately 200 plants per container)</w:t>
      </w:r>
      <w:r w:rsidR="00516AEE">
        <w:rPr>
          <w:rFonts w:cstheme="minorHAnsi"/>
        </w:rPr>
        <w:t xml:space="preserve">. </w:t>
      </w:r>
      <w:r w:rsidR="009C30AC">
        <w:rPr>
          <w:rFonts w:cstheme="minorHAnsi"/>
        </w:rPr>
        <w:t xml:space="preserve"> Each year, </w:t>
      </w:r>
      <w:r w:rsidR="009C30AC">
        <w:rPr>
          <w:rFonts w:cstheme="minorHAnsi"/>
          <w:szCs w:val="24"/>
        </w:rPr>
        <w:t>t</w:t>
      </w:r>
      <w:r w:rsidR="004C173A">
        <w:rPr>
          <w:rFonts w:cstheme="minorHAnsi"/>
          <w:szCs w:val="24"/>
        </w:rPr>
        <w:t xml:space="preserve">he “Peldon” population was exposed to selection with a cinmethylin dose of </w:t>
      </w:r>
      <w:r w:rsidR="004C173A">
        <w:t>125 g ha</w:t>
      </w:r>
      <w:r w:rsidR="004C173A" w:rsidRPr="00007115">
        <w:rPr>
          <w:vertAlign w:val="superscript"/>
        </w:rPr>
        <w:t>-1</w:t>
      </w:r>
      <w:r w:rsidR="004C173A">
        <w:t>, while “Lola91” was selected at 250 g ha</w:t>
      </w:r>
      <w:r w:rsidR="004C173A" w:rsidRPr="00007115">
        <w:rPr>
          <w:vertAlign w:val="superscript"/>
        </w:rPr>
        <w:t>-1</w:t>
      </w:r>
      <w:r w:rsidR="009C30AC">
        <w:t>.</w:t>
      </w:r>
      <w:r w:rsidR="004C173A">
        <w:t xml:space="preserve"> </w:t>
      </w:r>
      <w:r w:rsidR="009C30AC">
        <w:t xml:space="preserve">These doses were chosen </w:t>
      </w:r>
      <w:r w:rsidR="004C173A">
        <w:t xml:space="preserve">as previous phenotyping identified that </w:t>
      </w:r>
      <w:r w:rsidR="009C30AC">
        <w:t>they</w:t>
      </w:r>
      <w:r w:rsidR="004C173A">
        <w:t xml:space="preserve"> would </w:t>
      </w:r>
      <w:r w:rsidR="007E419E">
        <w:t xml:space="preserve">result in </w:t>
      </w:r>
      <w:r w:rsidR="004C173A">
        <w:t>5-10% survival</w:t>
      </w:r>
      <w:r w:rsidR="007E419E">
        <w:t xml:space="preserve"> of respective populations</w:t>
      </w:r>
      <w:r w:rsidR="004C173A">
        <w:t xml:space="preserve">. </w:t>
      </w:r>
      <w:r w:rsidR="009C30AC">
        <w:t xml:space="preserve">A further three containers of each line were maintained with no herbicide selection. </w:t>
      </w:r>
      <w:r w:rsidR="004C173A">
        <w:t xml:space="preserve">After herbicide selection, </w:t>
      </w:r>
      <w:r w:rsidR="009C30AC">
        <w:t>plant numbers in</w:t>
      </w:r>
      <w:r w:rsidR="004C173A">
        <w:t xml:space="preserve"> untreated containers </w:t>
      </w:r>
      <w:r w:rsidR="009C30AC">
        <w:t xml:space="preserve">were thinned </w:t>
      </w:r>
      <w:r w:rsidR="004C173A">
        <w:t xml:space="preserve">to an equal number of plants as the </w:t>
      </w:r>
      <w:r w:rsidR="009C30AC">
        <w:t xml:space="preserve">herbicide </w:t>
      </w:r>
      <w:r w:rsidR="004C173A">
        <w:t>treated survivors. All containers were then maintained outdoors until maturity. Before the onset of flowering, treated and untreated containers from each population were placed into separate small glasshouses and allowed to flower</w:t>
      </w:r>
      <w:r w:rsidR="007E419E">
        <w:t xml:space="preserve"> in isolation to prevent cross pollination between selection lines</w:t>
      </w:r>
      <w:r w:rsidR="004C173A">
        <w:t xml:space="preserve">. </w:t>
      </w:r>
      <w:r w:rsidR="00E61D7B">
        <w:t xml:space="preserve">After three generations of selection, a larger experiment was established to determine the extent of any change in cinmethylin sensitivity. Eighteen containers were sown for each seed line (Peldon selected, Peldon unselected, Lola91 selected, Lola91 unselected) and sprayed with </w:t>
      </w:r>
      <w:r w:rsidR="002A04E9">
        <w:t>c</w:t>
      </w:r>
      <w:r w:rsidR="00E61D7B">
        <w:t>inmethylin doses of 0, 32.3, 62.5, 125, 250, and 500 g ha</w:t>
      </w:r>
      <w:r w:rsidR="00E61D7B" w:rsidRPr="006A6069">
        <w:rPr>
          <w:vertAlign w:val="superscript"/>
        </w:rPr>
        <w:t>-1</w:t>
      </w:r>
      <w:r w:rsidR="00E61D7B">
        <w:rPr>
          <w:vertAlign w:val="superscript"/>
        </w:rPr>
        <w:t xml:space="preserve"> </w:t>
      </w:r>
      <w:r w:rsidR="00E61D7B">
        <w:t xml:space="preserve">(n=3 containers per dose). </w:t>
      </w:r>
      <w:r w:rsidR="00E85415">
        <w:t xml:space="preserve">Seedling emergence was counted </w:t>
      </w:r>
      <w:r w:rsidR="00E61D7B">
        <w:t>six</w:t>
      </w:r>
      <w:r w:rsidR="00E85415">
        <w:t xml:space="preserve"> weeks after spraying</w:t>
      </w:r>
      <w:r w:rsidR="00E61D7B">
        <w:t>.</w:t>
      </w:r>
    </w:p>
    <w:p w14:paraId="1A4C68EE" w14:textId="649DE0F0" w:rsidR="0071468D" w:rsidRDefault="0071468D" w:rsidP="00B56E00">
      <w:pPr>
        <w:spacing w:line="360" w:lineRule="auto"/>
      </w:pPr>
    </w:p>
    <w:p w14:paraId="17CB3560" w14:textId="6FE83DC5" w:rsidR="001B6340" w:rsidRPr="001B6340" w:rsidRDefault="001B6340" w:rsidP="00B56E00">
      <w:pPr>
        <w:spacing w:line="360" w:lineRule="auto"/>
        <w:rPr>
          <w:i/>
          <w:iCs/>
          <w:u w:val="single"/>
        </w:rPr>
      </w:pPr>
      <w:r w:rsidRPr="001B6340">
        <w:rPr>
          <w:i/>
          <w:iCs/>
          <w:u w:val="single"/>
        </w:rPr>
        <w:t>Statistical analysis</w:t>
      </w:r>
    </w:p>
    <w:p w14:paraId="6D84F126" w14:textId="21F4B111" w:rsidR="001B6340" w:rsidRDefault="001B6340" w:rsidP="00B56E00">
      <w:pPr>
        <w:spacing w:line="360" w:lineRule="auto"/>
      </w:pPr>
      <w:r>
        <w:t>In all cases, herbicide efficacy was assessed from counts of plants surviving herbicide application. For post-emergence herbicides, ‘survival’ was evaluated as the number of plants surviving herbicide, divided by the total number of plants sprayed within each replicate. For pre-emergence herbicides, ‘emergence’ was calculated as the number of healthy plants emerging after herbicide treatment, divided by the mean number of plants emerging in the unsprayed control replicates of that population. Both measures provide a proportional value between 0 – 1, representing 0 – 100% of plants surviving treatment.</w:t>
      </w:r>
      <w:r w:rsidR="00A61CB9">
        <w:t xml:space="preserve"> </w:t>
      </w:r>
    </w:p>
    <w:p w14:paraId="239B2405" w14:textId="6AE5EFA4" w:rsidR="001B6340" w:rsidRDefault="001B6340" w:rsidP="00B56E00">
      <w:pPr>
        <w:spacing w:line="360" w:lineRule="auto"/>
      </w:pPr>
      <w:r>
        <w:t>All analysis was conducted using ‘R’ version 4.1.1</w:t>
      </w:r>
      <w:r w:rsidR="00E61D7B">
        <w:t xml:space="preserve"> </w:t>
      </w:r>
      <w:r>
        <w:t xml:space="preserve">using a dose-response-curve fitting procedure. All dose response curves were fitted using the ‘drm()’ function of the ‘drc’ package. Dose response curves were fitted with either survival or emergence as the response, weighted by either the total number of plants per rep (survival data), or the mean unsprayed control emergence (emergence </w:t>
      </w:r>
      <w:r>
        <w:lastRenderedPageBreak/>
        <w:t xml:space="preserve">data). Initially, </w:t>
      </w:r>
      <w:r w:rsidR="003C57BD">
        <w:t xml:space="preserve">binomial </w:t>
      </w:r>
      <w:r>
        <w:t>two parameter log-logistic functions were fitted to estimate the slope and ED</w:t>
      </w:r>
      <w:r w:rsidRPr="005653CF">
        <w:rPr>
          <w:vertAlign w:val="subscript"/>
        </w:rPr>
        <w:t>50</w:t>
      </w:r>
      <w:r>
        <w:t>, with upper and lower limits fixed at 1 and 0 respectively. Model goodness-of-fit was compared against other two- and three-parameter log-logistic and Weibull functions using the ‘mselect()’ function. Models were then re-fitted with the optimal curve type based on comparison of AIC.</w:t>
      </w:r>
      <w:r w:rsidR="00A76EA1">
        <w:t xml:space="preserve"> Dry weight data collected for the inter</w:t>
      </w:r>
      <w:r w:rsidR="0048642B">
        <w:t>-</w:t>
      </w:r>
      <w:r w:rsidR="00A76EA1">
        <w:t>population variability assay was also analysed in this way, but with models initially fitted using a four-parameter log-logistic function, and compared against other four parameter models using the ‘mselect()’ function.</w:t>
      </w:r>
    </w:p>
    <w:p w14:paraId="001A70F2" w14:textId="653E92CF" w:rsidR="001B6340" w:rsidRDefault="00D61B3E" w:rsidP="00B56E00">
      <w:pPr>
        <w:spacing w:line="360" w:lineRule="auto"/>
      </w:pPr>
      <w:r>
        <w:t>For the experimentally selected “R” and “S” lines, s</w:t>
      </w:r>
      <w:r w:rsidR="001B6340">
        <w:t xml:space="preserve">ignificance testing for dose-response models was performed </w:t>
      </w:r>
      <w:r w:rsidR="00DC3095">
        <w:t>using a likelihood ratio testing procedure</w:t>
      </w:r>
      <w:r w:rsidR="001B6340">
        <w:t xml:space="preserve">. </w:t>
      </w:r>
      <w:r>
        <w:t xml:space="preserve">Both a ‘full’ and ‘reduced’ model was fitted for each population, </w:t>
      </w:r>
      <w:r w:rsidR="00B050C0">
        <w:t xml:space="preserve">fitting either </w:t>
      </w:r>
      <w:r w:rsidR="00F654E5">
        <w:t>an individual</w:t>
      </w:r>
      <w:r w:rsidR="00B050C0">
        <w:t xml:space="preserve"> curve for </w:t>
      </w:r>
      <w:r w:rsidR="00F654E5">
        <w:t>each</w:t>
      </w:r>
      <w:r w:rsidR="00B050C0">
        <w:t xml:space="preserve"> “R” and “S” line</w:t>
      </w:r>
      <w:r>
        <w:t xml:space="preserve"> (full model)</w:t>
      </w:r>
      <w:r w:rsidR="00B050C0">
        <w:t xml:space="preserve">, or a  single global curve from the </w:t>
      </w:r>
      <w:r>
        <w:t xml:space="preserve">“R” and “S” </w:t>
      </w:r>
      <w:r w:rsidR="00B050C0">
        <w:t>lines combined</w:t>
      </w:r>
      <w:r>
        <w:t xml:space="preserve"> (reduced model)</w:t>
      </w:r>
      <w:r w:rsidR="00B050C0">
        <w:t>. A</w:t>
      </w:r>
      <w:r w:rsidR="001B6340">
        <w:t xml:space="preserve"> likelihood ratio test was</w:t>
      </w:r>
      <w:r w:rsidR="00DC3095">
        <w:t xml:space="preserve"> then</w:t>
      </w:r>
      <w:r w:rsidR="001B6340">
        <w:t xml:space="preserve"> used to compare </w:t>
      </w:r>
      <w:r w:rsidR="00B050C0">
        <w:t>the</w:t>
      </w:r>
      <w:r w:rsidR="001B6340">
        <w:t xml:space="preserve"> </w:t>
      </w:r>
      <w:r>
        <w:t>full model</w:t>
      </w:r>
      <w:r w:rsidR="00B050C0">
        <w:t xml:space="preserve"> </w:t>
      </w:r>
      <w:r w:rsidR="001B6340">
        <w:t xml:space="preserve">against </w:t>
      </w:r>
      <w:r w:rsidR="00B050C0">
        <w:t>the</w:t>
      </w:r>
      <w:r w:rsidR="001B6340">
        <w:t xml:space="preserve"> reduced model</w:t>
      </w:r>
      <w:r w:rsidR="00DC3095">
        <w:t xml:space="preserve">. </w:t>
      </w:r>
      <w:r w:rsidR="001B6340">
        <w:t xml:space="preserve">Model comparison was performed using the ‘anova()’ function, and the resulting approximate F-test used to determine the significance of the predictor variable in improving the overall model fit. </w:t>
      </w:r>
      <w:r w:rsidR="004A2572">
        <w:t>ED</w:t>
      </w:r>
      <w:r w:rsidR="004A2572" w:rsidRPr="00B30FBF">
        <w:rPr>
          <w:vertAlign w:val="subscript"/>
        </w:rPr>
        <w:t>50</w:t>
      </w:r>
      <w:r w:rsidR="004A2572">
        <w:t xml:space="preserve"> values were also extracted from the fitted models using </w:t>
      </w:r>
      <w:r w:rsidR="003C57BD">
        <w:t xml:space="preserve">the </w:t>
      </w:r>
      <w:r w:rsidR="0048642B">
        <w:t>ED</w:t>
      </w:r>
      <w:r w:rsidR="003C57BD">
        <w:t>() function</w:t>
      </w:r>
      <w:r w:rsidR="004A2572">
        <w:t xml:space="preserve">, </w:t>
      </w:r>
      <w:r w:rsidR="003C57BD">
        <w:t xml:space="preserve">and a resistance </w:t>
      </w:r>
      <w:r w:rsidR="003C57BD" w:rsidRPr="003C57BD">
        <w:t xml:space="preserve">‘Index’ </w:t>
      </w:r>
      <w:r w:rsidR="003C57BD">
        <w:t>calculated as</w:t>
      </w:r>
      <w:r w:rsidR="003C57BD" w:rsidRPr="003C57BD">
        <w:t xml:space="preserve"> the ratio of the estimated </w:t>
      </w:r>
      <w:r w:rsidR="003C57BD">
        <w:t>“</w:t>
      </w:r>
      <w:r w:rsidR="003C57BD" w:rsidRPr="003C57BD">
        <w:t>R</w:t>
      </w:r>
      <w:r w:rsidR="003C57BD">
        <w:t>”</w:t>
      </w:r>
      <w:r w:rsidR="003C57BD" w:rsidRPr="003C57BD">
        <w:t xml:space="preserve"> and </w:t>
      </w:r>
      <w:r w:rsidR="003C57BD">
        <w:t>“</w:t>
      </w:r>
      <w:r w:rsidR="003C57BD" w:rsidRPr="003C57BD">
        <w:t>S</w:t>
      </w:r>
      <w:r w:rsidR="003C57BD">
        <w:t>”</w:t>
      </w:r>
      <w:r w:rsidR="003C57BD" w:rsidRPr="003C57BD">
        <w:t xml:space="preserve"> ED</w:t>
      </w:r>
      <w:r w:rsidR="003C57BD" w:rsidRPr="003C57BD">
        <w:rPr>
          <w:vertAlign w:val="subscript"/>
        </w:rPr>
        <w:t>50</w:t>
      </w:r>
      <w:r w:rsidR="003C57BD">
        <w:t xml:space="preserve"> values</w:t>
      </w:r>
      <w:r w:rsidR="003C57BD" w:rsidRPr="003C57BD">
        <w:t xml:space="preserve">, computed with </w:t>
      </w:r>
      <w:r w:rsidR="003C57BD">
        <w:t>“</w:t>
      </w:r>
      <w:r w:rsidR="003C57BD" w:rsidRPr="003C57BD">
        <w:t>S</w:t>
      </w:r>
      <w:r w:rsidR="003C57BD">
        <w:t>”</w:t>
      </w:r>
      <w:r w:rsidR="003C57BD" w:rsidRPr="003C57BD">
        <w:t xml:space="preserve"> as the denominator.</w:t>
      </w:r>
      <w:r w:rsidR="003F407D" w:rsidRPr="003F407D">
        <w:t xml:space="preserve"> </w:t>
      </w:r>
      <w:r w:rsidR="003F407D">
        <w:t>Where likelihood-ratio testing suggested a significant difference between the “R” and “S” lines, ED</w:t>
      </w:r>
      <w:r w:rsidR="003F407D" w:rsidRPr="00B30FBF">
        <w:rPr>
          <w:vertAlign w:val="subscript"/>
        </w:rPr>
        <w:t>50</w:t>
      </w:r>
      <w:r w:rsidR="003F407D">
        <w:t xml:space="preserve"> values were also statistically compared using a Z-test, implemented with the ‘compParm()’ function.</w:t>
      </w:r>
    </w:p>
    <w:p w14:paraId="680E5444" w14:textId="5C5C53D6" w:rsidR="0074150C" w:rsidRDefault="0074150C" w:rsidP="00B56E00">
      <w:pPr>
        <w:spacing w:line="360" w:lineRule="auto"/>
      </w:pPr>
    </w:p>
    <w:p w14:paraId="033E5F95" w14:textId="7AE91D6A" w:rsidR="0074150C" w:rsidRPr="00007115" w:rsidRDefault="00377492" w:rsidP="00B56E00">
      <w:pPr>
        <w:spacing w:line="360" w:lineRule="auto"/>
        <w:rPr>
          <w:b/>
          <w:bCs/>
          <w:u w:val="single"/>
        </w:rPr>
      </w:pPr>
      <w:r w:rsidRPr="00007115">
        <w:rPr>
          <w:b/>
          <w:bCs/>
          <w:u w:val="single"/>
        </w:rPr>
        <w:t>Results</w:t>
      </w:r>
    </w:p>
    <w:p w14:paraId="616855A5" w14:textId="77777777" w:rsidR="00566714" w:rsidRPr="00F538A5" w:rsidRDefault="00566714" w:rsidP="00B56E00">
      <w:pPr>
        <w:spacing w:line="360" w:lineRule="auto"/>
        <w:rPr>
          <w:i/>
          <w:u w:val="single"/>
        </w:rPr>
      </w:pPr>
      <w:r w:rsidRPr="00F538A5">
        <w:rPr>
          <w:i/>
          <w:u w:val="single"/>
        </w:rPr>
        <w:t>Experiment 1 (Glasshouse)</w:t>
      </w:r>
    </w:p>
    <w:p w14:paraId="7AAA8197" w14:textId="742F0212" w:rsidR="00566714" w:rsidRDefault="00566714" w:rsidP="00B56E00">
      <w:pPr>
        <w:spacing w:line="360" w:lineRule="auto"/>
      </w:pPr>
      <w:r>
        <w:t>Under standardised, unheated glasshouse conditions, the efficacy of cinmethylin on both seedling emergence and plant biomass was hi</w:t>
      </w:r>
      <w:r w:rsidRPr="00697EB9">
        <w:t>gh (Fig</w:t>
      </w:r>
      <w:r>
        <w:t>ure 1</w:t>
      </w:r>
      <w:r w:rsidR="00041B17">
        <w:t>, Table S2</w:t>
      </w:r>
      <w:r w:rsidRPr="00697EB9">
        <w:t>).</w:t>
      </w:r>
      <w:r>
        <w:t xml:space="preserve"> The two herbicide susceptible ‘standard’ populations (Roth18 and Notts05) exhibited </w:t>
      </w:r>
      <w:r w:rsidR="006A3D27">
        <w:t>close to</w:t>
      </w:r>
      <w:r w:rsidR="00D1630D">
        <w:t xml:space="preserve"> </w:t>
      </w:r>
      <w:r>
        <w:t xml:space="preserve">100% control, even at doses </w:t>
      </w:r>
      <w:r>
        <w:rPr>
          <w:rFonts w:cstheme="minorHAnsi"/>
        </w:rPr>
        <w:t>≤</w:t>
      </w:r>
      <w:r>
        <w:t>100 g ha</w:t>
      </w:r>
      <w:r w:rsidRPr="00F538A5">
        <w:rPr>
          <w:vertAlign w:val="superscript"/>
        </w:rPr>
        <w:t>-1</w:t>
      </w:r>
      <w:r w:rsidR="00D1630D" w:rsidRPr="00D1630D">
        <w:t xml:space="preserve"> </w:t>
      </w:r>
      <w:r w:rsidR="00D1630D">
        <w:t>(with UK field rate being 500 g ha</w:t>
      </w:r>
      <w:r w:rsidR="00D1630D" w:rsidRPr="00D1630D">
        <w:rPr>
          <w:vertAlign w:val="superscript"/>
        </w:rPr>
        <w:t>-1</w:t>
      </w:r>
      <w:r w:rsidR="00D1630D">
        <w:t>)</w:t>
      </w:r>
      <w:r>
        <w:t>. The majority of UK collected field populations were similarly sensitive, with an estimate</w:t>
      </w:r>
      <w:r w:rsidR="00D1630D">
        <w:t>d</w:t>
      </w:r>
      <w:r>
        <w:t xml:space="preserve"> overall </w:t>
      </w:r>
      <w:r w:rsidR="00D1630D">
        <w:t xml:space="preserve">mean </w:t>
      </w:r>
      <w:r>
        <w:t>ED</w:t>
      </w:r>
      <w:r w:rsidRPr="00566714">
        <w:rPr>
          <w:vertAlign w:val="subscript"/>
        </w:rPr>
        <w:t>50</w:t>
      </w:r>
      <w:r>
        <w:t xml:space="preserve"> of 20 g ha</w:t>
      </w:r>
      <w:r w:rsidRPr="00566714">
        <w:rPr>
          <w:vertAlign w:val="superscript"/>
        </w:rPr>
        <w:t>-1</w:t>
      </w:r>
      <w:r>
        <w:t xml:space="preserve"> (emergence) and 7 g ha</w:t>
      </w:r>
      <w:r w:rsidRPr="00566714">
        <w:rPr>
          <w:vertAlign w:val="superscript"/>
        </w:rPr>
        <w:t>-1</w:t>
      </w:r>
      <w:r>
        <w:t xml:space="preserve"> (dry weight). The mean percentage control of seedlings at the field-rate dose of 500g ha</w:t>
      </w:r>
      <w:r w:rsidRPr="00026138">
        <w:rPr>
          <w:vertAlign w:val="superscript"/>
        </w:rPr>
        <w:t>-1</w:t>
      </w:r>
      <w:r w:rsidR="00026138" w:rsidRPr="00026138">
        <w:t>,</w:t>
      </w:r>
      <w:r>
        <w:t xml:space="preserve"> calculated from all UK populations</w:t>
      </w:r>
      <w:r w:rsidR="002E095A">
        <w:t>,</w:t>
      </w:r>
      <w:r>
        <w:t xml:space="preserve"> was estimated as </w:t>
      </w:r>
      <w:r w:rsidR="00026138">
        <w:t xml:space="preserve">97.6%. </w:t>
      </w:r>
      <w:r>
        <w:t xml:space="preserve">Nevertheless, the standard NTSR population (Peldon13) showed reduced sensitivity to cinmethylin, maintaining approximately </w:t>
      </w:r>
      <w:r w:rsidR="002E095A">
        <w:t>1</w:t>
      </w:r>
      <w:r w:rsidR="00026138">
        <w:t>5</w:t>
      </w:r>
      <w:r w:rsidR="00EF5BE3">
        <w:t xml:space="preserve">% </w:t>
      </w:r>
      <w:r>
        <w:t>emergence at the highest dose.</w:t>
      </w:r>
      <w:r w:rsidR="00026138">
        <w:t xml:space="preserve"> T</w:t>
      </w:r>
      <w:r>
        <w:t>wo field collected populations (Lola 91 and Lola 101) showed</w:t>
      </w:r>
      <w:r w:rsidR="00026138">
        <w:t xml:space="preserve"> similar</w:t>
      </w:r>
      <w:r>
        <w:t xml:space="preserve"> reduced sensitivity to the herbicide</w:t>
      </w:r>
      <w:r w:rsidR="00026138">
        <w:t>.</w:t>
      </w:r>
      <w:r>
        <w:t xml:space="preserve"> Seed collected in-field </w:t>
      </w:r>
      <w:r w:rsidR="00726B16">
        <w:t>over</w:t>
      </w:r>
      <w:r>
        <w:t xml:space="preserve"> two separate years (2014 and 2018) was included for population Lola 91. Both seed sets had consistently lower sensitivity to cinmethylin</w:t>
      </w:r>
      <w:r w:rsidR="00726B16">
        <w:t xml:space="preserve"> than </w:t>
      </w:r>
      <w:r w:rsidR="00726B16">
        <w:lastRenderedPageBreak/>
        <w:t>the majority of other UK field collected populations.</w:t>
      </w:r>
      <w:r w:rsidR="007533AE">
        <w:t xml:space="preserve"> These results demonstrate th</w:t>
      </w:r>
      <w:r w:rsidR="002E095A">
        <w:t xml:space="preserve">at the </w:t>
      </w:r>
      <w:r w:rsidR="007533AE">
        <w:t>overall efficacy of cinmethylin</w:t>
      </w:r>
      <w:r w:rsidR="002E095A">
        <w:t xml:space="preserve"> in UK </w:t>
      </w:r>
      <w:r w:rsidR="006A3D27">
        <w:t>b</w:t>
      </w:r>
      <w:r w:rsidR="002E095A">
        <w:t>lackgrass populations at the field rate (500 g ha</w:t>
      </w:r>
      <w:r w:rsidR="002E095A" w:rsidRPr="002E095A">
        <w:rPr>
          <w:vertAlign w:val="superscript"/>
        </w:rPr>
        <w:t>-1</w:t>
      </w:r>
      <w:r w:rsidR="002E095A">
        <w:t>) is high, although highlighting that significant inter-population variability exists at doses below this rate.</w:t>
      </w:r>
    </w:p>
    <w:p w14:paraId="073DED2D" w14:textId="77777777" w:rsidR="00241594" w:rsidRDefault="00241594" w:rsidP="00B56E00">
      <w:pPr>
        <w:spacing w:line="360" w:lineRule="auto"/>
      </w:pPr>
    </w:p>
    <w:p w14:paraId="6DC094DC" w14:textId="77777777" w:rsidR="00241594" w:rsidRPr="00114817" w:rsidRDefault="00241594" w:rsidP="00B56E00">
      <w:pPr>
        <w:spacing w:line="360" w:lineRule="auto"/>
        <w:rPr>
          <w:i/>
          <w:u w:val="single"/>
        </w:rPr>
      </w:pPr>
      <w:r w:rsidRPr="00114817">
        <w:rPr>
          <w:i/>
          <w:u w:val="single"/>
        </w:rPr>
        <w:t>Experiment 2 (Outdoor containers)</w:t>
      </w:r>
    </w:p>
    <w:p w14:paraId="269F4BC5" w14:textId="416C4581" w:rsidR="00241594" w:rsidRDefault="00241594" w:rsidP="00B56E00">
      <w:pPr>
        <w:spacing w:line="360" w:lineRule="auto"/>
      </w:pPr>
      <w:r>
        <w:t>Four populations identified from the glasshouse study with variable sensitivity to cinmethylin (Roth18, Lola8, Lola91, and Peldon), were screened again for cinmethylin sensitivity outdoors in large containers (Figure 2, A). For all populations, control of black-grass emergence by</w:t>
      </w:r>
      <w:r w:rsidRPr="00D47E9C">
        <w:t xml:space="preserve"> </w:t>
      </w:r>
      <w:r>
        <w:t>cinmethylin at 500 g ai ha</w:t>
      </w:r>
      <w:r w:rsidRPr="00D47E9C">
        <w:rPr>
          <w:vertAlign w:val="superscript"/>
        </w:rPr>
        <w:t>-1</w:t>
      </w:r>
      <w:r>
        <w:t xml:space="preserve"> was 90 – 100% (see supporting material Table S3). As previously however, significant variability in cinmethylin sensitivity was apparent at doses below 500 g ai ha</w:t>
      </w:r>
      <w:r w:rsidRPr="00D47E9C">
        <w:rPr>
          <w:vertAlign w:val="superscript"/>
        </w:rPr>
        <w:t>-1</w:t>
      </w:r>
      <w:r>
        <w:t>. Roth</w:t>
      </w:r>
      <w:r w:rsidR="006A3D27">
        <w:t>20</w:t>
      </w:r>
      <w:r>
        <w:t xml:space="preserve">18 and Lola8 demonstrated greater sensitivity, with the majority of emergence controlled at doses </w:t>
      </w:r>
      <w:r>
        <w:rPr>
          <w:rFonts w:cstheme="minorHAnsi"/>
        </w:rPr>
        <w:t>≤</w:t>
      </w:r>
      <w:r>
        <w:t>100 g ha</w:t>
      </w:r>
      <w:r w:rsidRPr="00F538A5">
        <w:rPr>
          <w:vertAlign w:val="superscript"/>
        </w:rPr>
        <w:t>-1</w:t>
      </w:r>
      <w:r w:rsidRPr="00726B16">
        <w:rPr>
          <w:vertAlign w:val="subscript"/>
        </w:rPr>
        <w:t xml:space="preserve"> </w:t>
      </w:r>
      <w:r>
        <w:t xml:space="preserve">(Figure 2, B). The two known NTSR populations (Peldon </w:t>
      </w:r>
      <w:r w:rsidR="006A3D27">
        <w:t>20</w:t>
      </w:r>
      <w:r>
        <w:t>13 and Lola 91) demonstrated significantly lower sensitivity to cinmethylin however, with considerable emergence apparent at 125 and 250 g ha</w:t>
      </w:r>
      <w:r w:rsidRPr="00774854">
        <w:rPr>
          <w:vertAlign w:val="superscript"/>
        </w:rPr>
        <w:t>-1</w:t>
      </w:r>
      <w:r>
        <w:t xml:space="preserve"> doses (Figure 2, A, B). To compare variation in cinmethylin sensitivity with variation in sensitivity to other pre-emergence herbicides, further containers of all four populations were sprayed with either flufenacet (at 180 g ai ha</w:t>
      </w:r>
      <w:r w:rsidRPr="004F3B0C">
        <w:rPr>
          <w:vertAlign w:val="superscript"/>
        </w:rPr>
        <w:t>-1</w:t>
      </w:r>
      <w:r w:rsidRPr="002E095A">
        <w:t>)</w:t>
      </w:r>
      <w:r>
        <w:t xml:space="preserve"> or pendimethalin (at 1200 g ai ha</w:t>
      </w:r>
      <w:r w:rsidRPr="004F3B0C">
        <w:rPr>
          <w:vertAlign w:val="superscript"/>
        </w:rPr>
        <w:t>-1</w:t>
      </w:r>
      <w:r>
        <w:t xml:space="preserve">). Control of all four populations was uniformly high using the herbicide flufenacet (Figure 2, C). Much greater variability in seedling emergence was observed in the pendimethalin treatment, with 0-15% control of the two NTSR populations (Peldon 13 and Lola 91), 30-40% control of population Lola 8, and 80-90% control of Roth18. Although clearly not a direct 1:1 relationship, this highlights a potential association; whereby populations with greater pendimethalin resistance are also less sensitive to low doses of </w:t>
      </w:r>
      <w:r w:rsidR="006A3D27">
        <w:t>c</w:t>
      </w:r>
      <w:r>
        <w:t>inmethylin.</w:t>
      </w:r>
    </w:p>
    <w:p w14:paraId="01122417" w14:textId="77777777" w:rsidR="001478D6" w:rsidRPr="00241594" w:rsidRDefault="001478D6" w:rsidP="00B56E00">
      <w:pPr>
        <w:spacing w:line="360" w:lineRule="auto"/>
        <w:rPr>
          <w:b/>
          <w:bCs/>
          <w:sz w:val="18"/>
          <w:szCs w:val="18"/>
        </w:rPr>
      </w:pPr>
    </w:p>
    <w:p w14:paraId="0D7BE27A" w14:textId="39B46BF2" w:rsidR="007533AE" w:rsidRPr="00114817" w:rsidRDefault="007533AE" w:rsidP="00B56E00">
      <w:pPr>
        <w:spacing w:line="360" w:lineRule="auto"/>
        <w:rPr>
          <w:i/>
          <w:u w:val="single"/>
        </w:rPr>
      </w:pPr>
      <w:r w:rsidRPr="00114817">
        <w:rPr>
          <w:i/>
          <w:u w:val="single"/>
        </w:rPr>
        <w:t xml:space="preserve">Experiment </w:t>
      </w:r>
      <w:r w:rsidR="002141EE">
        <w:rPr>
          <w:i/>
          <w:u w:val="single"/>
        </w:rPr>
        <w:t>3</w:t>
      </w:r>
      <w:r w:rsidRPr="00114817">
        <w:rPr>
          <w:i/>
          <w:u w:val="single"/>
        </w:rPr>
        <w:t xml:space="preserve"> (</w:t>
      </w:r>
      <w:r>
        <w:rPr>
          <w:i/>
          <w:u w:val="single"/>
        </w:rPr>
        <w:t>Cross-resistance</w:t>
      </w:r>
      <w:r w:rsidRPr="00114817">
        <w:rPr>
          <w:i/>
          <w:u w:val="single"/>
        </w:rPr>
        <w:t>)</w:t>
      </w:r>
    </w:p>
    <w:p w14:paraId="5267F3AB" w14:textId="7E8BC38B" w:rsidR="002141EE" w:rsidRDefault="00C261D9" w:rsidP="00B56E00">
      <w:pPr>
        <w:spacing w:line="360" w:lineRule="auto"/>
      </w:pPr>
      <w:r>
        <w:t xml:space="preserve">All four experimentally selected resistant lines were confirmed to have a significant difference in resistance to the herbicide that they had been selected with </w:t>
      </w:r>
      <w:r w:rsidR="002C1626">
        <w:t>(p</w:t>
      </w:r>
      <w:r>
        <w:t xml:space="preserve">endimethalin, </w:t>
      </w:r>
      <w:r w:rsidR="002C1626">
        <w:t>f</w:t>
      </w:r>
      <w:r>
        <w:t xml:space="preserve">lufenacet, </w:t>
      </w:r>
      <w:r w:rsidR="002C1626">
        <w:t>f</w:t>
      </w:r>
      <w:r>
        <w:t>enoxaprop, and meso+iodosulfuron), compared with their unselected baseline (</w:t>
      </w:r>
      <w:r w:rsidR="00DA160D">
        <w:t xml:space="preserve">Table </w:t>
      </w:r>
      <w:r w:rsidR="00690100">
        <w:t>2</w:t>
      </w:r>
      <w:r w:rsidR="00DA160D">
        <w:t xml:space="preserve">, </w:t>
      </w:r>
      <w:r>
        <w:t>Figure</w:t>
      </w:r>
      <w:r w:rsidR="00A21B8B">
        <w:t>s</w:t>
      </w:r>
      <w:r>
        <w:t xml:space="preserve"> S1</w:t>
      </w:r>
      <w:r w:rsidR="00A21B8B">
        <w:t>-S5</w:t>
      </w:r>
      <w:r>
        <w:t xml:space="preserve">). </w:t>
      </w:r>
      <w:r w:rsidR="009C4DC8">
        <w:t>Using likelihood-ratio testing, two out of the four lines (</w:t>
      </w:r>
      <w:r w:rsidR="002C1626">
        <w:t>p</w:t>
      </w:r>
      <w:r w:rsidR="009C4DC8">
        <w:t xml:space="preserve">endimethalin and </w:t>
      </w:r>
      <w:r w:rsidR="002C1626">
        <w:t>f</w:t>
      </w:r>
      <w:r w:rsidR="009C4DC8">
        <w:t>enoxaprop resistance) were found to similarly have significant</w:t>
      </w:r>
      <w:r w:rsidR="006F27EC">
        <w:t>ly</w:t>
      </w:r>
      <w:r w:rsidR="009C4DC8">
        <w:t xml:space="preserve"> </w:t>
      </w:r>
      <w:r w:rsidR="006F27EC">
        <w:t>reduced</w:t>
      </w:r>
      <w:r w:rsidR="009C4DC8">
        <w:t xml:space="preserve"> sensitivity to </w:t>
      </w:r>
      <w:r w:rsidR="002C1626">
        <w:t>c</w:t>
      </w:r>
      <w:r w:rsidR="009C4DC8">
        <w:t xml:space="preserve">inmethylin (Table </w:t>
      </w:r>
      <w:r w:rsidR="00690100">
        <w:t>2</w:t>
      </w:r>
      <w:r w:rsidR="009C4DC8">
        <w:t xml:space="preserve">). In both cases, it was the </w:t>
      </w:r>
      <w:r w:rsidR="006F27EC">
        <w:t>b</w:t>
      </w:r>
      <w:r w:rsidR="009C4DC8">
        <w:t>lackgrass line with non-target-site resistance which displayed lower cinmethylin sensitivity, compared with the unselected baseline</w:t>
      </w:r>
      <w:r w:rsidR="00315B87">
        <w:t xml:space="preserve"> (Figure 3)</w:t>
      </w:r>
      <w:r w:rsidR="009C4DC8">
        <w:t xml:space="preserve">. In the </w:t>
      </w:r>
      <w:r w:rsidR="002C1626">
        <w:t>p</w:t>
      </w:r>
      <w:r w:rsidR="009C4DC8">
        <w:t xml:space="preserve">endimethlin selected line, </w:t>
      </w:r>
      <w:r w:rsidR="002C1626">
        <w:t>c</w:t>
      </w:r>
      <w:r w:rsidR="009C4DC8">
        <w:t>inmethylin ED</w:t>
      </w:r>
      <w:r w:rsidR="009C4DC8" w:rsidRPr="009C4DC8">
        <w:rPr>
          <w:vertAlign w:val="subscript"/>
        </w:rPr>
        <w:t>50</w:t>
      </w:r>
      <w:r w:rsidR="009C4DC8">
        <w:t xml:space="preserve"> was increased </w:t>
      </w:r>
      <w:r w:rsidR="00665188">
        <w:t>from 31 g ha</w:t>
      </w:r>
      <w:r w:rsidR="00665188" w:rsidRPr="00665188">
        <w:rPr>
          <w:vertAlign w:val="superscript"/>
        </w:rPr>
        <w:t>-1</w:t>
      </w:r>
      <w:r w:rsidR="00665188">
        <w:t xml:space="preserve"> in the baseline, to 118 g ha</w:t>
      </w:r>
      <w:r w:rsidR="00665188" w:rsidRPr="00665188">
        <w:rPr>
          <w:vertAlign w:val="superscript"/>
        </w:rPr>
        <w:t>-1</w:t>
      </w:r>
      <w:r w:rsidR="00665188">
        <w:t xml:space="preserve"> following </w:t>
      </w:r>
      <w:r w:rsidR="006660BD">
        <w:t>eight</w:t>
      </w:r>
      <w:r w:rsidR="00665188">
        <w:t xml:space="preserve"> years selection with </w:t>
      </w:r>
      <w:r w:rsidR="00665188">
        <w:lastRenderedPageBreak/>
        <w:t xml:space="preserve">pendimethalin. In the </w:t>
      </w:r>
      <w:r w:rsidR="00B50015">
        <w:t>fenoxaprop</w:t>
      </w:r>
      <w:r w:rsidR="00665188">
        <w:t xml:space="preserve"> resistant segregating line, </w:t>
      </w:r>
      <w:r w:rsidR="002C1626">
        <w:t>c</w:t>
      </w:r>
      <w:r w:rsidR="00665188">
        <w:t>inmethylin ED</w:t>
      </w:r>
      <w:r w:rsidR="00665188" w:rsidRPr="009C4DC8">
        <w:rPr>
          <w:vertAlign w:val="subscript"/>
        </w:rPr>
        <w:t>50</w:t>
      </w:r>
      <w:r w:rsidR="00665188">
        <w:t xml:space="preserve"> was increased from 15 g ha</w:t>
      </w:r>
      <w:r w:rsidR="00665188" w:rsidRPr="00665188">
        <w:rPr>
          <w:vertAlign w:val="superscript"/>
        </w:rPr>
        <w:t>-1</w:t>
      </w:r>
      <w:r w:rsidR="00665188">
        <w:t xml:space="preserve"> in the baseline, to 108 g ha</w:t>
      </w:r>
      <w:r w:rsidR="00665188" w:rsidRPr="00665188">
        <w:rPr>
          <w:vertAlign w:val="superscript"/>
        </w:rPr>
        <w:t>-1</w:t>
      </w:r>
      <w:r w:rsidR="00665188">
        <w:t xml:space="preserve"> in the resistant line. </w:t>
      </w:r>
    </w:p>
    <w:p w14:paraId="14E6435D" w14:textId="77777777" w:rsidR="00241594" w:rsidRDefault="00241594" w:rsidP="00B56E00">
      <w:pPr>
        <w:spacing w:line="360" w:lineRule="auto"/>
        <w:rPr>
          <w:b/>
          <w:bCs/>
          <w:sz w:val="18"/>
          <w:szCs w:val="18"/>
        </w:rPr>
      </w:pPr>
    </w:p>
    <w:p w14:paraId="1D701489" w14:textId="7E9F5667" w:rsidR="00241594" w:rsidRPr="002141EE" w:rsidRDefault="00241594" w:rsidP="00B56E00">
      <w:pPr>
        <w:spacing w:line="360" w:lineRule="auto"/>
        <w:rPr>
          <w:u w:val="single"/>
        </w:rPr>
      </w:pPr>
      <w:r w:rsidRPr="002141EE">
        <w:rPr>
          <w:u w:val="single"/>
        </w:rPr>
        <w:t>Experiment 4 (</w:t>
      </w:r>
      <w:r w:rsidR="00BE1640">
        <w:rPr>
          <w:u w:val="single"/>
        </w:rPr>
        <w:t>cinmethylin</w:t>
      </w:r>
      <w:r w:rsidRPr="002141EE">
        <w:rPr>
          <w:u w:val="single"/>
        </w:rPr>
        <w:t xml:space="preserve"> selection)</w:t>
      </w:r>
    </w:p>
    <w:p w14:paraId="3355BF77" w14:textId="18830A20" w:rsidR="00D83933" w:rsidRPr="001478D6" w:rsidRDefault="00241594" w:rsidP="00B56E00">
      <w:pPr>
        <w:spacing w:line="360" w:lineRule="auto"/>
      </w:pPr>
      <w:r>
        <w:t xml:space="preserve">Two of the populations with lower sensitivity to </w:t>
      </w:r>
      <w:r w:rsidR="006F27EC">
        <w:t>c</w:t>
      </w:r>
      <w:r>
        <w:t>inmethylin (Peldon and Lola91) were exposed to recurrent low-dose selection for t</w:t>
      </w:r>
      <w:r w:rsidR="00262F4B">
        <w:t>hree</w:t>
      </w:r>
      <w:r>
        <w:t xml:space="preserve"> generations to determine if </w:t>
      </w:r>
      <w:r w:rsidR="006F27EC">
        <w:t>c</w:t>
      </w:r>
      <w:r>
        <w:t xml:space="preserve">inmethylin sensitivity could be further reduced. Screening in large containers outdoors, both </w:t>
      </w:r>
      <w:r w:rsidR="00262F4B">
        <w:t>experimentally selected line</w:t>
      </w:r>
      <w:r>
        <w:t xml:space="preserve">s were found to have further reduced sensitivity to </w:t>
      </w:r>
      <w:r w:rsidR="00BE1640">
        <w:t>cinmethylin</w:t>
      </w:r>
      <w:r w:rsidR="00262F4B">
        <w:t>, compared with their unselected baseline</w:t>
      </w:r>
      <w:r w:rsidR="00315B87">
        <w:t xml:space="preserve"> (Figure 4)</w:t>
      </w:r>
      <w:r w:rsidR="00262F4B">
        <w:t xml:space="preserve">. </w:t>
      </w:r>
      <w:r w:rsidR="00907AA7">
        <w:t>For the Peldon line, the estimated ED</w:t>
      </w:r>
      <w:r w:rsidR="00907AA7" w:rsidRPr="00D52FBB">
        <w:rPr>
          <w:vertAlign w:val="subscript"/>
        </w:rPr>
        <w:t>50</w:t>
      </w:r>
      <w:r w:rsidR="00907AA7">
        <w:t xml:space="preserve"> had risen from 170</w:t>
      </w:r>
      <w:r w:rsidR="00907AA7" w:rsidRPr="00D52FBB">
        <w:t xml:space="preserve"> </w:t>
      </w:r>
      <w:r w:rsidR="00907AA7">
        <w:t>g ha</w:t>
      </w:r>
      <w:r w:rsidR="00907AA7" w:rsidRPr="00D52FBB">
        <w:rPr>
          <w:vertAlign w:val="superscript"/>
        </w:rPr>
        <w:t>-1</w:t>
      </w:r>
      <w:r w:rsidR="00907AA7">
        <w:t xml:space="preserve"> in the unselected line to 407 g ha</w:t>
      </w:r>
      <w:r w:rsidR="00907AA7" w:rsidRPr="00D52FBB">
        <w:rPr>
          <w:vertAlign w:val="superscript"/>
        </w:rPr>
        <w:t>-1</w:t>
      </w:r>
      <w:r w:rsidR="00907AA7">
        <w:t xml:space="preserve"> in the selected line, an increase of approximately 139%</w:t>
      </w:r>
      <w:r w:rsidR="00911D20">
        <w:t xml:space="preserve"> and equivalent to an R:S resistance index of 2.39</w:t>
      </w:r>
      <w:r w:rsidR="00907AA7">
        <w:t>. For the Lola91 line, the estimated ED</w:t>
      </w:r>
      <w:r w:rsidR="00907AA7" w:rsidRPr="00D52FBB">
        <w:rPr>
          <w:vertAlign w:val="subscript"/>
        </w:rPr>
        <w:t>50</w:t>
      </w:r>
      <w:r w:rsidR="00907AA7">
        <w:t xml:space="preserve"> had risen from 132</w:t>
      </w:r>
      <w:r w:rsidR="00907AA7" w:rsidRPr="00D52FBB">
        <w:t xml:space="preserve"> </w:t>
      </w:r>
      <w:r w:rsidR="00907AA7">
        <w:t>g ha</w:t>
      </w:r>
      <w:r w:rsidR="00907AA7" w:rsidRPr="00D52FBB">
        <w:rPr>
          <w:vertAlign w:val="superscript"/>
        </w:rPr>
        <w:t>-1</w:t>
      </w:r>
      <w:r w:rsidR="00907AA7">
        <w:t xml:space="preserve"> in the unselected line to 439 g ha</w:t>
      </w:r>
      <w:r w:rsidR="00907AA7" w:rsidRPr="00D52FBB">
        <w:rPr>
          <w:vertAlign w:val="superscript"/>
        </w:rPr>
        <w:t>-1</w:t>
      </w:r>
      <w:r w:rsidR="00907AA7">
        <w:t xml:space="preserve"> in the selected line, a percentage increase of 232%</w:t>
      </w:r>
      <w:r w:rsidR="00911D20" w:rsidRPr="00911D20">
        <w:t xml:space="preserve"> </w:t>
      </w:r>
      <w:r w:rsidR="00911D20">
        <w:t>and equivalent to an R:S resistance index of 3.33.</w:t>
      </w:r>
      <w:r w:rsidR="00907AA7">
        <w:t xml:space="preserve"> </w:t>
      </w:r>
      <w:r>
        <w:t>These results demonstrate that t</w:t>
      </w:r>
      <w:r w:rsidR="00907AA7">
        <w:t>hree</w:t>
      </w:r>
      <w:r>
        <w:t xml:space="preserve"> years of recurrent selection with low </w:t>
      </w:r>
      <w:r w:rsidR="006F27EC">
        <w:t>c</w:t>
      </w:r>
      <w:r>
        <w:t>inmethylin doses (125 g ha</w:t>
      </w:r>
      <w:r w:rsidRPr="00007115">
        <w:rPr>
          <w:vertAlign w:val="superscript"/>
        </w:rPr>
        <w:t>-1</w:t>
      </w:r>
      <w:r>
        <w:t xml:space="preserve"> for Peldon and 250 g ha</w:t>
      </w:r>
      <w:r w:rsidRPr="00007115">
        <w:rPr>
          <w:vertAlign w:val="superscript"/>
        </w:rPr>
        <w:t>-1</w:t>
      </w:r>
      <w:r>
        <w:t xml:space="preserve"> for Lola 91) under experimental conditions can result in further </w:t>
      </w:r>
      <w:r w:rsidR="001A312D">
        <w:t xml:space="preserve">significant </w:t>
      </w:r>
      <w:r>
        <w:t xml:space="preserve">reductions in </w:t>
      </w:r>
      <w:r w:rsidR="006F27EC">
        <w:t>c</w:t>
      </w:r>
      <w:r>
        <w:t xml:space="preserve">inmethylin sensitivity. </w:t>
      </w:r>
    </w:p>
    <w:p w14:paraId="7CEBE626" w14:textId="77777777" w:rsidR="00241594" w:rsidRDefault="00241594" w:rsidP="00B56E00">
      <w:pPr>
        <w:spacing w:line="360" w:lineRule="auto"/>
        <w:rPr>
          <w:b/>
          <w:bCs/>
          <w:sz w:val="18"/>
          <w:szCs w:val="18"/>
        </w:rPr>
      </w:pPr>
    </w:p>
    <w:p w14:paraId="6DBE25D4" w14:textId="0185604C" w:rsidR="00872A99" w:rsidRPr="00872A99" w:rsidRDefault="00872A99" w:rsidP="00B56E00">
      <w:pPr>
        <w:spacing w:line="360" w:lineRule="auto"/>
        <w:rPr>
          <w:b/>
          <w:bCs/>
          <w:u w:val="single"/>
        </w:rPr>
      </w:pPr>
      <w:r w:rsidRPr="00872A99">
        <w:rPr>
          <w:b/>
          <w:bCs/>
          <w:u w:val="single"/>
        </w:rPr>
        <w:t>Discussion</w:t>
      </w:r>
    </w:p>
    <w:p w14:paraId="60C262CC" w14:textId="7004C514" w:rsidR="00BC7EE0" w:rsidRDefault="00872A99" w:rsidP="00B56E00">
      <w:pPr>
        <w:spacing w:line="360" w:lineRule="auto"/>
      </w:pPr>
      <w:r>
        <w:t>With large population sizes and evolved resistance to seven herbicide modes-of-action</w:t>
      </w:r>
      <w:r w:rsidR="00272BDC">
        <w:t xml:space="preserve"> (MOAs)</w:t>
      </w:r>
      <w:r>
        <w:t xml:space="preserve">, </w:t>
      </w:r>
      <w:r w:rsidR="00907764">
        <w:t>b</w:t>
      </w:r>
      <w:r>
        <w:t>lackgrass (</w:t>
      </w:r>
      <w:r w:rsidRPr="00872A99">
        <w:rPr>
          <w:i/>
          <w:iCs/>
        </w:rPr>
        <w:t>Alopecurus myosuroides</w:t>
      </w:r>
      <w:r>
        <w:t xml:space="preserve">) remains the UK’s principal weed problem in arable fields </w:t>
      </w:r>
      <w:r w:rsidR="002C7839">
        <w:fldChar w:fldCharType="begin" w:fldLock="1"/>
      </w:r>
      <w:r w:rsidR="00DF0B67">
        <w:instrText>ADDIN CSL_CITATION {"citationItems":[{"id":"ITEM-1","itemData":{"URL":"www.weedscience.org","accessed":{"date-parts":[["2022","9","22"]]},"author":[{"dropping-particle":"","family":"Heap","given":"Ian","non-dropping-particle":"","parse-names":false,"suffix":""}],"id":"ITEM-1","issued":{"date-parts":[["0"]]},"title":"The International Herbicide-Resistant Weed Database","type":"webpage"},"uris":["http://www.mendeley.com/documents/?uuid=16f5a568-6834-4ffb-be3f-ff4c3b87b2c1"]},{"id":"ITEM-2","itemData":{"DOI":"10.1038/s41559-018-0470-1","ISSN":"2397334X","abstract":"Repeated use of xenobiotic chemicals has selected for the rapid evolution of resistance, threatening health and food security at a global scale. Strategies for preventing the evolution of resistance include cycling and mixtures of chemicals and diversification of management. We currently lack large-scale studies that evaluate the efficacy of these different strategies for minimizing the evolution of resistance. Here we use a national-scale data set of occurrence of the weed Alopecurus myosuroides (black-grass) in the United Kingdom to address this. Weed densities are correlated with assays of evolved resistance, supporting the hypothesis that resistance is driving weed abundance at a national scale. Resistance was correlated with the frequency of historical herbicide applications, suggesting that evolution of resistance is primarily driven by intensity of exposure to herbicides, but was unrelated directly to other cultural techniques. We find that populations resistant to one herbicide are likely to show resistance to multiple herbicide classes. Finally, we show that the economic costs of evolved resistance are considerable: loss of control through resistance can double the economic costs of weeds. This research highlights the importance of managing threats to food production and healthcare systems using an evolutionarily informed approach in a proactive not reactive manner.","author":[{"dropping-particle":"","family":"Hicks","given":"Helen L.","non-dropping-particle":"","parse-names":false,"suffix":""},{"dropping-particle":"","family":"Comont","given":"David","non-dropping-particle":"","parse-names":false,"suffix":""},{"dropping-particle":"","family":"Coutts","given":"Shaun R.","non-dropping-particle":"","parse-names":false,"suffix":""},{"dropping-particle":"","family":"Crook","given":"Laura","non-dropping-particle":"","parse-names":false,"suffix":""},{"dropping-particle":"","family":"Hull","given":"Richard","non-dropping-particle":"","parse-names":false,"suffix":""},{"dropping-particle":"","family":"Norris","given":"Ken","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P.","non-dropping-particle":"","parse-names":false,"suffix":""}],"container-title":"Nature Ecology and Evolution","id":"ITEM-2","issue":"3","issued":{"date-parts":[["2018","3","12"]]},"page":"529-536","title":"The factors driving evolved herbicide resistance at a national scale","type":"article-journal","volume":"2"},"uris":["http://www.mendeley.com/documents/?uuid=ec6862a4-17cf-3a47-8797-5e4be4e48e14"]},{"id":"ITEM-3","itemData":{"DOI":"10.1038/s41893-019-0450-8","ISSN":"23989629","abstract":"Pesticides have underpinned significant improvements in global food security, albeit with associated environmental costs. Currently, the yield benefits of pesticides are threatened as overuse has led to wide-scale evolution of resistance. Despite this threat, there are no large-scale estimates of crop yield losses or economic costs due to resistance. Here, we combine national-scale density and resistance data for the weed Alopecurus myosuroides (black-grass) with crop yield maps and an economic model to estimate resistance impacts. We estimate that the annual cost of resistance in England is £0.4 billion in lost gross profit (2014 prices) and annual wheat yield loss due to resistance is 0.8 million tonnes. A total loss of herbicide control against black-grass would cost £1 billion and 3.4 million tonnes of lost wheat yield annually. Worldwide, there are 253 herbicide-resistant weeds, so the global impact of resistance could be enormous. Our research supports urgent national-scale planning to combat resistance and an incentive for increasing yields through food-production systems rather than herbicides.","author":[{"dropping-particle":"","family":"Varah","given":"Alexa","non-dropping-particle":"","parse-names":false,"suffix":""},{"dropping-particle":"","family":"Ahodo","given":"Kwadjo","non-dropping-particle":"","parse-names":false,"suffix":""},{"dropping-particle":"","family":"Coutts","given":"Shaun R.","non-dropping-particle":"","parse-names":false,"suffix":""},{"dropping-particle":"","family":"Hicks","given":"Helen L.","non-dropping-particle":"","parse-names":false,"suffix":""},{"dropping-particle":"","family":"Comont","given":"David","non-dropping-particle":"","parse-names":false,"suffix":""},{"dropping-particle":"","family":"Crook","given":"Laura","non-dropping-particle":"","parse-names":false,"suffix":""},{"dropping-particle":"","family":"Hull","given":"Richard","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P.","non-dropping-particle":"","parse-names":false,"suffix":""},{"dropping-particle":"","family":"Norris","given":"Ken","non-dropping-particle":"","parse-names":false,"suffix":""}],"container-title":"Nature Sustainability","id":"ITEM-3","issue":"1","issued":{"date-parts":[["2020","1","30"]]},"page":"63-71","title":"The costs of human-induced evolution in an agricultural system","type":"article-journal","volume":"3"},"uris":["http://www.mendeley.com/documents/?uuid=2b634483-aa58-3bc5-a50b-343a2bb822c4"]}],"mendeley":{"formattedCitation":"&lt;sup&gt;1,14,17&lt;/sup&gt;","plainTextFormattedCitation":"1,14,17","previouslyFormattedCitation":"&lt;sup&gt;1,14,17&lt;/sup&gt;"},"properties":{"noteIndex":0},"schema":"https://github.com/citation-style-language/schema/raw/master/csl-citation.json"}</w:instrText>
      </w:r>
      <w:r w:rsidR="002C7839">
        <w:fldChar w:fldCharType="separate"/>
      </w:r>
      <w:r w:rsidR="00085D8D" w:rsidRPr="00085D8D">
        <w:rPr>
          <w:noProof/>
          <w:vertAlign w:val="superscript"/>
        </w:rPr>
        <w:t>1,14,17</w:t>
      </w:r>
      <w:r w:rsidR="002C7839">
        <w:fldChar w:fldCharType="end"/>
      </w:r>
      <w:r>
        <w:t xml:space="preserve">. Selective herbicidal control of this species is now predominantly based on mixtures of multiple soil-active residual herbicides applied pre-emergence, though resistance to several of these actives is either present or </w:t>
      </w:r>
      <w:r w:rsidR="006E21A8">
        <w:t>likely</w:t>
      </w:r>
      <w:r>
        <w:t xml:space="preserve"> evolving </w:t>
      </w:r>
      <w:r w:rsidR="003B1732">
        <w:fldChar w:fldCharType="begin" w:fldLock="1"/>
      </w:r>
      <w:r w:rsidR="00DF0B67">
        <w:instrText>ADDIN CSL_CITATION {"citationItems":[{"id":"ITEM-1","itemData":{"DOI":"10.1016/j.cropro.2011.11.017","ISSN":"02612194","abstract":"The post-emergence control of black-grass in winter cereal crops is becoming increasingly complicated due to the evolution of resistance to acetyl-coA carboxylase (ACCase) and acetolactate synthase (ALS) inhibiting herbicides. Ensuring good pre-emergence control is therefore important to protect yield and relieve the pressure on the few existing post-emergence chemical options. In this study we investigated the mechanisms of resistance in a black-grass population (Alopecurus myosuroides Huds.) from France (FR50) and assessed the usefulness of residual herbicides such as prosulfocarb, pendimethalin and flufenacet for controlling this population. The entire population contained an insensitive ALS target due to a homozygote substitution at amino acid position 574 (Arabidopsis thaliana (L.) Heynh. equivalent) conferring very high levels of resistance to selective sulfonylureas. Additionally, sixty percent of the population carried at least one ACCase substitution (codon positions 1781 or 2096). Overall higher levels of resistance were observed with clodinafop-propargyl (RF 50=6.48 (4.67-9.01)), than pinoxaden (RF 50=4.42 (3.12-6.26)) mainly explained by the differential response to the G2096A substitution. To our knowledge, this is the first report of a black-grass population carrying resistance mutations on the ACCase and ALS genes. Nearly all the pre-emergence treatments tested provided levels of control at above 80%. The most efficient and fast acting treatment was the tank mix prosulfocarb 2400g a.iha -1+diflufenican 80g a.iha -1+flufenacet 160g a.iha -1applied at BBCH10 that resulted in complete necrosis and absence of meristematic re-growth. Herbicide sequences, i.e. a pre-application followed by a post-application 21 days after, provided extremely good results. For instance, prosulfocarb 4000g a.iha -1+diflufenican 50g a.iha -1 followed by pinoxaden 60g a.iha -1+pendimethalin 800g a.iha -1 resulted in full control ofFR50. Despite the strong resistance profile of FR50, these results showed that most herbicide combinations ensured a useful level of control at an early stage. In order to delay the onset and limit the spread of multiple herbicide resistant populations such as FR50, mixtures and sequences involving residual herbicides have an important role to play. © 2011 Elsevier Ltd.","author":[{"dropping-particle":"","family":"Bailly","given":"G. C.","non-dropping-particle":"","parse-names":false,"suffix":""},{"dropping-particle":"","family":"Dale","given":"R. P.","non-dropping-particle":"","parse-names":false,"suffix":""},{"dropping-particle":"","family":"Archer","given":"S. A.","non-dropping-particle":"","parse-names":false,"suffix":""},{"dropping-particle":"","family":"Wright","given":"D. J.","non-dropping-particle":"","parse-names":false,"suffix":""},{"dropping-particle":"","family":"Kaundun","given":"S. S.","non-dropping-particle":"","parse-names":false,"suffix":""}],"container-title":"Crop Protection","id":"ITEM-1","issued":{"date-parts":[["2012","4","1"]]},"page":"96-103","publisher":"Elsevier","title":"Role of residual herbicides for the management of multiple herbicide resistance to ACCase and ALS inhibitors in a black-grass population","type":"article-journal","volume":"34"},"uris":["http://www.mendeley.com/documents/?uuid=0dd569fe-1900-393c-99c8-c0eeae6cc7c4"]},{"id":"ITEM-2","itemData":{"DOI":"10.1564/v28_oct_04","ISSN":"17431034","abstract":"Black-grass (Alopecurus myosuroides) occurs in over 60 countries worldwide but its occurrence as a major annual grass-weed of arable crops is very largely confined to Western Europe. However, here it is one of the most problematic weeds of autumn sown crops, largely as a consequence of widespread, evolved resistance to herbicides. Heap listed 14 countries with herbicide resistant populations, including Belgium, Denmark, France, Germany, Netherlands and the UK, the first country where resistance was detected, in 1982. Black-grass is becoming an increasing problem in eastern and northern Europe too, with resistance confirmed in the Czech Republic in 2008, Poland in 2010 and Sweden in 2011. Although often considered a relatively ‘new’ weed, it was recognised as a ‘very troublesome weed among wheat’ over 175 years ago. However, black-grass has certainly become more widespread and more problematic to control during the last 50 years. Why is this? Changes in arable cropping and tillage systems have encouraged black-grass and also, as a consequence, intensive use of herbicides for its control. This over-reliance on herbicides, combined with limited use of non-chemical control methods, has resulted in widespread resistance, especially to post-emergence acetyl-CoA carboxylase (ACCase) and acetolactate synthase (ALS) inhibiting herbicides. Since the 1970s, farmers had grown accustomed to the regular introduction of effective new black-grass herbicides. However, no major new herbicide with a novel mode of action has been commercialised for over 30 years and most, but certainly not all, farmers now accept that there is no simple ‘chemical solution’ for controlling resistant black-grass. With declining performance of post-emergence herbicides, farmers have had no option other than to use more pre-emergence herbicides, which tend to be less resistance prone, combined with much greater reliance on non-chemical control methods. However, while the adoption of integrated weed management (IWM) strategies is laudable, it has largely been out of necessity, rather than as a measured way of reducing pesticide use, which is European Union policy. The author has been involved in research on black-grass for over 40 years, and this article highlights his beliefs that effective management solutions can only be achieved through a good understanding of the agro-ecology of the weed. In addition, farmers need to adopt a longer-term view and accept that 'quick' fixes are unlikely to be…","author":[{"dropping-particle":"","family":"Moss","given":"Stephen","non-dropping-particle":"","parse-names":false,"suffix":""}],"container-title":"Outlooks on Pest Management","id":"ITEM-2","issue":"5","issued":{"date-parts":[["2017","10","1"]]},"page":"207-212","publisher":"Research Information","title":"Black-grass (Alopecurus myosuroides): Why has this weed become such a problem in western europe and what are the solutions?","type":"article-journal","volume":"28"},"uris":["http://www.mendeley.com/documents/?uuid=f873dbc8-115d-3643-a1b2-41ee64522f33"]},{"id":"ITEM-3","itemData":{"DOI":"10.1002/ps.5414","ISSN":"15264998","PMID":"30891919","abstract":"BACKGROUND: Black-grass (Alopecurus myosuroides Huds.) is a frequent grass weed that commonly occurs in winter wheat in temperate Europe. Evolving resistance to post-emergence herbicides, e.g. acetyl CoA carboxylase (ACCase) and acetolactate synthase (ALS) inhibitors requires more complex weed management strategies and ensuring good efficacy of pre-emergence treatments becomes increasingly important. Flufenacet, in particular, has become a key herbicide for the control of multiple-resistant A. myosuroides. However, in some of those populations, reduced flufenacet efficacy was already observed. RESULTS: In a screening of black-grass populations from several European countries, most populations were controlled with the registered field rate of flufenacet. However, differences in the level of flufenacet sensitivity were observed and correlated with glutathione S-transferase-mediated enhanced flufenacet metabolism. The efficacy of the pre-emergence herbicides pendimethalin, prosulfocarb, S-metolachlor and pethoxamid, was also significantly decreased in populations with reduced flufenacet sensitivity. The use of flufenacet in mixtures with diflufenican, particularly in combination with flurtamone or metribuzin, however, significantly improved efficacy in less susceptible black-grass populations. CONCLUSIONS: In several populations of different European origins, reduced efficacy of flufenacet was observed due to enhanced metabolism. Although differences between populations were relatively small, best weed management practices (e.g. application of full dose rates and herbicide mixtures and wide crop rotations) should be applied to reduce selection pressure and prevent flufenacet resistance from further evolving. This is particularly important as flufenacet is one of the few still-effective herbicides suitable for the control of multiple-resistant A. myosuroides genotypes in Europe, whereas alternative pre-emergence herbicides were less effective against multiple-resistant A. myosuroides populations. © 2019 Society of Chemical Industry.","author":[{"dropping-particle":"","family":"Dücker","given":"Rebecka","non-dropping-particle":"","parse-names":false,"suffix":""},{"dropping-particle":"","family":"Zöllner","given":"Peter","non-dropping-particle":"","parse-names":false,"suffix":""},{"dropping-particle":"","family":"Parcharidou","given":"Evlampia","non-dropping-particle":"","parse-names":false,"suffix":""},{"dropping-particle":"","family":"Ries","given":"Susanne","non-dropping-particle":"","parse-names":false,"suffix":""},{"dropping-particle":"","family":"Lorentz","given":"Lothar","non-dropping-particle":"","parse-names":false,"suffix":""},{"dropping-particle":"","family":"Beffa","given":"Roland","non-dropping-particle":"","parse-names":false,"suffix":""}],"container-title":"Pest Management Science","id":"ITEM-3","issue":"11","issued":{"date-parts":[["2019","11","1"]]},"page":"2996-3004","publisher":"John Wiley &amp; Sons, Ltd","title":"Enhanced metabolism causes reduced flufenacet sensitivity in black-grass (Alopecurus myosuroides Huds.) field populations","type":"article-journal","volume":"75"},"uris":["http://www.mendeley.com/documents/?uuid=3dae9ae7-fa31-315e-b90c-d0965d7dc0db"]}],"mendeley":{"formattedCitation":"&lt;sup&gt;19,21,25&lt;/sup&gt;","plainTextFormattedCitation":"19,21,25","previouslyFormattedCitation":"&lt;sup&gt;19,21,25&lt;/sup&gt;"},"properties":{"noteIndex":0},"schema":"https://github.com/citation-style-language/schema/raw/master/csl-citation.json"}</w:instrText>
      </w:r>
      <w:r w:rsidR="003B1732">
        <w:fldChar w:fldCharType="separate"/>
      </w:r>
      <w:r w:rsidR="00085D8D" w:rsidRPr="00085D8D">
        <w:rPr>
          <w:noProof/>
          <w:vertAlign w:val="superscript"/>
        </w:rPr>
        <w:t>19,21,25</w:t>
      </w:r>
      <w:r w:rsidR="003B1732">
        <w:fldChar w:fldCharType="end"/>
      </w:r>
      <w:r>
        <w:t xml:space="preserve">. </w:t>
      </w:r>
      <w:r w:rsidR="006E21A8">
        <w:t xml:space="preserve">The </w:t>
      </w:r>
      <w:r w:rsidR="006E21A8" w:rsidRPr="00024891">
        <w:t>benzylether</w:t>
      </w:r>
      <w:r w:rsidR="006E21A8">
        <w:t xml:space="preserve"> </w:t>
      </w:r>
      <w:r w:rsidR="00907764">
        <w:t>c</w:t>
      </w:r>
      <w:r w:rsidR="006E21A8">
        <w:t xml:space="preserve">inmethylin, approved for UK grassweed control in 2022, </w:t>
      </w:r>
      <w:r w:rsidR="00272BDC">
        <w:t xml:space="preserve">provides a further </w:t>
      </w:r>
      <w:r w:rsidR="00993D7A">
        <w:t xml:space="preserve">herbicidal </w:t>
      </w:r>
      <w:r w:rsidR="00272BDC">
        <w:t xml:space="preserve">MOA, potentially aiding in effective blackgrass control and easing selection against existing actives. </w:t>
      </w:r>
      <w:r w:rsidR="0044498E">
        <w:t xml:space="preserve">Nevertheless, </w:t>
      </w:r>
      <w:r w:rsidR="00BC7EE0">
        <w:t xml:space="preserve">the utility of this herbicide for </w:t>
      </w:r>
      <w:r w:rsidR="00907764">
        <w:t>b</w:t>
      </w:r>
      <w:r w:rsidR="00BC7EE0">
        <w:t>lackgrass control will be determined by its efficacy across all populations, including those with pre-existing metabolic resistance, and by how rapidly resistance to this MOA might evolve.</w:t>
      </w:r>
    </w:p>
    <w:p w14:paraId="29E070A6" w14:textId="0E75442F" w:rsidR="00BC7EE0" w:rsidRDefault="00EF5BE3" w:rsidP="00B56E00">
      <w:pPr>
        <w:spacing w:line="360" w:lineRule="auto"/>
      </w:pPr>
      <w:r>
        <w:t xml:space="preserve">Results from the </w:t>
      </w:r>
      <w:r w:rsidR="005408A4">
        <w:t xml:space="preserve">97 </w:t>
      </w:r>
      <w:r w:rsidR="00BE1640">
        <w:t>blackgrass</w:t>
      </w:r>
      <w:r w:rsidR="005408A4">
        <w:t xml:space="preserve"> populations studied here</w:t>
      </w:r>
      <w:r>
        <w:t xml:space="preserve"> </w:t>
      </w:r>
      <w:r w:rsidR="005408A4">
        <w:t xml:space="preserve">demonstrates </w:t>
      </w:r>
      <w:r>
        <w:t xml:space="preserve">that cinmethylin </w:t>
      </w:r>
      <w:r w:rsidR="005408A4">
        <w:t xml:space="preserve">generally </w:t>
      </w:r>
      <w:r>
        <w:t>provides</w:t>
      </w:r>
      <w:r w:rsidR="00B30093">
        <w:t xml:space="preserve"> </w:t>
      </w:r>
      <w:r>
        <w:t xml:space="preserve">effective control of UK </w:t>
      </w:r>
      <w:r w:rsidR="00BE1640">
        <w:t xml:space="preserve">blackgrass </w:t>
      </w:r>
      <w:r>
        <w:t>at the field-rate dose of 500 g ha</w:t>
      </w:r>
      <w:r w:rsidRPr="00EF5BE3">
        <w:rPr>
          <w:vertAlign w:val="superscript"/>
        </w:rPr>
        <w:t>-1</w:t>
      </w:r>
      <w:r w:rsidR="00780F6A">
        <w:t>, observed both under glasshouse and ambient outdoor conditions.</w:t>
      </w:r>
      <w:r>
        <w:t xml:space="preserve"> </w:t>
      </w:r>
      <w:r w:rsidR="007C461E">
        <w:t xml:space="preserve">This concurs with previously published field-trial data </w:t>
      </w:r>
      <w:r w:rsidR="0021333B">
        <w:t>for</w:t>
      </w:r>
      <w:r w:rsidR="007C461E">
        <w:t xml:space="preserve"> cinmethylin efficacy against </w:t>
      </w:r>
      <w:r w:rsidR="00BE1640">
        <w:t>blackgrass</w:t>
      </w:r>
      <w:r w:rsidR="007C461E">
        <w:t xml:space="preserve"> </w:t>
      </w:r>
      <w:r w:rsidR="001B6F0F">
        <w:fldChar w:fldCharType="begin" w:fldLock="1"/>
      </w:r>
      <w:r w:rsidR="00DF0B67">
        <w:instrText>ADDIN CSL_CITATION {"citationItems":[{"id":"ITEM-1","itemData":{"DOI":"10.17221/586/2020-PSE","ISSN":"18059368","abstract":"Cinmethylin is a potential new pre-emergence herbicide in Europe inhibiting the fatty acid thioesterases in the plastid against Alopecurus myosuroides and other grass-weeds in winter cereals and oil-seed rape. Five field experiments were conducted in Southwestern Germany from 2018 until 2020 to assess the control efficacy of cin-methylin and other common pre-emergence herbicides alone and combined with post-emergence herbicides against A. myosuroides and yield response of winter wheat and winter triticale. In four experiments, the effect of early and late sowing of winter cereals was included as the second factor in the experiment to investigate if late sowing can reduce A. myosuroides density weed control efficacy. All fields were heavily infested with A. myosuroides with average densities of 110–730 plants/m2. Late sowing reduced densities in three out of four experiments. Herbicides con-trolled 42–100% of the A. myosuroides plants. However, none of the treatments was consistently better than the other treatments over all experiments. In three out of 5 experiments, grain yields were significantly increased by the herbicide treatments. The results demonstrate that cinmethylin increases the options for controlling A. myosuroides in winter cereals. However, it needs to be combined with other control tactics.","author":[{"dropping-particle":"","family":"Messelhäuser","given":"Miriam H.","non-dropping-particle":"","parse-names":false,"suffix":""},{"dropping-particle":"","family":"Saile","given":"Marcus","non-dropping-particle":"","parse-names":false,"suffix":""},{"dropping-particle":"","family":"Sievernich","given":"Bernd","non-dropping-particle":"","parse-names":false,"suffix":""},{"dropping-particle":"","family":"Gerhards","given":"Roland","non-dropping-particle":"","parse-names":false,"suffix":""}],"container-title":"Plant, Soil and Environment","id":"ITEM-1","issue":"1","issued":{"date-parts":[["2021","1","11"]]},"page":"46-54","publisher":"Czech Academy of Agricultural Sciences","title":"Effect of cinmethylin against Alopecurus myosuroides huds. In winter cereals","type":"article-journal","volume":"67"},"uris":["http://www.mendeley.com/documents/?uuid=431e0d3d-7cd4-315f-a46b-282652bd7e01"]}],"mendeley":{"formattedCitation":"&lt;sup&gt;24&lt;/sup&gt;","plainTextFormattedCitation":"24","previouslyFormattedCitation":"&lt;sup&gt;24&lt;/sup&gt;"},"properties":{"noteIndex":0},"schema":"https://github.com/citation-style-language/schema/raw/master/csl-citation.json"}</w:instrText>
      </w:r>
      <w:r w:rsidR="001B6F0F">
        <w:fldChar w:fldCharType="separate"/>
      </w:r>
      <w:r w:rsidR="00085D8D" w:rsidRPr="00085D8D">
        <w:rPr>
          <w:noProof/>
          <w:vertAlign w:val="superscript"/>
        </w:rPr>
        <w:t>24</w:t>
      </w:r>
      <w:r w:rsidR="001B6F0F">
        <w:fldChar w:fldCharType="end"/>
      </w:r>
      <w:r w:rsidR="007C461E">
        <w:t xml:space="preserve">, as well as the finding by Busi et al </w:t>
      </w:r>
      <w:r w:rsidR="001B6F0F">
        <w:fldChar w:fldCharType="begin" w:fldLock="1"/>
      </w:r>
      <w:r w:rsidR="00DF0B67">
        <w:instrText>ADDIN CSL_CITATION {"citationItems":[{"id":"ITEM-1","itemData":{"DOI":"10.1002/ps.5798","ISSN":"15264998","PMID":"32077583","abstract":"BACKGROUND: Multiple-herbicide resistance in Lolium rigidum and other weed species is increasingly exerting pressure on herbicide discovery research for solutions against resistance-prone weeds. In this study we investigate: (i) the responses of L. rigidum populations and wheat to the new herbicide cinmethylin in comparison with other pre-emergence herbicides, (ii) the effect of seed burial depths on cinmethylin efficacy and crop selectivity, and (iii) the basis of cinmethylin selectivity in wheat. RESULTS: Cinmethylin at 400 g ha−1 controls herbicide-susceptible and multiple-resistant L. rigidum, with a reduction of &gt;85% in plant emergence and 90% in aboveground biomass. Cinmethylin provides effective control of a large number of field populations of L. rigidum with evident resistance to trifluralin. When the wheat seed is buried ≥1 cm below the cinmethylin-treated soil surface, the emergence of crop seedlings is not different from the untreated control. The organophosphate insecticide phorate synergizes cinmethylin toxicity in wheat, with an LD50 of 682 g ha−1 in the absence of phorate versus 109 g ha−1 in the presence of phorate (84% reduction). The synergistic effect of phorate with cinmethylin on herbicide-susceptible L. rigidum appears smaller (a 44% reduction in the LD50 of cinmethylin). CONCLUSIONS: Cinmethylin is effective in controlling multiple-resistant L. rigidum and appears safe for wheat when the seed is separated at depth from the herbicide applied to the soil surface. The basis of this metabolism-based selectivity is likely regulated by cytochrome P450 monooxygenases. © 2020 Society of Chemical Industry.","author":[{"dropping-particle":"","family":"Busi","given":"Roberto","non-dropping-particle":"","parse-names":false,"suffix":""},{"dropping-particle":"","family":"Dayan","given":"Franck E.","non-dropping-particle":"","parse-names":false,"suffix":""},{"dropping-particle":"","family":"Francis","given":"Ian","non-dropping-particle":"","parse-names":false,"suffix":""},{"dropping-particle":"","family":"Goggin","given":"Danica","non-dropping-particle":"","parse-names":false,"suffix":""},{"dropping-particle":"","family":"Lerchl","given":"Jens","non-dropping-particle":"","parse-names":false,"suffix":""},{"dropping-particle":"","family":"Porri","given":"Aimone","non-dropping-particle":"","parse-names":false,"suffix":""},{"dropping-particle":"","family":"Powles","given":"Stephen B.","non-dropping-particle":"","parse-names":false,"suffix":""},{"dropping-particle":"","family":"Sun","given":"Ci","non-dropping-particle":"","parse-names":false,"suffix":""},{"dropping-particle":"","family":"Beckie","given":"Hugh J.","non-dropping-particle":"","parse-names":false,"suffix":""}],"container-title":"Pest Management Science","id":"ITEM-1","issue":"8","issued":{"date-parts":[["2020","8","1"]]},"page":"2601-2608","publisher":"John Wiley and Sons Ltd","title":"Cinmethylin controls multiple herbicide-resistant Lolium rigidum and its wheat selectivity is P450-based","type":"article-journal","volume":"76"},"suppress-author":1,"uris":["http://www.mendeley.com/documents/?uuid=13c547a3-d09a-3d95-a5c2-4a43704c899c"]}],"mendeley":{"formattedCitation":"&lt;sup&gt;26&lt;/sup&gt;","plainTextFormattedCitation":"26","previouslyFormattedCitation":"&lt;sup&gt;26&lt;/sup&gt;"},"properties":{"noteIndex":0},"schema":"https://github.com/citation-style-language/schema/raw/master/csl-citation.json"}</w:instrText>
      </w:r>
      <w:r w:rsidR="001B6F0F">
        <w:fldChar w:fldCharType="separate"/>
      </w:r>
      <w:r w:rsidR="00085D8D" w:rsidRPr="00085D8D">
        <w:rPr>
          <w:noProof/>
          <w:vertAlign w:val="superscript"/>
        </w:rPr>
        <w:t>26</w:t>
      </w:r>
      <w:r w:rsidR="001B6F0F">
        <w:fldChar w:fldCharType="end"/>
      </w:r>
      <w:r w:rsidR="007C461E">
        <w:t xml:space="preserve"> that cinmethylin effectively controls </w:t>
      </w:r>
      <w:r w:rsidR="0021333B">
        <w:t xml:space="preserve">both sensitive and herbicide resistant </w:t>
      </w:r>
      <w:r w:rsidR="007C461E">
        <w:t xml:space="preserve">Australian populations of the weed </w:t>
      </w:r>
      <w:r w:rsidR="007C461E" w:rsidRPr="00C51790">
        <w:rPr>
          <w:i/>
          <w:iCs/>
        </w:rPr>
        <w:t>Lolium rigidum</w:t>
      </w:r>
      <w:r w:rsidR="007C461E" w:rsidRPr="007C461E">
        <w:t>.</w:t>
      </w:r>
      <w:r w:rsidR="007C461E">
        <w:t xml:space="preserve"> </w:t>
      </w:r>
      <w:r w:rsidR="007354F8">
        <w:t xml:space="preserve">Nevertheless, both of these prior studies identified significant variability in cinmethylin </w:t>
      </w:r>
      <w:r w:rsidR="007354F8">
        <w:lastRenderedPageBreak/>
        <w:t xml:space="preserve">response amongst different field populations or accessions. </w:t>
      </w:r>
      <w:r w:rsidR="00B45B2D">
        <w:t xml:space="preserve">In the current study, pronounced variation amongst </w:t>
      </w:r>
      <w:r w:rsidR="00BE1640">
        <w:t>blackgrass</w:t>
      </w:r>
      <w:r w:rsidR="00B45B2D">
        <w:t xml:space="preserve"> populations was also observed at doses below the UK field rate. In particular, populations with well-characterised enhanced metabolism resistance to other herbicides (Peldon, Lola91) had concomitantly lower sensitivity to cinmethylin than </w:t>
      </w:r>
      <w:r w:rsidR="004A7D9A">
        <w:t>other field collected populations</w:t>
      </w:r>
      <w:r w:rsidR="00B45B2D">
        <w:t xml:space="preserve">. </w:t>
      </w:r>
      <w:r w:rsidR="00D559EC">
        <w:t xml:space="preserve">The potential for non-target-site resistance mechanisms (NTSR) to provide broad and unpredictable cross-resistance to multiple MOAs has long been recognised </w:t>
      </w:r>
      <w:r w:rsidR="001B6F0F">
        <w:fldChar w:fldCharType="begin" w:fldLock="1"/>
      </w:r>
      <w:r w:rsidR="00DF0B67">
        <w:instrText>ADDIN CSL_CITATION {"citationItems":[{"id":"ITEM-1","itemData":{"DOI":"10.1104/pp.114.242750","abstract":"Weedy plant species that have evolved resistance to herbicides due to enhanced metabolic capacity to detoxify herbicides (metabolic resistance) are a major issue. Metabolic herbicide resistance in weedy plant species first became evident in the 1980s in Australia (in Lolium rigidum) and the United Kingdom (in Alopecurus myosuroides) and is now increasingly recognized in several crop-weed species as a looming threat to herbicide sustainability and thus world crop production. Metabolic resistance often confers resistance to herbicides of different chemical groups and sites of action and can extend to new herbicide(s). Cytochrome P450 monooxygenase, glycosyl transferase, and glutathione S-transferase are often implicated in herbicide metabolic resistance. However, precise biochemical and molecular genetic elucidation of metabolic resistance had been stalled until recently. Complex cytochrome P450 superfamilies, high genetic diversity in metabolic resistant weedy plant species (especially cross-pollinated species), and the complexity of genetic control of metabolic resistance have all been barriers to advances in understanding metabolic herbicide resistance. However, next-generation sequencing technologies and transcriptome-wide gene expression profiling are now revealing the genes endowing metabolic herbicide resistance in plants. This Update presents an historical review to current understanding of metabolic herbicide resistance evolution in weedy plant species.","author":[{"dropping-particle":"","family":"Yu","given":"Qin","non-dropping-particle":"","parse-names":false,"suffix":""},{"dropping-particle":"","family":"Powles","given":"Stephen","non-dropping-particle":"","parse-names":false,"suffix":""}],"container-title":"Plant Physiology","id":"ITEM-1","issued":{"date-parts":[["2014"]]},"page":"1106-1118","title":"Metabolism-based herbicide resistance and cross-resistance in crop weeds: A threat to herbicide sustainability and global crop production 1","type":"article-journal","volume":"166"},"uris":["http://www.mendeley.com/documents/?uuid=a293a63c-be42-3c68-a4ca-8c559f9b81ec"]}],"mendeley":{"formattedCitation":"&lt;sup&gt;11&lt;/sup&gt;","plainTextFormattedCitation":"11","previouslyFormattedCitation":"&lt;sup&gt;11&lt;/sup&gt;"},"properties":{"noteIndex":0},"schema":"https://github.com/citation-style-language/schema/raw/master/csl-citation.json"}</w:instrText>
      </w:r>
      <w:r w:rsidR="001B6F0F">
        <w:fldChar w:fldCharType="separate"/>
      </w:r>
      <w:r w:rsidR="00085D8D" w:rsidRPr="00085D8D">
        <w:rPr>
          <w:noProof/>
          <w:vertAlign w:val="superscript"/>
        </w:rPr>
        <w:t>11</w:t>
      </w:r>
      <w:r w:rsidR="001B6F0F">
        <w:fldChar w:fldCharType="end"/>
      </w:r>
      <w:r w:rsidR="00D559EC">
        <w:t xml:space="preserve">, </w:t>
      </w:r>
      <w:r w:rsidR="00DE0AE4">
        <w:t xml:space="preserve">with this phenomena prioritised for resistance research </w:t>
      </w:r>
      <w:r w:rsidR="001B6F0F">
        <w:fldChar w:fldCharType="begin" w:fldLock="1"/>
      </w:r>
      <w:r w:rsidR="00DF0B67">
        <w:instrText>ADDIN CSL_CITATION {"citationItems":[{"id":"ITEM-1","itemData":{"DOI":"10.1111/j.1365-3180.2011.00864.x","ISSN":"00431737","abstract":"Non-target-site-based resistance (NTSR) mechanisms can confer unpredictable resistance to herbicides with different chemistries or modes of action. In two French fields, 18% and 40% individual plants of Alopecurus myosuroides (black-grass), respectively, were resistant via NTSR to all the most effective herbicides approved for A. myosuroides control in wheat (fenoxaprop, clodi- nafop, pinoxaden, iodosulfuron+mesosulfuron and pyroxsulam) and to the broad-leaf-selective herbicide quizalofop. Pinoxaden and pyroxsulam had never been applied to these populations. In the absence of new herbicide modes of action, this renders a purely chemical control of A. myosuroides in winter cereals much more complex in these fields. A segregation analysis showed that multi-resistant phenotypes were endowed by multi- ple NTSR genes, underlining the complexity of NTSR. Yet, despite the threat posed to weed control, our lack of knowledge on NTSR is obvious. NTSR should therefore becomethe priority inherbicide resistance research.","author":[{"dropping-particle":"","family":"Délye","given":"C.","non-dropping-particle":"","parse-names":false,"suffix":""},{"dropping-particle":"","family":"Gardin","given":"J. A C","non-dropping-particle":"","parse-names":false,"suffix":""},{"dropping-particle":"","family":"Boucansaud","given":"K.","non-dropping-particle":"","parse-names":false,"suffix":""},{"dropping-particle":"","family":"Chauvel","given":"B.","non-dropping-particle":"","parse-names":false,"suffix":""},{"dropping-particle":"","family":"Petit","given":"C.","non-dropping-particle":"","parse-names":false,"suffix":""}],"container-title":"Weed Research","id":"ITEM-1","issue":"5","issued":{"date-parts":[["2011","10","1"]]},"page":"433-437","publisher":"Wiley/Blackwell (10.1111)","title":"Non-target-site-based resistance should be the centre of attention for herbicide resistance research: &lt;i&gt;Alopecurus myosuroides&lt;/i&gt; as an illustration","type":"article-journal","volume":"51"},"uris":["http://www.mendeley.com/documents/?uuid=23d734bd-1357-36d3-9ac2-0baecd590ed3"]}],"mendeley":{"formattedCitation":"&lt;sup&gt;10&lt;/sup&gt;","plainTextFormattedCitation":"10","previouslyFormattedCitation":"&lt;sup&gt;10&lt;/sup&gt;"},"properties":{"noteIndex":0},"schema":"https://github.com/citation-style-language/schema/raw/master/csl-citation.json"}</w:instrText>
      </w:r>
      <w:r w:rsidR="001B6F0F">
        <w:fldChar w:fldCharType="separate"/>
      </w:r>
      <w:r w:rsidR="00085D8D" w:rsidRPr="00085D8D">
        <w:rPr>
          <w:noProof/>
          <w:vertAlign w:val="superscript"/>
        </w:rPr>
        <w:t>10</w:t>
      </w:r>
      <w:r w:rsidR="001B6F0F">
        <w:fldChar w:fldCharType="end"/>
      </w:r>
      <w:r w:rsidR="00DE0AE4">
        <w:t>. While the current study did not identify populations meeting the criteria for ‘resistance’ to cinmethylin, our findings clearly raise the possibility that existing NTSR in blackgrass might contribute to the inter-population variation in sensitivity observed at lower doses.</w:t>
      </w:r>
    </w:p>
    <w:p w14:paraId="16E14619" w14:textId="7532EC31" w:rsidR="005D313F" w:rsidRDefault="00CF4F7A" w:rsidP="00B56E00">
      <w:pPr>
        <w:spacing w:line="360" w:lineRule="auto"/>
      </w:pPr>
      <w:r>
        <w:t xml:space="preserve">To investigate the contribution of pre-existing NTSR more directly, contrasting ‘NTSR resistant’ and ‘sensitive’ populations within standardised genetic backgrounds </w:t>
      </w:r>
      <w:r w:rsidR="0057506C">
        <w:t>were compared for cinmethyli</w:t>
      </w:r>
      <w:r w:rsidR="00DB247C">
        <w:t>n</w:t>
      </w:r>
      <w:r w:rsidR="0057506C">
        <w:t xml:space="preserve"> sensitivity. </w:t>
      </w:r>
      <w:r w:rsidR="006C16BA">
        <w:t>L</w:t>
      </w:r>
      <w:r w:rsidR="00B97A91">
        <w:t xml:space="preserve">ines with metabolic resistance to the ALS inhibitor meso+iodosulfuron or the VLCFA active </w:t>
      </w:r>
      <w:r w:rsidR="00B50015">
        <w:t>flufenacet</w:t>
      </w:r>
      <w:r w:rsidR="006C16BA">
        <w:t>,</w:t>
      </w:r>
      <w:r w:rsidR="00B97A91">
        <w:t xml:space="preserve"> showed no significant alteration in response to cinmethylin</w:t>
      </w:r>
      <w:r w:rsidR="006C16BA">
        <w:t xml:space="preserve">, suggesting that pre-selection with these actives </w:t>
      </w:r>
      <w:r w:rsidR="00170A40">
        <w:t xml:space="preserve">had </w:t>
      </w:r>
      <w:r w:rsidR="006C16BA">
        <w:t>not contribute</w:t>
      </w:r>
      <w:r w:rsidR="00170A40">
        <w:t>d</w:t>
      </w:r>
      <w:r w:rsidR="006C16BA">
        <w:t xml:space="preserve"> to a change in cinmethylin sensitivity. </w:t>
      </w:r>
      <w:r w:rsidR="000769A4">
        <w:t>For</w:t>
      </w:r>
      <w:r w:rsidR="00A9087C">
        <w:t xml:space="preserve"> </w:t>
      </w:r>
      <w:r w:rsidR="009177DB">
        <w:t xml:space="preserve">lines with </w:t>
      </w:r>
      <w:r w:rsidR="00907764">
        <w:t xml:space="preserve">selected (or evolved) </w:t>
      </w:r>
      <w:r w:rsidR="009177DB">
        <w:t>NTSR resistance to the</w:t>
      </w:r>
      <w:r w:rsidR="00A9087C">
        <w:t xml:space="preserve"> </w:t>
      </w:r>
      <w:r w:rsidR="00A9087C" w:rsidRPr="00A9087C">
        <w:t>dinitroaniline</w:t>
      </w:r>
      <w:r w:rsidR="009177DB">
        <w:t xml:space="preserve"> active pendimethalin and the</w:t>
      </w:r>
      <w:r w:rsidR="00A9087C">
        <w:t xml:space="preserve"> </w:t>
      </w:r>
      <w:r w:rsidR="000929D8">
        <w:t>ACCase inhibitor</w:t>
      </w:r>
      <w:r w:rsidR="009177DB">
        <w:t xml:space="preserve"> fenoxaprop</w:t>
      </w:r>
      <w:r w:rsidR="000769A4">
        <w:t xml:space="preserve"> however</w:t>
      </w:r>
      <w:r w:rsidR="00A9087C">
        <w:t>, a significant reduction in cinmethylin sensitivity was observed. In each case, changes in the resistance index were relatively small (3.8 and 7.3 respectively) and effective control was observed at the field-rate dose (500 g ha</w:t>
      </w:r>
      <w:r w:rsidR="00A9087C" w:rsidRPr="00A9087C">
        <w:rPr>
          <w:vertAlign w:val="superscript"/>
        </w:rPr>
        <w:t>-1</w:t>
      </w:r>
      <w:r w:rsidR="00A9087C">
        <w:t>), yet the cinmethylin ED</w:t>
      </w:r>
      <w:r w:rsidR="00A9087C" w:rsidRPr="00A9087C">
        <w:rPr>
          <w:vertAlign w:val="subscript"/>
        </w:rPr>
        <w:t>50</w:t>
      </w:r>
      <w:r w:rsidR="00A9087C">
        <w:t xml:space="preserve"> values of the resistant lines were clearly and significantly higher than their </w:t>
      </w:r>
      <w:r w:rsidR="006C16BA">
        <w:t xml:space="preserve">herbicide </w:t>
      </w:r>
      <w:r w:rsidR="00A9087C">
        <w:t>sensitive counterparts</w:t>
      </w:r>
      <w:r w:rsidR="001245E6">
        <w:t xml:space="preserve">, despite never receiving selection with </w:t>
      </w:r>
      <w:r w:rsidR="004A7D9A">
        <w:t>cinmethylin</w:t>
      </w:r>
      <w:r w:rsidR="00A9087C">
        <w:t xml:space="preserve">. </w:t>
      </w:r>
      <w:r w:rsidR="00911D20">
        <w:t>O</w:t>
      </w:r>
      <w:r w:rsidR="006C16BA">
        <w:t xml:space="preserve">nly one experimentally derived resistant line for each MOA was available for study, and independent populations might evolve resistance mechanisms utilising a variety of different genetic loci </w:t>
      </w:r>
      <w:r w:rsidR="006C16BA">
        <w:fldChar w:fldCharType="begin" w:fldLock="1"/>
      </w:r>
      <w:r w:rsidR="00DF0B67">
        <w:instrText>ADDIN CSL_CITATION {"citationItems":[{"id":"ITEM-1","itemData":{"DOI":"10.3389/fpls.2021.636652","ISSN":"1664462X","abstract":"Non-target site resistance (NTSR) to herbicides in black-grass (Alopecurus myosuroides) results in enhanced tolerance to multiple chemistries and is widespread in Northern Europe. To help define the underpinning mechanisms of resistance, global transcriptome and biochemical analysis have been used to phenotype three NTSR black-grass populations. These comprised NTSR1 black-grass from the classic Peldon field population, which shows broad-ranging resistance to post-emergence herbicides; NTSR2 derived from herbicide-sensitive (HS) plants repeatedly selected for tolerance to pendimethalin; and NTSR3 selected from HS plants for resistance to fenoxaprop-P-ethyl. NTSR in weeds is commonly associated with enhanced herbicide metabolism catalyzed by glutathione transferases (GSTs) and cytochromes P450 (CYPs). As such, the NTSR populations were assessed for their ability to detoxify chlorotoluron, which is detoxified by CYPs and fenoxaprop-P-ethyl, which is acted on by GSTs. As compared with HS plants, enhanced metabolism toward both herbicides was determined in the NTSR1 and NTSR2 populations. In contrast, the NTSR3 plants showed no increased detoxification capacity, demonstrating that resistance in this population was not due to enhanced metabolism. All resistant populations showed increased levels of AmGSTF1, a protein functionally linked to NTSR and enhanced herbicide metabolism. Enhanced AmGSTF1 was associated with increased levels of the associated transcripts in the NTSR1 and NTSR2 plants, but not in NTSR3, suggestive of both pre- and post-transcriptional regulation. The related HS, NTSR2, and NTSR3 plants were subject to global transcriptome sequencing and weighted gene co-expression network analysis to identify modules of genes with coupled regulatory functions. In the NTSR2 plants, modules linked to detoxification were identified, with many similarities to the transcriptome of NTSR1 black-grass. Critical detoxification genes included members of the CYP81A family and tau and phi class GSTs. The NTSR2 transcriptome also showed network similarities to other (a)biotic stresses of plants and multidrug resistance in humans. In contrast, completely different gene networks were activated in the NTSR3 plants, showing similarity to the responses to cold, osmotic shock and fungal infection determined in cereals. Our results demonstrate that NTSR in black-grass can arise from at least two distinct mechanisms, each involving complex changes in gene regulatory networks.","author":[{"dropping-particle":"","family":"Franco-Ortega","given":"Sara","non-dropping-particle":"","parse-names":false,"suffix":""},{"dropping-particle":"","family":"Goldberg-Cavalleri","given":"Alina","non-dropping-particle":"","parse-names":false,"suffix":""},{"dropping-particle":"","family":"Walker","given":"Andrew","non-dropping-particle":"","parse-names":false,"suffix":""},{"dropping-particle":"","family":"Brazier-Hicks","given":"Melissa","non-dropping-particle":"","parse-names":false,"suffix":""},{"dropping-particle":"","family":"Onkokesung","given":"Nawaporn","non-dropping-particle":"","parse-names":false,"suffix":""},{"dropping-particle":"","family":"Edwards","given":"Robert","non-dropping-particle":"","parse-names":false,"suffix":""}],"container-title":"Frontiers in Plant Science","id":"ITEM-1","issued":{"date-parts":[["2021","3","3"]]},"page":"194","publisher":"Frontiers Media S.A.","title":"Non-target Site Herbicide Resistance Is Conferred by Two Distinct Mechanisms in Black-Grass (Alopecurus myosuroides)","type":"article-journal","volume":"12"},"uris":["http://www.mendeley.com/documents/?uuid=2e3eb19d-745a-3750-a374-b3ef9c56d7a3"]},{"id":"ITEM-2","itemData":{"DOI":"10.1371/JOURNAL.PGEN.1008593","ISBN":"1111111111","ISSN":"1553-7404","PMID":"32012153","abstract":"The repeated evolution of herbicide resistance has been cited as an example of genetic parallelism, wherein separate species or genetic lineages utilize the same genetic solution in response to selection. However, most studies that investigate the genetic basis of herbicide resistance examine the potential for changes in the protein targeted by the herbicide rather than considering genome-wide changes. We used a population genomics screen and targeted exome re-sequencing to uncover the potential genetic basis of glyphosate resistance in the common morning glory, Ipomoea purpurea, and to determine if genetic parallelism underlies the repeated evolution of resistance across replicate resistant populations. We found no evidence for changes in 5‐enolpyruvylshikimate‐3‐phosphate synthase (EPSPS), glyphosate’s target protein, that were associated with resistance, and instead identified five genomic regions that showed evidence of selection. Within these regions, genes involved in herbicide detoxification—cytochrome P450s, ABC transporters, and glycosyltransferases—are enriched and exhibit signs of selective sweeps. One region under selection shows parallel changes across all assayed resistant populations whereas other regions exhibit signs of divergence. Thus, while it appears that the physiological mechanism of resistance in this species is likely the same among resistant populations, we find patterns of both similar and divergent selection across separate resistant populations at particular loci.","author":[{"dropping-particle":"","family":"Etten","given":"Megan","non-dropping-particle":"Van","parse-names":false,"suffix":""},{"dropping-particle":"","family":"Lee","given":"Kristin M.","non-dropping-particle":"","parse-names":false,"suffix":""},{"dropping-particle":"","family":"Chang","given":"Shu Mei","non-dropping-particle":"","parse-names":false,"suffix":""},{"dropping-particle":"","family":"Baucom","given":"Regina S.","non-dropping-particle":"","parse-names":false,"suffix":""}],"container-title":"PLOS Genetics","id":"ITEM-2","issue":"2","issued":{"date-parts":[["2020","2","1"]]},"page":"e1008593","publisher":"Public Library of Science","title":"Parallel and nonparallel genomic responses contribute to herbicide resistance in &lt;i&gt;Ipomoea purpurea&lt;/i&gt;, a common agricultural weed","type":"article-journal","volume":"16"},"uris":["http://www.mendeley.com/documents/?uuid=193a71cc-bdbc-301c-9983-0122509354cc"]}],"mendeley":{"formattedCitation":"&lt;sup&gt;18,27&lt;/sup&gt;","plainTextFormattedCitation":"18,27","previouslyFormattedCitation":"&lt;sup&gt;18,27&lt;/sup&gt;"},"properties":{"noteIndex":0},"schema":"https://github.com/citation-style-language/schema/raw/master/csl-citation.json"}</w:instrText>
      </w:r>
      <w:r w:rsidR="006C16BA">
        <w:fldChar w:fldCharType="separate"/>
      </w:r>
      <w:r w:rsidR="00085D8D" w:rsidRPr="00085D8D">
        <w:rPr>
          <w:noProof/>
          <w:vertAlign w:val="superscript"/>
        </w:rPr>
        <w:t>18,27</w:t>
      </w:r>
      <w:r w:rsidR="006C16BA">
        <w:fldChar w:fldCharType="end"/>
      </w:r>
      <w:r w:rsidR="006C16BA">
        <w:t>.</w:t>
      </w:r>
      <w:r w:rsidR="004A7D9A">
        <w:t xml:space="preserve"> </w:t>
      </w:r>
      <w:r w:rsidR="001245E6">
        <w:t>Nevertheless</w:t>
      </w:r>
      <w:r w:rsidR="00323376">
        <w:t>,</w:t>
      </w:r>
      <w:r w:rsidR="004A7D9A">
        <w:t xml:space="preserve"> our results are consistent in that</w:t>
      </w:r>
      <w:r w:rsidR="00323376">
        <w:t xml:space="preserve"> the field populations observed to have lower sensitivity to cinmethylin (Peldon, Lola91, and Lola101) also have well characterised NTSR to fenoxaprop</w:t>
      </w:r>
      <w:r w:rsidR="00184F01">
        <w:t xml:space="preserve"> </w:t>
      </w:r>
      <w:r w:rsidR="004D6112">
        <w:fldChar w:fldCharType="begin" w:fldLock="1"/>
      </w:r>
      <w:r w:rsidR="00DF0B67">
        <w:instrText>ADDIN CSL_CITATION {"citationItems":[{"id":"ITEM-1","itemData":{"DOI":"10.1038/s41559-018-0470-1","ISSN":"2397334X","abstract":"Repeated use of xenobiotic chemicals has selected for the rapid evolution of resistance, threatening health and food security at a global scale. Strategies for preventing the evolution of resistance include cycling and mixtures of chemicals and diversification of management. We currently lack large-scale studies that evaluate the efficacy of these different strategies for minimizing the evolution of resistance. Here we use a national-scale data set of occurrence of the weed Alopecurus myosuroides (black-grass) in the United Kingdom to address this. Weed densities are correlated with assays of evolved resistance, supporting the hypothesis that resistance is driving weed abundance at a national scale. Resistance was correlated with the frequency of historical herbicide applications, suggesting that evolution of resistance is primarily driven by intensity of exposure to herbicides, but was unrelated directly to other cultural techniques. We find that populations resistant to one herbicide are likely to show resistance to multiple herbicide classes. Finally, we show that the economic costs of evolved resistance are considerable: loss of control through resistance can double the economic costs of weeds. This research highlights the importance of managing threats to food production and healthcare systems using an evolutionarily informed approach in a proactive not reactive manner.","author":[{"dropping-particle":"","family":"Hicks","given":"Helen L.","non-dropping-particle":"","parse-names":false,"suffix":""},{"dropping-particle":"","family":"Comont","given":"David","non-dropping-particle":"","parse-names":false,"suffix":""},{"dropping-particle":"","family":"Coutts","given":"Shaun R.","non-dropping-particle":"","parse-names":false,"suffix":""},{"dropping-particle":"","family":"Crook","given":"Laura","non-dropping-particle":"","parse-names":false,"suffix":""},{"dropping-particle":"","family":"Hull","given":"Richard","non-dropping-particle":"","parse-names":false,"suffix":""},{"dropping-particle":"","family":"Norris","given":"Ken","non-dropping-particle":"","parse-names":false,"suffix":""},{"dropping-particle":"","family":"Neve","given":"Paul","non-dropping-particle":"","parse-names":false,"suffix":""},{"dropping-particle":"","family":"Childs","given":"Dylan Z.","non-dropping-particle":"","parse-names":false,"suffix":""},{"dropping-particle":"","family":"Freckleton","given":"Robert P.","non-dropping-particle":"","parse-names":false,"suffix":""}],"container-title":"Nature Ecology and Evolution","id":"ITEM-1","issue":"3","issued":{"date-parts":[["2018","3","12"]]},"page":"529-536","title":"The factors driving evolved herbicide resistance at a national scale","type":"article-journal","volume":"2"},"uris":["http://www.mendeley.com/documents/?uuid=ec6862a4-17cf-3a47-8797-5e4be4e48e14"]}],"mendeley":{"formattedCitation":"&lt;sup&gt;17&lt;/sup&gt;","plainTextFormattedCitation":"17","previouslyFormattedCitation":"&lt;sup&gt;17&lt;/sup&gt;"},"properties":{"noteIndex":0},"schema":"https://github.com/citation-style-language/schema/raw/master/csl-citation.json"}</w:instrText>
      </w:r>
      <w:r w:rsidR="004D6112">
        <w:fldChar w:fldCharType="separate"/>
      </w:r>
      <w:r w:rsidR="00085D8D" w:rsidRPr="00085D8D">
        <w:rPr>
          <w:noProof/>
          <w:vertAlign w:val="superscript"/>
        </w:rPr>
        <w:t>17</w:t>
      </w:r>
      <w:r w:rsidR="004D6112">
        <w:fldChar w:fldCharType="end"/>
      </w:r>
      <w:r w:rsidR="00323376">
        <w:t>, and are amongst the most resistant to pendimethalin (Figure S</w:t>
      </w:r>
      <w:r w:rsidR="00315B87">
        <w:t>6</w:t>
      </w:r>
      <w:r w:rsidR="00323376">
        <w:t>). Taken together, these results p</w:t>
      </w:r>
      <w:r w:rsidR="002F0A8E">
        <w:t xml:space="preserve">rovide a strong indication that </w:t>
      </w:r>
      <w:r w:rsidR="005D313F">
        <w:t xml:space="preserve">selection for NTSR to the </w:t>
      </w:r>
      <w:r w:rsidR="00974754">
        <w:t xml:space="preserve">HRAC </w:t>
      </w:r>
      <w:r w:rsidR="00690100">
        <w:t>group 1 (</w:t>
      </w:r>
      <w:r w:rsidR="005D313F">
        <w:t>ACCase</w:t>
      </w:r>
      <w:r w:rsidR="00690100">
        <w:t xml:space="preserve">) </w:t>
      </w:r>
      <w:r w:rsidR="005D313F">
        <w:t>and</w:t>
      </w:r>
      <w:r w:rsidR="00690100">
        <w:t xml:space="preserve"> </w:t>
      </w:r>
      <w:r w:rsidR="00974754">
        <w:t xml:space="preserve">HRAC </w:t>
      </w:r>
      <w:r w:rsidR="00690100">
        <w:t>group 3</w:t>
      </w:r>
      <w:r w:rsidR="005D313F">
        <w:t xml:space="preserve"> </w:t>
      </w:r>
      <w:r w:rsidR="00690100">
        <w:t>(</w:t>
      </w:r>
      <w:r w:rsidR="005D313F">
        <w:t>K1</w:t>
      </w:r>
      <w:r w:rsidR="00690100">
        <w:t xml:space="preserve">) </w:t>
      </w:r>
      <w:r w:rsidR="005D313F">
        <w:t>herbicides has likely provided pre-selection for reduced sensitivity to cinmethylin.</w:t>
      </w:r>
    </w:p>
    <w:p w14:paraId="7D3F0CDE" w14:textId="1ED4C00D" w:rsidR="00974754" w:rsidRDefault="001245E6" w:rsidP="00B56E00">
      <w:pPr>
        <w:spacing w:line="360" w:lineRule="auto"/>
      </w:pPr>
      <w:r>
        <w:t xml:space="preserve">In the case of </w:t>
      </w:r>
      <w:r w:rsidRPr="00B45B2D">
        <w:rPr>
          <w:i/>
          <w:iCs/>
        </w:rPr>
        <w:t>Lolium rigidum</w:t>
      </w:r>
      <w:r>
        <w:t xml:space="preserve">, inter-population variability in cinmethylin sensitivity is thought to be via P450 mediated oxidation of the cinmethylin molecule </w:t>
      </w:r>
      <w:r>
        <w:fldChar w:fldCharType="begin" w:fldLock="1"/>
      </w:r>
      <w:r w:rsidR="00DF0B67">
        <w:instrText>ADDIN CSL_CITATION {"citationItems":[{"id":"ITEM-1","itemData":{"DOI":"10.1002/ps.6947","ISSN":"15264998","PMID":"35470951","abstract":"Background: Cinmethylin, a pre-emergence herbicide inhibiting fatty acid thioesterase activity, has recently been introduced to Australian cereal cropping for the control of Lolium rigidum Gaud. (annual ryegrass). To date, there have been no confirmed cases of cinmethylin resistance identified in this species, but some populations exhibit reduced sensitivity to this herbicide. To explore the mechanism which contributes to reduced sensitivity of annual ryegrass to cinmethylin, the extent and nature of cinmethylin metabolism, using carbon-14 (14C)-labelled herbicide, were analysed in three reduced-sensitivity annual ryegrass populations, alongside a susceptible population and cinmethylin-tolerant wheat as controls. Results: All samples showed the same metabolite profile, with the extent of production of a specific water-soluble metabolite being correlated to the level of herbicide sensitivity. Application of the cytochrome P450 inhibitor phorate caused a decrease in water-soluble metabolite production as well as seedling growth in the presence of cinmethylin, indicating that reduced cinmethylin sensitivity in annual ryegrass could be wholly or partially due to oxidative modification of cinmethylin. Conclusion: Because annual ryegrass has the potential to metabolize cinmethylin in the same way as wheat, careful stewardship is required to ensure the longevity of this herbicide. © 2022 The Authors. Pest Management Science published by John Wiley &amp; Sons Ltd on behalf of Society of Chemical Industry.","author":[{"dropping-particle":"","family":"Goggin","given":"Danica E.","non-dropping-particle":"","parse-names":false,"suffix":""},{"dropping-particle":"","family":"Cawthray","given":"Gregory R.","non-dropping-particle":"","parse-names":false,"suffix":""},{"dropping-particle":"","family":"Busi","given":"Roberto","non-dropping-particle":"","parse-names":false,"suffix":""},{"dropping-particle":"","family":"Porri","given":"Aimone","non-dropping-particle":"","parse-names":false,"suffix":""},{"dropping-particle":"","family":"Beckie","given":"Hugh J.","non-dropping-particle":"","parse-names":false,"suffix":""}],"container-title":"Pest Management Science","id":"ITEM-1","issue":"7","issued":{"date-parts":[["2022","7","1"]]},"page":"3173-3182","publisher":"John Wiley &amp; Sons, Ltd","title":"Enhanced production of water-soluble cinmethylin metabolites by Lolium rigidum populations with reduced cinmethylin sensitivity","type":"article-journal","volume":"78"},"uris":["http://www.mendeley.com/documents/?uuid=711f5764-e129-3861-8be9-827a03e98a25"]}],"mendeley":{"formattedCitation":"&lt;sup&gt;13&lt;/sup&gt;","plainTextFormattedCitation":"13","previouslyFormattedCitation":"&lt;sup&gt;13&lt;/sup&gt;"},"properties":{"noteIndex":0},"schema":"https://github.com/citation-style-language/schema/raw/master/csl-citation.json"}</w:instrText>
      </w:r>
      <w:r>
        <w:fldChar w:fldCharType="separate"/>
      </w:r>
      <w:r w:rsidR="00085D8D" w:rsidRPr="00085D8D">
        <w:rPr>
          <w:noProof/>
          <w:vertAlign w:val="superscript"/>
        </w:rPr>
        <w:t>13</w:t>
      </w:r>
      <w:r>
        <w:fldChar w:fldCharType="end"/>
      </w:r>
      <w:r>
        <w:t xml:space="preserve">. P450s are widely implicated in NTSR </w:t>
      </w:r>
      <w:r w:rsidR="004D6112">
        <w:fldChar w:fldCharType="begin" w:fldLock="1"/>
      </w:r>
      <w:r w:rsidR="00DF0B67">
        <w:instrText>ADDIN CSL_CITATION {"citationItems":[{"id":"ITEM-1","itemData":{"DOI":"10.1002/ps.6040","ISSN":"15264998","PMID":"32776423","abstract":"Cytochrome P450s (P450s) have been at the center of herbicide metabolism research as a result of their ability to endow selectivity in crops and resistance in weeds. In the last 20 years, ≈30 P450s from diverse plant species have been revealed to possess herbicide-metabolizing function, some of which were demonstrated to play a key role in plant herbicide sensitivity. Recent research even demonstrated that some P450s from crops and weeds metabolize numerous herbicides from various chemical backbones, which highlights the importance of P450s in the current agricultural systems. However, due to the enormous number of plant P450s and the complexity of their function, expression and regulation, it remains a challenge to fully explore the potential of P450-mediated herbicide metabolism in crop improvement and herbicide resistance mitigation. Differences in the substrate specificity of each herbicide-metabolizing P450 are now evident. Comparisons of the substrate specificity and protein structures of P450s will be beneficial for the discovery of selective herbicides and may lead to the development of crops with higher herbicide tolerance by transgenics or genome-editing technologies. Furthermore, the knowledge will help design sound management strategies for weed resistance including the prediction of cross-resistance patterns. Overcoming the ambiguity of P450 function in plant xenobiotic pathways will unlock the full potential of this enzyme family in advancing global agriculture and food security. © 2020 Society of Chemical Industry.","author":[{"dropping-particle":"","family":"Dimaano","given":"Niña Gracel","non-dropping-particle":"","parse-names":false,"suffix":""},{"dropping-particle":"","family":"Iwakami","given":"Satoshi","non-dropping-particle":"","parse-names":false,"suffix":""}],"container-title":"Pest Management Science","id":"ITEM-1","issue":"1","issued":{"date-parts":[["2021","1","31"]]},"page":"22-32","publisher":"John Wiley and Sons Ltd","title":"Cytochrome P450-mediated herbicide metabolism in plants: current understanding and prospects","type":"article-journal","volume":"77"},"uris":["http://www.mendeley.com/documents/?uuid=7ae3a9f3-6970-3f7d-9dab-bad70071191c"]}],"mendeley":{"formattedCitation":"&lt;sup&gt;28&lt;/sup&gt;","plainTextFormattedCitation":"28","previouslyFormattedCitation":"&lt;sup&gt;28&lt;/sup&gt;"},"properties":{"noteIndex":0},"schema":"https://github.com/citation-style-language/schema/raw/master/csl-citation.json"}</w:instrText>
      </w:r>
      <w:r w:rsidR="004D6112">
        <w:fldChar w:fldCharType="separate"/>
      </w:r>
      <w:r w:rsidR="00085D8D" w:rsidRPr="00085D8D">
        <w:rPr>
          <w:noProof/>
          <w:vertAlign w:val="superscript"/>
        </w:rPr>
        <w:t>28</w:t>
      </w:r>
      <w:r w:rsidR="004D6112">
        <w:fldChar w:fldCharType="end"/>
      </w:r>
      <w:r>
        <w:t>, and one P450 in particular,  ‘CYP81A10v7’, reportedly contributes to resistance to five separate MOAs</w:t>
      </w:r>
      <w:r w:rsidR="003E515A">
        <w:t xml:space="preserve"> in </w:t>
      </w:r>
      <w:r w:rsidR="003E515A" w:rsidRPr="00B45B2D">
        <w:rPr>
          <w:i/>
          <w:iCs/>
        </w:rPr>
        <w:t>L</w:t>
      </w:r>
      <w:r w:rsidR="003E515A">
        <w:rPr>
          <w:i/>
          <w:iCs/>
        </w:rPr>
        <w:t>.</w:t>
      </w:r>
      <w:r w:rsidR="003E515A" w:rsidRPr="00B45B2D">
        <w:rPr>
          <w:i/>
          <w:iCs/>
        </w:rPr>
        <w:t xml:space="preserve"> rigidum</w:t>
      </w:r>
      <w:r>
        <w:t xml:space="preserve"> </w:t>
      </w:r>
      <w:r>
        <w:fldChar w:fldCharType="begin" w:fldLock="1"/>
      </w:r>
      <w:r w:rsidR="00DF0B67">
        <w:instrText>ADDIN CSL_CITATION {"citationItems":[{"id":"ITEM-1","itemData":{"DOI":"10.1111/tpj.15040","ISSN":"0960-7412","abstract":"Rapid and widespread evolution of multiple herbicide resistance in global weed species endowed by increased capacity to metabolize (degrade) herbicides (metabolic resistance) is a great threat to herbicide sustainability and global food production. Metabolic resistance in the economically damaging crop weed species Lolium rigidum is well known but a molecular understanding has been lacking. We purified a metabolic resistant (R) subset from a field evolved R L. rigidum population. The R, the herbicide susceptible (S) and derived F2 populations were used for candidate herbicide resistance gene discovery by RNA sequencing. A P450 gene CYP81A10v7 was identified with higher expression in R vs. S plants. Transgenic rice overexpressing this Lolium CYP81A10v7 gene became highly resistant to acetyl-coenzyme A carboxylase- and acetolactate synthase-inhibiting herbicides (diclofop-methyl, tralkoxydim, chlorsulfuron) and moderately resistant to hydroxyphenylpyruvate dioxygenase-inhibiting herbicide (mesotrione), photosystem II-inhibiting herbicides (atrazine and chlorotoluron) and the tubulin-inhibiting herbicide trifluralin. This wide cross-resistance profile to many dissimilar herbicides in CYP81A10v7 transgenic rice generally reflects what is evident in the R L. rigidum. This report clearly showed that a single P450 gene in a cross-pollinated weed species L. rigidum confers resistance to herbicides of at least five modes of action across seven herbicide chemistries.","author":[{"dropping-particle":"","family":"Han","given":"Heping","non-dropping-particle":"","parse-names":false,"suffix":""},{"dropping-particle":"","family":"Yu","given":"Qin","non-dropping-particle":"","parse-names":false,"suffix":""},{"dropping-particle":"","family":"Beffa","given":"Roland","non-dropping-particle":"","parse-names":false,"suffix":""},{"dropping-particle":"","family":"González","given":"Susana","non-dropping-particle":"","parse-names":false,"suffix":""},{"dropping-particle":"","family":"Maiwald","given":"Frank","non-dropping-particle":"","parse-names":false,"suffix":""},{"dropping-particle":"","family":"Wang","given":"Jian","non-dropping-particle":"","parse-names":false,"suffix":""},{"dropping-particle":"","family":"Powles","given":"Stephen B.","non-dropping-particle":"","parse-names":false,"suffix":""}],"container-title":"The Plant Journal","id":"ITEM-1","issue":"1","issued":{"date-parts":[["2021","1","27"]]},"page":"79-92","publisher":"Blackwell Publishing Ltd","title":"Cytochrome P450 CYP81A10v7 in &lt;i&gt;Lolium rigidum&lt;/i&gt; confers metabolic resistance to herbicides across at least five modes of action","type":"article-journal","volume":"105"},"uris":["http://www.mendeley.com/documents/?uuid=3e1eb892-5f9a-3cc9-a957-2af04d481def"]}],"mendeley":{"formattedCitation":"&lt;sup&gt;12&lt;/sup&gt;","plainTextFormattedCitation":"12","previouslyFormattedCitation":"&lt;sup&gt;12&lt;/sup&gt;"},"properties":{"noteIndex":0},"schema":"https://github.com/citation-style-language/schema/raw/master/csl-citation.json"}</w:instrText>
      </w:r>
      <w:r>
        <w:fldChar w:fldCharType="separate"/>
      </w:r>
      <w:r w:rsidR="00085D8D" w:rsidRPr="00085D8D">
        <w:rPr>
          <w:noProof/>
          <w:vertAlign w:val="superscript"/>
        </w:rPr>
        <w:t>12</w:t>
      </w:r>
      <w:r>
        <w:fldChar w:fldCharType="end"/>
      </w:r>
      <w:r>
        <w:t xml:space="preserve">. </w:t>
      </w:r>
      <w:r w:rsidR="004A7D9A">
        <w:t xml:space="preserve">In </w:t>
      </w:r>
      <w:r w:rsidR="00F000F0">
        <w:t>b</w:t>
      </w:r>
      <w:r w:rsidR="004A7D9A">
        <w:t>lackgrass, d</w:t>
      </w:r>
      <w:r>
        <w:t>ifferential gene expression analysis has previously identified six</w:t>
      </w:r>
      <w:r w:rsidR="00DB63B0">
        <w:t xml:space="preserve"> and eleven</w:t>
      </w:r>
      <w:r>
        <w:t xml:space="preserve"> P450s to be upregulated in the pendimethalin</w:t>
      </w:r>
      <w:r w:rsidR="00DB63B0">
        <w:t>- and fenoxaprop-</w:t>
      </w:r>
      <w:r>
        <w:t xml:space="preserve">resistant lines studied here, including an orthologue of ‘CYP81A10v7’ </w:t>
      </w:r>
      <w:r>
        <w:fldChar w:fldCharType="begin" w:fldLock="1"/>
      </w:r>
      <w:r w:rsidR="00DF0B67">
        <w:instrText>ADDIN CSL_CITATION {"citationItems":[{"id":"ITEM-1","itemData":{"DOI":"10.3389/fpls.2021.636652","ISSN":"1664462X","abstract":"Non-target site resistance (NTSR) to herbicides in black-grass (Alopecurus myosuroides) results in enhanced tolerance to multiple chemistries and is widespread in Northern Europe. To help define the underpinning mechanisms of resistance, global transcriptome and biochemical analysis have been used to phenotype three NTSR black-grass populations. These comprised NTSR1 black-grass from the classic Peldon field population, which shows broad-ranging resistance to post-emergence herbicides; NTSR2 derived from herbicide-sensitive (HS) plants repeatedly selected for tolerance to pendimethalin; and NTSR3 selected from HS plants for resistance to fenoxaprop-P-ethyl. NTSR in weeds is commonly associated with enhanced herbicide metabolism catalyzed by glutathione transferases (GSTs) and cytochromes P450 (CYPs). As such, the NTSR populations were assessed for their ability to detoxify chlorotoluron, which is detoxified by CYPs and fenoxaprop-P-ethyl, which is acted on by GSTs. As compared with HS plants, enhanced metabolism toward both herbicides was determined in the NTSR1 and NTSR2 populations. In contrast, the NTSR3 plants showed no increased detoxification capacity, demonstrating that resistance in this population was not due to enhanced metabolism. All resistant populations showed increased levels of AmGSTF1, a protein functionally linked to NTSR and enhanced herbicide metabolism. Enhanced AmGSTF1 was associated with increased levels of the associated transcripts in the NTSR1 and NTSR2 plants, but not in NTSR3, suggestive of both pre- and post-transcriptional regulation. The related HS, NTSR2, and NTSR3 plants were subject to global transcriptome sequencing and weighted gene co-expression network analysis to identify modules of genes with coupled regulatory functions. In the NTSR2 plants, modules linked to detoxification were identified, with many similarities to the transcriptome of NTSR1 black-grass. Critical detoxification genes included members of the CYP81A family and tau and phi class GSTs. The NTSR2 transcriptome also showed network similarities to other (a)biotic stresses of plants and multidrug resistance in humans. In contrast, completely different gene networks were activated in the NTSR3 plants, showing similarity to the responses to cold, osmotic shock and fungal infection determined in cereals. Our results demonstrate that NTSR in black-grass can arise from at least two distinct mechanisms, each involving complex changes in gene regulatory networks.","author":[{"dropping-particle":"","family":"Franco-Ortega","given":"Sara","non-dropping-particle":"","parse-names":false,"suffix":""},{"dropping-particle":"","family":"Goldberg-Cavalleri","given":"Alina","non-dropping-particle":"","parse-names":false,"suffix":""},{"dropping-particle":"","family":"Walker","given":"Andrew","non-dropping-particle":"","parse-names":false,"suffix":""},{"dropping-particle":"","family":"Brazier-Hicks","given":"Melissa","non-dropping-particle":"","parse-names":false,"suffix":""},{"dropping-particle":"","family":"Onkokesung","given":"Nawaporn","non-dropping-particle":"","parse-names":false,"suffix":""},{"dropping-particle":"","family":"Edwards","given":"Robert","non-dropping-particle":"","parse-names":false,"suffix":""}],"container-title":"Frontiers in Plant Science","id":"ITEM-1","issued":{"date-parts":[["2021","3","3"]]},"page":"194","publisher":"Frontiers Media S.A.","title":"Non-target Site Herbicide Resistance Is Conferred by Two Distinct Mechanisms in Black-Grass (Alopecurus myosuroides)","type":"article-journal","volume":"12"},"uris":["http://www.mendeley.com/documents/?uuid=2e3eb19d-745a-3750-a374-b3ef9c56d7a3"]},{"id":"ITEM-2","itemData":{"DOI":"10.1111/nph.18655","ISSN":"14698137","PMID":"36457293","abstract":"Globally, weedy plants are a major constraint to sustainable crop production. Much of the success of weeds rests with their ability to rapidly adapt in the face of human-mediated management of agroecosystems. Alopecurus myosuroides (blackgrass) is a widespread and impactful weed affecting agriculture in Europe. Here we report a chromosome-scale genome assembly of blackgrass and use this reference genome to explore the genomic/genetic basis of non-target site herbicide resistance (NTSR). Based on our analysis of F2 seed families derived from two distinct blackgrass populations with the same NTSR phenotype, we demonstrate that the trait is polygenic and evolves from standing genetic variation. We present evidence that selection for NTSR has signatures of both parallel and non-parallel evolution. There are parallel and non-parallel changes at the transcriptional level of several stress- and defence-responsive gene families. At the genomic level, however, the genetic loci underpinning NTSR are different (non-parallel) between seed families. We speculate that variation in the number, regulation and function of stress- and defence-related gene families enable weedy species to rapidly evolve NTSR via exaptation of genes within large multi-functional gene families. These results provide novel insights into the potential for, and nature of plant adaptation in rapidly changing environments.","author":[{"dropping-particle":"","family":"Cai","given":"Lichun","non-dropping-particle":"","parse-names":false,"suffix":""},{"dropping-particle":"","family":"Comont","given":"David","non-dropping-particle":"","parse-names":false,"suffix":""},{"dropping-particle":"","family":"MacGregor","given":"Dana","non-dropping-particle":"","parse-names":false,"suffix":""},{"dropping-particle":"","family":"Lowe","given":"Claudia","non-dropping-particle":"","parse-names":false,"suffix":""},{"dropping-particle":"","family":"Beffa","given":"Roland","non-dropping-particle":"","parse-names":false,"suffix":""},{"dropping-particle":"","family":"Neve","given":"Paul","non-dropping-particle":"","parse-names":false,"suffix":""},{"dropping-particle":"","family":"Saski","given":"Christopher","non-dropping-particle":"","parse-names":false,"suffix":""}],"container-title":"New Phytologist","id":"ITEM-2","issue":"5","issued":{"date-parts":[["2023","3","1"]]},"page":"1891-1907","publisher":"John Wiley &amp; Sons, Ltd","title":"The blackgrass genome reveals patterns of non-parallel evolution of polygenic herbicide resistance","type":"article-journal","volume":"237"},"uris":["http://www.mendeley.com/documents/?uuid=0ddda19b-8f73-35d3-8b46-7afef4e46269"]}],"mendeley":{"formattedCitation":"&lt;sup&gt;18,29&lt;/sup&gt;","plainTextFormattedCitation":"18,29","previouslyFormattedCitation":"&lt;sup&gt;18,29&lt;/sup&gt;"},"properties":{"noteIndex":0},"schema":"https://github.com/citation-style-language/schema/raw/master/csl-citation.json"}</w:instrText>
      </w:r>
      <w:r>
        <w:fldChar w:fldCharType="separate"/>
      </w:r>
      <w:r w:rsidR="00085D8D" w:rsidRPr="00085D8D">
        <w:rPr>
          <w:noProof/>
          <w:vertAlign w:val="superscript"/>
        </w:rPr>
        <w:t>18,29</w:t>
      </w:r>
      <w:r>
        <w:fldChar w:fldCharType="end"/>
      </w:r>
      <w:r>
        <w:t xml:space="preserve">. It may therefore be that activity of these P450s </w:t>
      </w:r>
      <w:r>
        <w:lastRenderedPageBreak/>
        <w:t xml:space="preserve">contributes to the variation in cinmethylin sensitivity </w:t>
      </w:r>
      <w:r w:rsidR="00F000F0">
        <w:t>observed and</w:t>
      </w:r>
      <w:r>
        <w:t xml:space="preserve"> provide logical targets for further study. </w:t>
      </w:r>
      <w:bookmarkStart w:id="5" w:name="_Hlk157504378"/>
      <w:bookmarkStart w:id="6" w:name="_Hlk157685489"/>
      <w:r w:rsidR="00CB4842">
        <w:t>Many Blackgrass populations are also observed to upregulate expression of plant glutathione transferases</w:t>
      </w:r>
      <w:r w:rsidR="00DF0B67">
        <w:t xml:space="preserve"> </w:t>
      </w:r>
      <w:r w:rsidR="00DF0B67">
        <w:fldChar w:fldCharType="begin" w:fldLock="1"/>
      </w:r>
      <w:r w:rsidR="00DF0B67">
        <w:instrText>ADDIN CSL_CITATION {"citationItems":[{"id":"ITEM-1","itemData":{"DOI":"10.1073/pnas.1221179110","ISBN":"1091-6490 (Electronic)\\r0027-8424 (Linking)","ISSN":"0027-8424","PMID":"23530204","abstract":"Multiple-herbicide resistance (MHR) in black-grass (Alopecurus myosuroides) and annual rye-grass (Lolium rigidum) is a global problem leading to a loss of chemical weed control in cereal crops. Although poorly understood, in common with multiple-drug resistance (MDR) in tumors, MHR is associated with an enhanced ability to detoxify xenobiotics. In humans, MDR is linked to the overexpression of a pi class glutathione transferase (GSTP1), which has both detoxification and signaling functions in promoting drug resistance. In both annual rye-grass and black-grass, MHR was also associated with the increased expression of an evolutionarily distinct plant phi (F) GSTF1 that had a restricted ability to detoxify herbicides. When the black-grass A. myosuroides (Am) AmGSTF1 was expressed in Arabidopsis thaliana, the transgenic plants acquired resistance to multiple herbicides and showed similar changes in their secondary, xenobiotic, and antioxidant metabolism to those determined in MHR weeds. Transcriptome array experiments showed that these changes in biochemistry were not due to changes in gene expression. Rather, AmGSTF1 exerted a direct regulatory control on metabolism that led to an accumulation of protective flavonoids. Further evidence for a key role for this protein in MHR was obtained by showing that the GSTP1- and MDR-inhibiting pharmacophore 4-chloro-7-nitro-benzoxadiazole was also active toward AmGSTF1 and helped restore herbicide control in MHR black-grass. These studies demonstrate a central role for specific GSTFs in MHR in weeds that has parallels with similar roles for unrelated GSTs in MDR in humans and shows their potential as targets for chemical intervention in resistant weed management.","author":[{"dropping-particle":"","family":"Cummins","given":"Ian","non-dropping-particle":"","parse-names":false,"suffix":""},{"dropping-particle":"","family":"Wortley","given":"David J","non-dropping-particle":"","parse-names":false,"suffix":""},{"dropping-particle":"","family":"Sabbadin","given":"Federico","non-dropping-particle":"","parse-names":false,"suffix":""},{"dropping-particle":"","family":"He","given":"Zhesi","non-dropping-particle":"","parse-names":false,"suffix":""},{"dropping-particle":"","family":"Coxon","given":"Christopher R","non-dropping-particle":"","parse-names":false,"suffix":""},{"dropping-particle":"","family":"Straker","given":"Hannah E","non-dropping-particle":"","parse-names":false,"suffix":""},{"dropping-particle":"","family":"Sellars","given":"Jonathan D","non-dropping-particle":"","parse-names":false,"suffix":""},{"dropping-particle":"","family":"Knight","given":"Kathryn","non-dropping-particle":"","parse-names":false,"suffix":""},{"dropping-particle":"","family":"Edwards","given":"L.","non-dropping-particle":"","parse-names":false,"suffix":""},{"dropping-particle":"","family":"Hughes","given":"David","non-dropping-particle":"","parse-names":false,"suffix":""},{"dropping-particle":"","family":"Kaundun","given":"Shiv Shankhar","non-dropping-particle":"","parse-names":false,"suffix":""},{"dropping-particle":"","family":"Hutchings","given":"S.-J.","non-dropping-particle":"","parse-names":false,"suffix":""},{"dropping-particle":"","family":"Steel","given":"Patrick G","non-dropping-particle":"","parse-names":false,"suffix":""},{"dropping-particle":"","family":"Edwards","given":"Robert","non-dropping-particle":"","parse-names":false,"suffix":""}],"container-title":"Proceedings of the National Academy of Sciences","id":"ITEM-1","issue":"15","issued":{"date-parts":[["2013","4","9"]]},"page":"5812-5817","title":"Key role for a glutathione transferase in multiple-herbicide resistance in grass weeds","type":"article-journal","volume":"110"},"uris":["http://www.mendeley.com/documents/?uuid=4f660bae-6c58-3a9b-9f97-9652e46ab03f"]}],"mendeley":{"formattedCitation":"&lt;sup&gt;16&lt;/sup&gt;","plainTextFormattedCitation":"16","previouslyFormattedCitation":"&lt;sup&gt;16&lt;/sup&gt;"},"properties":{"noteIndex":0},"schema":"https://github.com/citation-style-language/schema/raw/master/csl-citation.json"}</w:instrText>
      </w:r>
      <w:r w:rsidR="00DF0B67">
        <w:fldChar w:fldCharType="separate"/>
      </w:r>
      <w:r w:rsidR="00DF0B67" w:rsidRPr="00DF0B67">
        <w:rPr>
          <w:noProof/>
          <w:vertAlign w:val="superscript"/>
        </w:rPr>
        <w:t>16</w:t>
      </w:r>
      <w:r w:rsidR="00DF0B67">
        <w:fldChar w:fldCharType="end"/>
      </w:r>
      <w:r w:rsidR="00CB4842">
        <w:t>, thought to be important in detoxification of other pre-emergence active</w:t>
      </w:r>
      <w:r w:rsidR="00AD074A">
        <w:t xml:space="preserve"> ingredients</w:t>
      </w:r>
      <w:r w:rsidR="00CB4842">
        <w:t xml:space="preserve"> including </w:t>
      </w:r>
      <w:r w:rsidR="00AD074A">
        <w:t>f</w:t>
      </w:r>
      <w:r w:rsidR="00CB4842">
        <w:t xml:space="preserve">lufenacet </w:t>
      </w:r>
      <w:r w:rsidR="00DF0B67">
        <w:fldChar w:fldCharType="begin" w:fldLock="1"/>
      </w:r>
      <w:r w:rsidR="00DF0B67">
        <w:instrText>ADDIN CSL_CITATION {"citationItems":[{"id":"ITEM-1","itemData":{"DOI":"10.1017/wsc.2020.54","ISSN":"15502759","abstract":"The WSSA Group 15 (HRAC Group K3) herbicide flufenacet is a key compound in weed resistance management, primarily used for PRE control of grass weeds in winter cereal-based crop rotations in Europe. Although resistance to compounds of its mechanism of action (inhibition of the synthesis of very-long-chain fatty acids) generally evolves slowly, reduced flufenacet efficacy due to enhanced glutathione transferase (GST) activity has been described in several blackgrass (Alopecurus myosuroides Huds.) populations. The present study aimed to better understand of the mechanism of flufenacet detoxification in A. myosuroides. Therefore, we characterized four A. myosuroides populations with different levels of flufenacet sensitivity. Flufenacet degradation was significantly slowed down in a sensitive population and a population with reduced flufenacet sensitivity by the use of the GST inhibitors tridiphane and ethacrynic acid at sublethal rates. Finally, an RNA sequencing (RNA-seq) study with the four A. myosuroides populations was conducted. In total, six differentially expressed GSTs and nine transcription factors as well as a keto-acyl-CoA reductase involved in the biosynthesis of very-long-chain fatty acids were identified as candidate genes among a set of 319 significantly more highly expressed gene-associated contigs. Among a set of 218 contigs with significantly lower expression levels, receptor kinase activity was the most frequent annotation. In summary, the likely GST-mediated reduction in sensitivity evolves in A. myosuroides at a slow rate and can partially be reversed by an interaction between flufenacet and the GST inhibitors tridiphane and ethacrynic acid. This provides further evidence for enhanced GST activity as a key mechanism in flufenacet resistance in A. myosuroides and supports the hypothesis that the six differentially expressed GSTs detected in the present RNA-seq study are potentially involved in flufenacet resistance.","author":[{"dropping-particle":"","family":"Dücker","given":"Rebecka","non-dropping-particle":"","parse-names":false,"suffix":""},{"dropping-particle":"","family":"Parcharidou","given":"Evlampia","non-dropping-particle":"","parse-names":false,"suffix":""},{"dropping-particle":"","family":"Beffa","given":"Roland","non-dropping-particle":"","parse-names":false,"suffix":""}],"container-title":"Weed Science","id":"ITEM-1","issue":"5","issued":{"date-parts":[["2020","9","1"]]},"page":"451-459","publisher":"Cambridge University Press","title":"Flufenacet activity is affected by GST inhibitors in blackgrass (Alopecurus myosuroides) populations with reduced flufenacet sensitivity and higher expression levels of GSTs","type":"article-journal","volume":"68"},"uris":["http://www.mendeley.com/documents/?uuid=2d976f7d-a720-3349-9170-0bd868da7a8f"]}],"mendeley":{"formattedCitation":"&lt;sup&gt;22&lt;/sup&gt;","plainTextFormattedCitation":"22"},"properties":{"noteIndex":0},"schema":"https://github.com/citation-style-language/schema/raw/master/csl-citation.json"}</w:instrText>
      </w:r>
      <w:r w:rsidR="00DF0B67">
        <w:fldChar w:fldCharType="separate"/>
      </w:r>
      <w:r w:rsidR="00DF0B67" w:rsidRPr="00DF0B67">
        <w:rPr>
          <w:noProof/>
          <w:vertAlign w:val="superscript"/>
        </w:rPr>
        <w:t>22</w:t>
      </w:r>
      <w:r w:rsidR="00DF0B67">
        <w:fldChar w:fldCharType="end"/>
      </w:r>
      <w:r w:rsidR="00CB4842">
        <w:t xml:space="preserve">. </w:t>
      </w:r>
      <w:r w:rsidR="00974754">
        <w:t>A clearer understanding of the molecular pathways responsible for detoxification of cinmethylin</w:t>
      </w:r>
      <w:r w:rsidR="00CB4842">
        <w:t>,</w:t>
      </w:r>
      <w:r w:rsidR="00974754">
        <w:t xml:space="preserve"> and other </w:t>
      </w:r>
      <w:r w:rsidR="00AD074A">
        <w:t>pre-emergence herbicides</w:t>
      </w:r>
      <w:r w:rsidR="00CB4842">
        <w:t xml:space="preserve">, would aid our capability to </w:t>
      </w:r>
      <w:r w:rsidR="005A1ACE">
        <w:t xml:space="preserve">more </w:t>
      </w:r>
      <w:r w:rsidR="00CB4842">
        <w:t>rapidly diagnose and manage potential shifts in sensitivity.</w:t>
      </w:r>
      <w:bookmarkEnd w:id="5"/>
      <w:r w:rsidR="00AD074A">
        <w:t xml:space="preserve"> </w:t>
      </w:r>
      <w:bookmarkStart w:id="7" w:name="_Hlk157685367"/>
      <w:r w:rsidR="00AD074A">
        <w:t>This knowledge could also help inform the design of rational strategies for rotation and mixture of pre-emergence herbicides, to slow evolution of resistance.</w:t>
      </w:r>
      <w:bookmarkEnd w:id="7"/>
      <w:bookmarkEnd w:id="6"/>
    </w:p>
    <w:p w14:paraId="34499FA9" w14:textId="502CE9D5" w:rsidR="000D099F" w:rsidRDefault="001245E6" w:rsidP="00B56E00">
      <w:pPr>
        <w:spacing w:line="360" w:lineRule="auto"/>
      </w:pPr>
      <w:r>
        <w:t>Although the genetic control of reduced cinmethylin sensitivity in blackgrass remains to be confirmed,</w:t>
      </w:r>
      <w:r w:rsidR="00A133A9">
        <w:t xml:space="preserve"> our results do highlight that this trait is heritable and responds to further cinmethylin selection. Over just</w:t>
      </w:r>
      <w:r w:rsidR="00996F77">
        <w:t xml:space="preserve"> t</w:t>
      </w:r>
      <w:r>
        <w:t>hree</w:t>
      </w:r>
      <w:r w:rsidR="00996F77">
        <w:t xml:space="preserve"> generations of selection with cinmethylin</w:t>
      </w:r>
      <w:r w:rsidR="00A133A9">
        <w:t>, we saw ED</w:t>
      </w:r>
      <w:r w:rsidR="00A133A9" w:rsidRPr="00A133A9">
        <w:rPr>
          <w:vertAlign w:val="subscript"/>
        </w:rPr>
        <w:t>50</w:t>
      </w:r>
      <w:r w:rsidR="00A133A9">
        <w:t xml:space="preserve"> values increase by 139% and 232% in the two tested lines. </w:t>
      </w:r>
      <w:r w:rsidR="00996F77">
        <w:t xml:space="preserve">Importantly, selective doses applied here were lower than the field-rate cinmethylin dose, and resultant populations do not yet constitute resistant lines. </w:t>
      </w:r>
      <w:r w:rsidR="00E26A0C">
        <w:t xml:space="preserve">It is also noted that </w:t>
      </w:r>
      <w:r w:rsidR="00996F77">
        <w:t xml:space="preserve">experimental selection in this manner does not replicate the dynamics of herbicide selection under field conditions </w:t>
      </w:r>
      <w:r w:rsidR="00996F77">
        <w:fldChar w:fldCharType="begin" w:fldLock="1"/>
      </w:r>
      <w:r w:rsidR="00DF0B67">
        <w:instrText>ADDIN CSL_CITATION {"citationItems":[{"id":"ITEM-1","itemData":{"DOI":"10.1002/ps.3757","ISBN":"1526-4998","ISSN":"15264998","PMID":"24723489","abstract":"The potential for human-driven evolution in economically and environmentally important organisms in medicine, agriculture\\r\\nand conservation management is now widely recognised. The evolution of herbicide resistance in weeds is a classic example of rapid adaptation in the face of human-mediated selection. Management strategies that aim to slow or prevent the evolution of herbicide resistance must be informed by an understanding of the ecological and evolutionary factors that drive selection in weed populations. Here, we argue for a greater focus on the ultimate causes of selection for resistance in herbicide resistance studies. The emerging fields of eco-evolutionary dynamics and applied evolutionary biology offer ameans to achieve this goal and to consider herbicide resistance in a broader and sometimes novel context. Four relevant research questions are presented, which examine (i) the impact of herbicide dose on selection for resistance, (ii) plant fitness in herbicide resistance studies, (iii) the efficacy of herbicide rotations and mixtures and (iv) the impacts of gene flow on resistance evolution and spread. In all cases, fundamental ecology and evolution have the potential to offer new insights into herbicide resistance evolution and management.","author":[{"dropping-particle":"","family":"Neve","given":"Paul","non-dropping-particle":"","parse-names":false,"suffix":""},{"dropping-particle":"","family":"Busi","given":"Roberto","non-dropping-particle":"","parse-names":false,"suffix":""},{"dropping-particle":"","family":"Renton","given":"Michael","non-dropping-particle":"","parse-names":false,"suffix":""},{"dropping-particle":"","family":"Vila-Aiub","given":"Martin M","non-dropping-particle":"","parse-names":false,"suffix":""}],"container-title":"Pest Management Science","id":"ITEM-1","issue":"9","issued":{"date-parts":[["2014","9"]]},"page":"1385-1393","publisher":"Wiley-Blackwell","title":"Expanding the eco-evolutionary context of herbicide resistance research","type":"article-journal","volume":"70"},"uris":["http://www.mendeley.com/documents/?uuid=f5c269b1-ebbc-3764-9bb5-9937d7635a29"]}],"mendeley":{"formattedCitation":"&lt;sup&gt;30&lt;/sup&gt;","plainTextFormattedCitation":"30","previouslyFormattedCitation":"&lt;sup&gt;30&lt;/sup&gt;"},"properties":{"noteIndex":0},"schema":"https://github.com/citation-style-language/schema/raw/master/csl-citation.json"}</w:instrText>
      </w:r>
      <w:r w:rsidR="00996F77">
        <w:fldChar w:fldCharType="separate"/>
      </w:r>
      <w:r w:rsidR="00085D8D" w:rsidRPr="00085D8D">
        <w:rPr>
          <w:noProof/>
          <w:vertAlign w:val="superscript"/>
        </w:rPr>
        <w:t>30</w:t>
      </w:r>
      <w:r w:rsidR="00996F77">
        <w:fldChar w:fldCharType="end"/>
      </w:r>
      <w:r w:rsidR="00E26A0C">
        <w:t>. Nevertheless, results such as those described here</w:t>
      </w:r>
      <w:r w:rsidR="00996F77">
        <w:t xml:space="preserve"> help to demonstrate whether in principle</w:t>
      </w:r>
      <w:r w:rsidR="00D87B3D">
        <w:t xml:space="preserve"> resistance</w:t>
      </w:r>
      <w:r w:rsidR="00996F77">
        <w:t xml:space="preserve"> can evolve rapidly to a particular active. </w:t>
      </w:r>
      <w:r w:rsidR="00E26A0C">
        <w:t xml:space="preserve">Given the observed variability in cinmethylin sensitivity amongst populations, the </w:t>
      </w:r>
      <w:r w:rsidR="00D87B3D">
        <w:t>association</w:t>
      </w:r>
      <w:r w:rsidR="00E26A0C">
        <w:t xml:space="preserve"> with previously evolved NTSR, and the further response to cinmethylin selection, our findings </w:t>
      </w:r>
      <w:r w:rsidR="00D87B3D">
        <w:t>reiterate the importance of careful stewardship</w:t>
      </w:r>
      <w:r w:rsidR="000D099F">
        <w:t xml:space="preserve"> to minimise further selection</w:t>
      </w:r>
      <w:r w:rsidR="00D87B3D">
        <w:t xml:space="preserve"> when </w:t>
      </w:r>
      <w:r w:rsidR="00EA1C00">
        <w:t xml:space="preserve">introducing this active. </w:t>
      </w:r>
    </w:p>
    <w:p w14:paraId="0DC0EA30" w14:textId="4492DB42" w:rsidR="00324A66" w:rsidRDefault="00324A66" w:rsidP="00B56E00">
      <w:pPr>
        <w:spacing w:line="360" w:lineRule="auto"/>
      </w:pPr>
    </w:p>
    <w:p w14:paraId="6294F766" w14:textId="7AFEB645" w:rsidR="00D41848" w:rsidRPr="00D41848" w:rsidRDefault="00D41848" w:rsidP="00B56E00">
      <w:pPr>
        <w:spacing w:line="360" w:lineRule="auto"/>
        <w:rPr>
          <w:u w:val="single"/>
        </w:rPr>
      </w:pPr>
      <w:r w:rsidRPr="00D41848">
        <w:rPr>
          <w:u w:val="single"/>
        </w:rPr>
        <w:t>Conclusion</w:t>
      </w:r>
      <w:r w:rsidR="007322FD">
        <w:rPr>
          <w:u w:val="single"/>
        </w:rPr>
        <w:t>s</w:t>
      </w:r>
    </w:p>
    <w:p w14:paraId="46A46715" w14:textId="6A135D95" w:rsidR="00085D8D" w:rsidRDefault="00C83ACE" w:rsidP="00B56E00">
      <w:pPr>
        <w:spacing w:line="360" w:lineRule="auto"/>
      </w:pPr>
      <w:r>
        <w:t xml:space="preserve">The registration of cinmethylin for UK </w:t>
      </w:r>
      <w:r w:rsidR="00911D20">
        <w:t xml:space="preserve">blackgrass </w:t>
      </w:r>
      <w:r>
        <w:t>control represents a much-needed additional herbicid</w:t>
      </w:r>
      <w:r w:rsidR="00C97C2F">
        <w:t>al</w:t>
      </w:r>
      <w:r>
        <w:t xml:space="preserve"> MOA to tackle this species</w:t>
      </w:r>
      <w:r w:rsidR="00454FB1">
        <w:t xml:space="preserve">, </w:t>
      </w:r>
      <w:r w:rsidR="00A42ECA">
        <w:t>with effective</w:t>
      </w:r>
      <w:r w:rsidR="00454FB1">
        <w:t xml:space="preserve"> control (mean 97% reduction in emergence) </w:t>
      </w:r>
      <w:r w:rsidR="00A42ECA">
        <w:t xml:space="preserve">demonstrated </w:t>
      </w:r>
      <w:r w:rsidR="00454FB1">
        <w:t xml:space="preserve">across </w:t>
      </w:r>
      <w:r w:rsidR="00A42ECA">
        <w:t>our</w:t>
      </w:r>
      <w:r w:rsidR="00454FB1">
        <w:t xml:space="preserve"> tested UK blackgrass populations under glasshouse conditions. However</w:t>
      </w:r>
      <w:r w:rsidR="00606299">
        <w:t>,</w:t>
      </w:r>
      <w:r w:rsidR="00454FB1">
        <w:t xml:space="preserve"> the variation in sensitivity observed below field rate, and the </w:t>
      </w:r>
      <w:r w:rsidR="00305828">
        <w:t xml:space="preserve">influence of </w:t>
      </w:r>
      <w:r w:rsidR="00454FB1">
        <w:t xml:space="preserve">pre-existing </w:t>
      </w:r>
      <w:r w:rsidR="002658F7">
        <w:t>mechanisms of enhanced herbicide metabolism</w:t>
      </w:r>
      <w:r w:rsidR="00454FB1">
        <w:t xml:space="preserve"> </w:t>
      </w:r>
      <w:r w:rsidR="00305828">
        <w:t xml:space="preserve">on cinmethylin sensitivity </w:t>
      </w:r>
      <w:r w:rsidR="00454FB1">
        <w:t xml:space="preserve">are a cause for concern in relation to future resistance evolution. It has been argued that the effectiveness of newly introduced actives can only be maximised where we have detailed baseline sensitivity data, proactive monitoring for shifts in resistance, and a clear iterative decision-making process to enact in light of these data </w:t>
      </w:r>
      <w:r w:rsidR="00D03670">
        <w:fldChar w:fldCharType="begin" w:fldLock="1"/>
      </w:r>
      <w:r w:rsidR="00DF0B67">
        <w:instrText>ADDIN CSL_CITATION {"citationItems":[{"id":"ITEM-1","itemData":{"DOI":"10.1002/ps.6457","ISSN":"15264998","PMID":"33942963","abstract":"While herbicides are the most effective and widely adopted weed management approach, the evolution of multiple herbicide resistance in damaging weed species threatens the yield and profitability of many crops. Weeds accumulate multiple resistance mechanisms through sequential selection and/or gene flow, with long-range and international transport of herbicide-resistant weeds proving to be a serious issue. Metabolic resistance mechanisms can confer resistance across multiple sites of action and even to herbicides not yet discovered. When a new site of action herbicide is introduced to control a key driver weed, it likely will be one of very few effective available herbicide options for that weed in a specific crop due to the continuous use of herbicides over the years and the resulting accumulation of resistance mechanisms, placing it at even higher risk to be rapidly lost to resistance due to the high selection pressure it will experience. The number of available, effective herbicides for certain driver weeds is decreasing over time because the rate of resistance evolution is faster than the rate of new herbicide discovery. Effective monitoring for species movement and diagnostics for resistance should be deployed to rapidly identify emerging resistance to any new site of action. While innovation in herbicide discovery is urgently needed to combat the pressing issue of resistance in weeds, the rate of selection for herbicide resistance in weeds must be slowed through changes in the patterns of how herbicides are used. © 2021 Society of Chemical Industry. © 2021 Society of Chemical Industry.","author":[{"dropping-particle":"","family":"Gaines","given":"Todd A.","non-dropping-particle":"","parse-names":false,"suffix":""},{"dropping-particle":"","family":"Busi","given":"Roberto","non-dropping-particle":"","parse-names":false,"suffix":""},{"dropping-particle":"","family":"Küpper","given":"Anita","non-dropping-particle":"","parse-names":false,"suffix":""}],"container-title":"Pest Management Science","id":"ITEM-1","issue":"7","issued":{"date-parts":[["2021","7","1"]]},"page":"3036-3041","publisher":"John Wiley &amp; Sons, Ltd","title":"Can new herbicide discovery allow weed management to outpace resistance evolution?","type":"article-journal","volume":"77"},"uris":["http://www.mendeley.com/documents/?uuid=40532dc5-596a-347d-b1d3-2b58fd3db88e"]}],"mendeley":{"formattedCitation":"&lt;sup&gt;23&lt;/sup&gt;","plainTextFormattedCitation":"23","previouslyFormattedCitation":"&lt;sup&gt;23&lt;/sup&gt;"},"properties":{"noteIndex":0},"schema":"https://github.com/citation-style-language/schema/raw/master/csl-citation.json"}</w:instrText>
      </w:r>
      <w:r w:rsidR="00D03670">
        <w:fldChar w:fldCharType="separate"/>
      </w:r>
      <w:r w:rsidR="00085D8D" w:rsidRPr="00085D8D">
        <w:rPr>
          <w:noProof/>
          <w:vertAlign w:val="superscript"/>
        </w:rPr>
        <w:t>23</w:t>
      </w:r>
      <w:r w:rsidR="00D03670">
        <w:fldChar w:fldCharType="end"/>
      </w:r>
      <w:r w:rsidR="00454FB1">
        <w:t>. The current study provides such sensitivity data, characteris</w:t>
      </w:r>
      <w:r w:rsidR="00606299">
        <w:t>ing</w:t>
      </w:r>
      <w:r w:rsidR="00454FB1">
        <w:t xml:space="preserve"> the potential links with pre-existing metabolic resistance. Moreover, we highlight the capacity to select </w:t>
      </w:r>
      <w:r w:rsidR="002658F7">
        <w:t xml:space="preserve">for </w:t>
      </w:r>
      <w:r w:rsidR="00454FB1">
        <w:t xml:space="preserve">cinmethylin sensitivity, and </w:t>
      </w:r>
      <w:r w:rsidR="00A42ECA">
        <w:t xml:space="preserve">identify </w:t>
      </w:r>
      <w:r w:rsidR="00454FB1">
        <w:t xml:space="preserve">field locations within a </w:t>
      </w:r>
      <w:r w:rsidR="003B401C">
        <w:t>b</w:t>
      </w:r>
      <w:r w:rsidR="00454FB1">
        <w:t xml:space="preserve">lackgrass monitoring network most at risk of evolving a resistance trait. Future experimental selection, coupled with in-field monitoring across this </w:t>
      </w:r>
      <w:r w:rsidR="003B401C">
        <w:t>b</w:t>
      </w:r>
      <w:r w:rsidR="00454FB1">
        <w:t xml:space="preserve">lackgrass network </w:t>
      </w:r>
      <w:r w:rsidR="00454FB1">
        <w:lastRenderedPageBreak/>
        <w:t xml:space="preserve">is needed, in order to pro-actively </w:t>
      </w:r>
      <w:r w:rsidR="00606299">
        <w:t xml:space="preserve">detect resistance evolution. Similarly, newly developed genomic resources for this species </w:t>
      </w:r>
      <w:r w:rsidR="00D03670">
        <w:fldChar w:fldCharType="begin" w:fldLock="1"/>
      </w:r>
      <w:r w:rsidR="00DF0B67">
        <w:instrText>ADDIN CSL_CITATION {"citationItems":[{"id":"ITEM-1","itemData":{"DOI":"10.1111/nph.18655","ISSN":"14698137","PMID":"36457293","abstract":"Globally, weedy plants are a major constraint to sustainable crop production. Much of the success of weeds rests with their ability to rapidly adapt in the face of human-mediated management of agroecosystems. Alopecurus myosuroides (blackgrass) is a widespread and impactful weed affecting agriculture in Europe. Here we report a chromosome-scale genome assembly of blackgrass and use this reference genome to explore the genomic/genetic basis of non-target site herbicide resistance (NTSR). Based on our analysis of F2 seed families derived from two distinct blackgrass populations with the same NTSR phenotype, we demonstrate that the trait is polygenic and evolves from standing genetic variation. We present evidence that selection for NTSR has signatures of both parallel and non-parallel evolution. There are parallel and non-parallel changes at the transcriptional level of several stress- and defence-responsive gene families. At the genomic level, however, the genetic loci underpinning NTSR are different (non-parallel) between seed families. We speculate that variation in the number, regulation and function of stress- and defence-related gene families enable weedy species to rapidly evolve NTSR via exaptation of genes within large multi-functional gene families. These results provide novel insights into the potential for, and nature of plant adaptation in rapidly changing environments.","author":[{"dropping-particle":"","family":"Cai","given":"Lichun","non-dropping-particle":"","parse-names":false,"suffix":""},{"dropping-particle":"","family":"Comont","given":"David","non-dropping-particle":"","parse-names":false,"suffix":""},{"dropping-particle":"","family":"MacGregor","given":"Dana","non-dropping-particle":"","parse-names":false,"suffix":""},{"dropping-particle":"","family":"Lowe","given":"Claudia","non-dropping-particle":"","parse-names":false,"suffix":""},{"dropping-particle":"","family":"Beffa","given":"Roland","non-dropping-particle":"","parse-names":false,"suffix":""},{"dropping-particle":"","family":"Neve","given":"Paul","non-dropping-particle":"","parse-names":false,"suffix":""},{"dropping-particle":"","family":"Saski","given":"Christopher","non-dropping-particle":"","parse-names":false,"suffix":""}],"container-title":"New Phytologist","id":"ITEM-1","issue":"5","issued":{"date-parts":[["2023","3","1"]]},"page":"1891-1907","publisher":"John Wiley &amp; Sons, Ltd","title":"The blackgrass genome reveals patterns of non-parallel evolution of polygenic herbicide resistance","type":"article-journal","volume":"237"},"uris":["http://www.mendeley.com/documents/?uuid=0ddda19b-8f73-35d3-8b46-7afef4e46269"]}],"mendeley":{"formattedCitation":"&lt;sup&gt;29&lt;/sup&gt;","plainTextFormattedCitation":"29","previouslyFormattedCitation":"&lt;sup&gt;29&lt;/sup&gt;"},"properties":{"noteIndex":0},"schema":"https://github.com/citation-style-language/schema/raw/master/csl-citation.json"}</w:instrText>
      </w:r>
      <w:r w:rsidR="00D03670">
        <w:fldChar w:fldCharType="separate"/>
      </w:r>
      <w:r w:rsidR="00085D8D" w:rsidRPr="00085D8D">
        <w:rPr>
          <w:noProof/>
          <w:vertAlign w:val="superscript"/>
        </w:rPr>
        <w:t>29</w:t>
      </w:r>
      <w:r w:rsidR="00D03670">
        <w:fldChar w:fldCharType="end"/>
      </w:r>
      <w:r w:rsidR="00606299">
        <w:t xml:space="preserve"> will be an invaluable resource to identify molecular pathways responsible for the observed variation in sensitivity, and to develop diagnostics for the rapid detection of potential resistance </w:t>
      </w:r>
      <w:r w:rsidR="002911F2">
        <w:fldChar w:fldCharType="begin" w:fldLock="1"/>
      </w:r>
      <w:r w:rsidR="00DF0B67">
        <w:instrText>ADDIN CSL_CITATION {"citationItems":[{"id":"ITEM-1","itemData":{"DOI":"10.1016/J.JBIOTEC.2022.09.004","ISSN":"01681656","author":[{"dropping-particle":"","family":"Onkokesung","given":"Nawaporn","non-dropping-particle":"","parse-names":false,"suffix":""},{"dropping-particle":"","family":"Brazier-Hicks","given":"Melissa","non-dropping-particle":"","parse-names":false,"suffix":""},{"dropping-particle":"","family":"Tetard-Jones","given":"Catherine","non-dropping-particle":"","parse-names":false,"suffix":""},{"dropping-particle":"","family":"Bentham","given":"Andrew","non-dropping-particle":"","parse-names":false,"suffix":""},{"dropping-particle":"","family":"Edwards","given":"Robert","non-dropping-particle":"","parse-names":false,"suffix":""}],"container-title":"Journal of Biotechnology","id":"ITEM-1","issued":{"date-parts":[["2022","11"]]},"page":"64-66","title":"Molecular diagnostics for real-time determination of herbicide resistance in wild grasses","type":"article-journal","volume":"358"},"uris":["http://www.mendeley.com/documents/?uuid=2ae3bcc2-7999-3797-965a-19badd523a3b"]}],"mendeley":{"formattedCitation":"&lt;sup&gt;31&lt;/sup&gt;","plainTextFormattedCitation":"31","previouslyFormattedCitation":"&lt;sup&gt;31&lt;/sup&gt;"},"properties":{"noteIndex":0},"schema":"https://github.com/citation-style-language/schema/raw/master/csl-citation.json"}</w:instrText>
      </w:r>
      <w:r w:rsidR="002911F2">
        <w:fldChar w:fldCharType="separate"/>
      </w:r>
      <w:r w:rsidR="00085D8D" w:rsidRPr="00085D8D">
        <w:rPr>
          <w:noProof/>
          <w:vertAlign w:val="superscript"/>
        </w:rPr>
        <w:t>31</w:t>
      </w:r>
      <w:r w:rsidR="002911F2">
        <w:fldChar w:fldCharType="end"/>
      </w:r>
      <w:r w:rsidR="002911F2">
        <w:t>.</w:t>
      </w:r>
      <w:r w:rsidR="00606299">
        <w:t xml:space="preserve"> While the introduction of a new MOA is encouraging for growers, it is imperative that </w:t>
      </w:r>
      <w:r w:rsidR="00D65353">
        <w:t>its use is advocated within an integrated weed management (IWM) framework, to minimise selection, and ensure effective and pro-active stewardship of this new active.</w:t>
      </w:r>
    </w:p>
    <w:p w14:paraId="4DA6AEC2" w14:textId="77777777" w:rsidR="00085D8D" w:rsidRDefault="00085D8D" w:rsidP="00B56E00">
      <w:pPr>
        <w:spacing w:line="360" w:lineRule="auto"/>
      </w:pPr>
    </w:p>
    <w:p w14:paraId="6B7D5B89" w14:textId="77777777" w:rsidR="00085D8D" w:rsidRPr="00085D8D" w:rsidRDefault="00085D8D" w:rsidP="00B56E00">
      <w:pPr>
        <w:spacing w:line="360" w:lineRule="auto"/>
        <w:rPr>
          <w:b/>
          <w:bCs/>
          <w:u w:val="single"/>
        </w:rPr>
      </w:pPr>
      <w:r w:rsidRPr="00085D8D">
        <w:rPr>
          <w:b/>
          <w:bCs/>
          <w:u w:val="single"/>
        </w:rPr>
        <w:t>Acknowledgments</w:t>
      </w:r>
    </w:p>
    <w:p w14:paraId="03D32A81" w14:textId="4E278509" w:rsidR="00085D8D" w:rsidRDefault="00085D8D" w:rsidP="00B56E00">
      <w:pPr>
        <w:spacing w:line="360" w:lineRule="auto"/>
      </w:pPr>
      <w:r>
        <w:t>The study was conducted with the financial support of BASF</w:t>
      </w:r>
      <w:r w:rsidR="00295D46">
        <w:t>. The field blackgrass populations studied were originally collected with funding from the Biotechnology and Biological Sciences Research Council (BBSRC; BB/L001489/1) and the Agriculture and Horticulture Development Board (AHDB). DC, PN, RH and LC were also supported by the Smart Crop Protection (SCP) strategic programme (BBS/OS/CP/000001), funded through the Biotechnology and Biological Sciences Research Council's Industrial Strategy Challenge Fund</w:t>
      </w:r>
      <w:bookmarkStart w:id="8" w:name="_Hlk158036600"/>
      <w:r w:rsidR="001E2433" w:rsidRPr="001E2433">
        <w:t xml:space="preserve">, </w:t>
      </w:r>
      <w:r w:rsidR="001E2433" w:rsidRPr="001E2433">
        <w:rPr>
          <w:rFonts w:ascii="Aptos" w:hAnsi="Aptos"/>
          <w:color w:val="000000"/>
          <w:shd w:val="clear" w:color="auto" w:fill="FFFFFF"/>
        </w:rPr>
        <w:t>with DC, RH and LC currently supported through the BBSRC “Growing Health” (BB/X010953/1) Institute Strategic Programme.</w:t>
      </w:r>
      <w:bookmarkEnd w:id="8"/>
    </w:p>
    <w:p w14:paraId="4F44671D" w14:textId="77777777" w:rsidR="00295D46" w:rsidRDefault="00295D46" w:rsidP="00B56E00">
      <w:pPr>
        <w:spacing w:line="360" w:lineRule="auto"/>
      </w:pPr>
    </w:p>
    <w:p w14:paraId="33D5DD01" w14:textId="77777777" w:rsidR="00085D8D" w:rsidRPr="00085D8D" w:rsidRDefault="00085D8D" w:rsidP="00B56E00">
      <w:pPr>
        <w:spacing w:line="360" w:lineRule="auto"/>
        <w:rPr>
          <w:b/>
          <w:bCs/>
          <w:u w:val="single"/>
        </w:rPr>
      </w:pPr>
      <w:r w:rsidRPr="00085D8D">
        <w:rPr>
          <w:b/>
          <w:bCs/>
          <w:u w:val="single"/>
        </w:rPr>
        <w:t xml:space="preserve">Conflict of Interest </w:t>
      </w:r>
    </w:p>
    <w:p w14:paraId="5DEDA1B0" w14:textId="476E7BF2" w:rsidR="001B5704" w:rsidRDefault="000C44F7" w:rsidP="00B56E00">
      <w:pPr>
        <w:spacing w:line="360" w:lineRule="auto"/>
      </w:pPr>
      <w:r>
        <w:t xml:space="preserve">The study was conducted with the financial support of BASF. </w:t>
      </w:r>
      <w:r w:rsidR="00085D8D">
        <w:t>Authors BS and SK are employees of BASF, which manufactures and sells cinmethylin</w:t>
      </w:r>
      <w:r w:rsidR="001B5704">
        <w:br w:type="page"/>
      </w:r>
    </w:p>
    <w:p w14:paraId="1908E533" w14:textId="474478AA" w:rsidR="001B5704" w:rsidRPr="001B5704" w:rsidRDefault="001B5704" w:rsidP="00872A99">
      <w:pPr>
        <w:rPr>
          <w:b/>
          <w:bCs/>
          <w:u w:val="single"/>
        </w:rPr>
      </w:pPr>
      <w:r w:rsidRPr="001B5704">
        <w:rPr>
          <w:b/>
          <w:bCs/>
          <w:u w:val="single"/>
        </w:rPr>
        <w:lastRenderedPageBreak/>
        <w:t>References</w:t>
      </w:r>
    </w:p>
    <w:p w14:paraId="5D25BE12" w14:textId="60C509E1" w:rsidR="00DF0B67" w:rsidRPr="00DF0B67" w:rsidRDefault="001B5704" w:rsidP="00DF0B67">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00DF0B67" w:rsidRPr="00DF0B67">
        <w:rPr>
          <w:rFonts w:ascii="Calibri" w:hAnsi="Calibri" w:cs="Calibri"/>
          <w:noProof/>
          <w:szCs w:val="24"/>
        </w:rPr>
        <w:t>1</w:t>
      </w:r>
      <w:r w:rsidR="00DF0B67" w:rsidRPr="00DF0B67">
        <w:rPr>
          <w:rFonts w:ascii="Calibri" w:hAnsi="Calibri" w:cs="Calibri"/>
          <w:noProof/>
          <w:szCs w:val="24"/>
        </w:rPr>
        <w:tab/>
        <w:t>Heap I, The International Herbicide-Resistant Weed Database. www.weedscience.org [accessed 22 September 2022].</w:t>
      </w:r>
    </w:p>
    <w:p w14:paraId="0BF9AC62"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w:t>
      </w:r>
      <w:r w:rsidRPr="00DF0B67">
        <w:rPr>
          <w:rFonts w:ascii="Calibri" w:hAnsi="Calibri" w:cs="Calibri"/>
          <w:noProof/>
          <w:szCs w:val="24"/>
        </w:rPr>
        <w:tab/>
        <w:t xml:space="preserve">Duke SO, Why have no new herbicide modes of action appeared in recent years?,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68</w:t>
      </w:r>
      <w:r w:rsidRPr="00DF0B67">
        <w:rPr>
          <w:rFonts w:ascii="Calibri" w:hAnsi="Calibri" w:cs="Calibri"/>
          <w:noProof/>
          <w:szCs w:val="24"/>
        </w:rPr>
        <w:t>:505–512 (2012).</w:t>
      </w:r>
    </w:p>
    <w:p w14:paraId="0456D80A"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3</w:t>
      </w:r>
      <w:r w:rsidRPr="00DF0B67">
        <w:rPr>
          <w:rFonts w:ascii="Calibri" w:hAnsi="Calibri" w:cs="Calibri"/>
          <w:noProof/>
          <w:szCs w:val="24"/>
        </w:rPr>
        <w:tab/>
        <w:t xml:space="preserve">Campe R, Hollenbach E, Kämmerer L, Hendriks J, Höffken HW, Kraus H, </w:t>
      </w:r>
      <w:r w:rsidRPr="00DF0B67">
        <w:rPr>
          <w:rFonts w:ascii="Calibri" w:hAnsi="Calibri" w:cs="Calibri"/>
          <w:i/>
          <w:iCs/>
          <w:noProof/>
          <w:szCs w:val="24"/>
        </w:rPr>
        <w:t>et al.</w:t>
      </w:r>
      <w:r w:rsidRPr="00DF0B67">
        <w:rPr>
          <w:rFonts w:ascii="Calibri" w:hAnsi="Calibri" w:cs="Calibri"/>
          <w:noProof/>
          <w:szCs w:val="24"/>
        </w:rPr>
        <w:t xml:space="preserve">, A new herbicidal site of action: Cinmethylin binds to acyl-ACP thioesterase and inhibits plant fatty acid biosynthesis, </w:t>
      </w:r>
      <w:r w:rsidRPr="00DF0B67">
        <w:rPr>
          <w:rFonts w:ascii="Calibri" w:hAnsi="Calibri" w:cs="Calibri"/>
          <w:i/>
          <w:iCs/>
          <w:noProof/>
          <w:szCs w:val="24"/>
        </w:rPr>
        <w:t>Pestic Biochem Physiol</w:t>
      </w:r>
      <w:r w:rsidRPr="00DF0B67">
        <w:rPr>
          <w:rFonts w:ascii="Calibri" w:hAnsi="Calibri" w:cs="Calibri"/>
          <w:noProof/>
          <w:szCs w:val="24"/>
        </w:rPr>
        <w:t xml:space="preserve"> </w:t>
      </w:r>
      <w:r w:rsidRPr="00DF0B67">
        <w:rPr>
          <w:rFonts w:ascii="Calibri" w:hAnsi="Calibri" w:cs="Calibri"/>
          <w:b/>
          <w:bCs/>
          <w:noProof/>
          <w:szCs w:val="24"/>
        </w:rPr>
        <w:t>148</w:t>
      </w:r>
      <w:r w:rsidRPr="00DF0B67">
        <w:rPr>
          <w:rFonts w:ascii="Calibri" w:hAnsi="Calibri" w:cs="Calibri"/>
          <w:noProof/>
          <w:szCs w:val="24"/>
        </w:rPr>
        <w:t>:116–125, Academic Press (2018).</w:t>
      </w:r>
    </w:p>
    <w:p w14:paraId="12AAA019"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4</w:t>
      </w:r>
      <w:r w:rsidRPr="00DF0B67">
        <w:rPr>
          <w:rFonts w:ascii="Calibri" w:hAnsi="Calibri" w:cs="Calibri"/>
          <w:noProof/>
          <w:szCs w:val="24"/>
        </w:rPr>
        <w:tab/>
        <w:t xml:space="preserve">Bajsa J, Pan Z, Dayan FE, Owens DK, and Duke SO, Validation of serine/threonine protein phosphatase as the herbicide target site of endothall, </w:t>
      </w:r>
      <w:r w:rsidRPr="00DF0B67">
        <w:rPr>
          <w:rFonts w:ascii="Calibri" w:hAnsi="Calibri" w:cs="Calibri"/>
          <w:i/>
          <w:iCs/>
          <w:noProof/>
          <w:szCs w:val="24"/>
        </w:rPr>
        <w:t>Pestic Biochem Physiol</w:t>
      </w:r>
      <w:r w:rsidRPr="00DF0B67">
        <w:rPr>
          <w:rFonts w:ascii="Calibri" w:hAnsi="Calibri" w:cs="Calibri"/>
          <w:noProof/>
          <w:szCs w:val="24"/>
        </w:rPr>
        <w:t xml:space="preserve"> </w:t>
      </w:r>
      <w:r w:rsidRPr="00DF0B67">
        <w:rPr>
          <w:rFonts w:ascii="Calibri" w:hAnsi="Calibri" w:cs="Calibri"/>
          <w:b/>
          <w:bCs/>
          <w:noProof/>
          <w:szCs w:val="24"/>
        </w:rPr>
        <w:t>102</w:t>
      </w:r>
      <w:r w:rsidRPr="00DF0B67">
        <w:rPr>
          <w:rFonts w:ascii="Calibri" w:hAnsi="Calibri" w:cs="Calibri"/>
          <w:noProof/>
          <w:szCs w:val="24"/>
        </w:rPr>
        <w:t>:38–44, Academic Press (2012).</w:t>
      </w:r>
    </w:p>
    <w:p w14:paraId="36CC95DB"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5</w:t>
      </w:r>
      <w:r w:rsidRPr="00DF0B67">
        <w:rPr>
          <w:rFonts w:ascii="Calibri" w:hAnsi="Calibri" w:cs="Calibri"/>
          <w:noProof/>
          <w:szCs w:val="24"/>
        </w:rPr>
        <w:tab/>
        <w:t xml:space="preserve">Kahlau S, Schröder F, Freigang J, Laber B, Lange G, Passon D, </w:t>
      </w:r>
      <w:r w:rsidRPr="00DF0B67">
        <w:rPr>
          <w:rFonts w:ascii="Calibri" w:hAnsi="Calibri" w:cs="Calibri"/>
          <w:i/>
          <w:iCs/>
          <w:noProof/>
          <w:szCs w:val="24"/>
        </w:rPr>
        <w:t>et al.</w:t>
      </w:r>
      <w:r w:rsidRPr="00DF0B67">
        <w:rPr>
          <w:rFonts w:ascii="Calibri" w:hAnsi="Calibri" w:cs="Calibri"/>
          <w:noProof/>
          <w:szCs w:val="24"/>
        </w:rPr>
        <w:t xml:space="preserve">, Aclonifen targets solanesyl diphosphate synthase, representing a novel mode of action for herbicides,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76</w:t>
      </w:r>
      <w:r w:rsidRPr="00DF0B67">
        <w:rPr>
          <w:rFonts w:ascii="Calibri" w:hAnsi="Calibri" w:cs="Calibri"/>
          <w:noProof/>
          <w:szCs w:val="24"/>
        </w:rPr>
        <w:t>:3377–3388, John Wiley and Sons Ltd (2020).</w:t>
      </w:r>
    </w:p>
    <w:p w14:paraId="619DC3EE"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6</w:t>
      </w:r>
      <w:r w:rsidRPr="00DF0B67">
        <w:rPr>
          <w:rFonts w:ascii="Calibri" w:hAnsi="Calibri" w:cs="Calibri"/>
          <w:noProof/>
          <w:szCs w:val="24"/>
        </w:rPr>
        <w:tab/>
        <w:t xml:space="preserve">Grayson BT, Williams KS, Freehauf PA, Pease RR, Ziesel WT, Sereno RL, </w:t>
      </w:r>
      <w:r w:rsidRPr="00DF0B67">
        <w:rPr>
          <w:rFonts w:ascii="Calibri" w:hAnsi="Calibri" w:cs="Calibri"/>
          <w:i/>
          <w:iCs/>
          <w:noProof/>
          <w:szCs w:val="24"/>
        </w:rPr>
        <w:t>et al.</w:t>
      </w:r>
      <w:r w:rsidRPr="00DF0B67">
        <w:rPr>
          <w:rFonts w:ascii="Calibri" w:hAnsi="Calibri" w:cs="Calibri"/>
          <w:noProof/>
          <w:szCs w:val="24"/>
        </w:rPr>
        <w:t xml:space="preserve">, The physical and chemical properties of the herbicide cinmethylin (SD 95481), </w:t>
      </w:r>
      <w:r w:rsidRPr="00DF0B67">
        <w:rPr>
          <w:rFonts w:ascii="Calibri" w:hAnsi="Calibri" w:cs="Calibri"/>
          <w:i/>
          <w:iCs/>
          <w:noProof/>
          <w:szCs w:val="24"/>
        </w:rPr>
        <w:t>Pestic Sci</w:t>
      </w:r>
      <w:r w:rsidRPr="00DF0B67">
        <w:rPr>
          <w:rFonts w:ascii="Calibri" w:hAnsi="Calibri" w:cs="Calibri"/>
          <w:noProof/>
          <w:szCs w:val="24"/>
        </w:rPr>
        <w:t xml:space="preserve"> </w:t>
      </w:r>
      <w:r w:rsidRPr="00DF0B67">
        <w:rPr>
          <w:rFonts w:ascii="Calibri" w:hAnsi="Calibri" w:cs="Calibri"/>
          <w:b/>
          <w:bCs/>
          <w:noProof/>
          <w:szCs w:val="24"/>
        </w:rPr>
        <w:t>21</w:t>
      </w:r>
      <w:r w:rsidRPr="00DF0B67">
        <w:rPr>
          <w:rFonts w:ascii="Calibri" w:hAnsi="Calibri" w:cs="Calibri"/>
          <w:noProof/>
          <w:szCs w:val="24"/>
        </w:rPr>
        <w:t>:143–153, John Wiley &amp; Sons, Ltd (1987).</w:t>
      </w:r>
    </w:p>
    <w:p w14:paraId="7C726556"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7</w:t>
      </w:r>
      <w:r w:rsidRPr="00DF0B67">
        <w:rPr>
          <w:rFonts w:ascii="Calibri" w:hAnsi="Calibri" w:cs="Calibri"/>
          <w:noProof/>
          <w:szCs w:val="24"/>
        </w:rPr>
        <w:tab/>
        <w:t>Dayan FE, Romagni JG, and Duke SO, Herbicides, Cinmethylin, Encyclopedia of Agrochemicals, John Wiley &amp; Sons, Ltd (2003).</w:t>
      </w:r>
    </w:p>
    <w:p w14:paraId="4BA69950"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8</w:t>
      </w:r>
      <w:r w:rsidRPr="00DF0B67">
        <w:rPr>
          <w:rFonts w:ascii="Calibri" w:hAnsi="Calibri" w:cs="Calibri"/>
          <w:noProof/>
          <w:szCs w:val="24"/>
        </w:rPr>
        <w:tab/>
        <w:t>Petit C, Bay G, Pernin F, and Délye C, Prevalence of cross- or multiple resistance to the acetyl-coenzyme a carboxylase inhibitors fenoxaprop, clodinafop and pinoxaden in black-grass (</w:t>
      </w:r>
      <w:r w:rsidRPr="00DF0B67">
        <w:rPr>
          <w:rFonts w:ascii="Calibri" w:hAnsi="Calibri" w:cs="Calibri"/>
          <w:i/>
          <w:iCs/>
          <w:noProof/>
          <w:szCs w:val="24"/>
        </w:rPr>
        <w:t>Alopecurus myosuroides</w:t>
      </w:r>
      <w:r w:rsidRPr="00DF0B67">
        <w:rPr>
          <w:rFonts w:ascii="Calibri" w:hAnsi="Calibri" w:cs="Calibri"/>
          <w:noProof/>
          <w:szCs w:val="24"/>
        </w:rPr>
        <w:t xml:space="preserve"> Huds.) in France,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66</w:t>
      </w:r>
      <w:r w:rsidRPr="00DF0B67">
        <w:rPr>
          <w:rFonts w:ascii="Calibri" w:hAnsi="Calibri" w:cs="Calibri"/>
          <w:noProof/>
          <w:szCs w:val="24"/>
        </w:rPr>
        <w:t>:168–177, Wiley-Blackwell (2010).</w:t>
      </w:r>
    </w:p>
    <w:p w14:paraId="515482AE"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9</w:t>
      </w:r>
      <w:r w:rsidRPr="00DF0B67">
        <w:rPr>
          <w:rFonts w:ascii="Calibri" w:hAnsi="Calibri" w:cs="Calibri"/>
          <w:noProof/>
          <w:szCs w:val="24"/>
        </w:rPr>
        <w:tab/>
        <w:t xml:space="preserve">Yasuor H, Milan M, Eckert JW, and Fischer AJ, Quinclorac resistance: A concerted hormonal and enzymatic effort in Echinochloa phyllopogon,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68</w:t>
      </w:r>
      <w:r w:rsidRPr="00DF0B67">
        <w:rPr>
          <w:rFonts w:ascii="Calibri" w:hAnsi="Calibri" w:cs="Calibri"/>
          <w:noProof/>
          <w:szCs w:val="24"/>
        </w:rPr>
        <w:t>:108–115, John Wiley &amp; Sons, Ltd (2012).</w:t>
      </w:r>
    </w:p>
    <w:p w14:paraId="32262747"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10</w:t>
      </w:r>
      <w:r w:rsidRPr="00DF0B67">
        <w:rPr>
          <w:rFonts w:ascii="Calibri" w:hAnsi="Calibri" w:cs="Calibri"/>
          <w:noProof/>
          <w:szCs w:val="24"/>
        </w:rPr>
        <w:tab/>
        <w:t xml:space="preserve">Délye C, Gardin JAC, Boucansaud K, Chauvel B, and Petit C, Non-target-site-based resistance should be the centre of attention for herbicide resistance research: </w:t>
      </w:r>
      <w:r w:rsidRPr="00DF0B67">
        <w:rPr>
          <w:rFonts w:ascii="Calibri" w:hAnsi="Calibri" w:cs="Calibri"/>
          <w:i/>
          <w:iCs/>
          <w:noProof/>
          <w:szCs w:val="24"/>
        </w:rPr>
        <w:t>Alopecurus myosuroides</w:t>
      </w:r>
      <w:r w:rsidRPr="00DF0B67">
        <w:rPr>
          <w:rFonts w:ascii="Calibri" w:hAnsi="Calibri" w:cs="Calibri"/>
          <w:noProof/>
          <w:szCs w:val="24"/>
        </w:rPr>
        <w:t xml:space="preserve"> as an illustration, </w:t>
      </w:r>
      <w:r w:rsidRPr="00DF0B67">
        <w:rPr>
          <w:rFonts w:ascii="Calibri" w:hAnsi="Calibri" w:cs="Calibri"/>
          <w:i/>
          <w:iCs/>
          <w:noProof/>
          <w:szCs w:val="24"/>
        </w:rPr>
        <w:t>Weed Res</w:t>
      </w:r>
      <w:r w:rsidRPr="00DF0B67">
        <w:rPr>
          <w:rFonts w:ascii="Calibri" w:hAnsi="Calibri" w:cs="Calibri"/>
          <w:noProof/>
          <w:szCs w:val="24"/>
        </w:rPr>
        <w:t xml:space="preserve"> </w:t>
      </w:r>
      <w:r w:rsidRPr="00DF0B67">
        <w:rPr>
          <w:rFonts w:ascii="Calibri" w:hAnsi="Calibri" w:cs="Calibri"/>
          <w:b/>
          <w:bCs/>
          <w:noProof/>
          <w:szCs w:val="24"/>
        </w:rPr>
        <w:t>51</w:t>
      </w:r>
      <w:r w:rsidRPr="00DF0B67">
        <w:rPr>
          <w:rFonts w:ascii="Calibri" w:hAnsi="Calibri" w:cs="Calibri"/>
          <w:noProof/>
          <w:szCs w:val="24"/>
        </w:rPr>
        <w:t>:433–437, Wiley/Blackwell (10.1111) (2011).</w:t>
      </w:r>
    </w:p>
    <w:p w14:paraId="7CBD8F01"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11</w:t>
      </w:r>
      <w:r w:rsidRPr="00DF0B67">
        <w:rPr>
          <w:rFonts w:ascii="Calibri" w:hAnsi="Calibri" w:cs="Calibri"/>
          <w:noProof/>
          <w:szCs w:val="24"/>
        </w:rPr>
        <w:tab/>
        <w:t xml:space="preserve">Yu Q and Powles S, Metabolism-based herbicide resistance and cross-resistance in crop weeds: A threat to herbicide sustainability and global crop production 1, </w:t>
      </w:r>
      <w:r w:rsidRPr="00DF0B67">
        <w:rPr>
          <w:rFonts w:ascii="Calibri" w:hAnsi="Calibri" w:cs="Calibri"/>
          <w:i/>
          <w:iCs/>
          <w:noProof/>
          <w:szCs w:val="24"/>
        </w:rPr>
        <w:t>Plant Physiol</w:t>
      </w:r>
      <w:r w:rsidRPr="00DF0B67">
        <w:rPr>
          <w:rFonts w:ascii="Calibri" w:hAnsi="Calibri" w:cs="Calibri"/>
          <w:noProof/>
          <w:szCs w:val="24"/>
        </w:rPr>
        <w:t xml:space="preserve"> </w:t>
      </w:r>
      <w:r w:rsidRPr="00DF0B67">
        <w:rPr>
          <w:rFonts w:ascii="Calibri" w:hAnsi="Calibri" w:cs="Calibri"/>
          <w:b/>
          <w:bCs/>
          <w:noProof/>
          <w:szCs w:val="24"/>
        </w:rPr>
        <w:t>166</w:t>
      </w:r>
      <w:r w:rsidRPr="00DF0B67">
        <w:rPr>
          <w:rFonts w:ascii="Calibri" w:hAnsi="Calibri" w:cs="Calibri"/>
          <w:noProof/>
          <w:szCs w:val="24"/>
        </w:rPr>
        <w:t>:1106–1118 (2014).</w:t>
      </w:r>
    </w:p>
    <w:p w14:paraId="0F240CC2"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12</w:t>
      </w:r>
      <w:r w:rsidRPr="00DF0B67">
        <w:rPr>
          <w:rFonts w:ascii="Calibri" w:hAnsi="Calibri" w:cs="Calibri"/>
          <w:noProof/>
          <w:szCs w:val="24"/>
        </w:rPr>
        <w:tab/>
        <w:t xml:space="preserve">Han H, Yu Q, Beffa R, González S, Maiwald F, Wang J, </w:t>
      </w:r>
      <w:r w:rsidRPr="00DF0B67">
        <w:rPr>
          <w:rFonts w:ascii="Calibri" w:hAnsi="Calibri" w:cs="Calibri"/>
          <w:i/>
          <w:iCs/>
          <w:noProof/>
          <w:szCs w:val="24"/>
        </w:rPr>
        <w:t>et al.</w:t>
      </w:r>
      <w:r w:rsidRPr="00DF0B67">
        <w:rPr>
          <w:rFonts w:ascii="Calibri" w:hAnsi="Calibri" w:cs="Calibri"/>
          <w:noProof/>
          <w:szCs w:val="24"/>
        </w:rPr>
        <w:t xml:space="preserve">, Cytochrome P450 CYP81A10v7 in </w:t>
      </w:r>
      <w:r w:rsidRPr="00DF0B67">
        <w:rPr>
          <w:rFonts w:ascii="Calibri" w:hAnsi="Calibri" w:cs="Calibri"/>
          <w:i/>
          <w:iCs/>
          <w:noProof/>
          <w:szCs w:val="24"/>
        </w:rPr>
        <w:t>Lolium rigidum</w:t>
      </w:r>
      <w:r w:rsidRPr="00DF0B67">
        <w:rPr>
          <w:rFonts w:ascii="Calibri" w:hAnsi="Calibri" w:cs="Calibri"/>
          <w:noProof/>
          <w:szCs w:val="24"/>
        </w:rPr>
        <w:t xml:space="preserve"> confers metabolic resistance to herbicides across at least five modes of action, </w:t>
      </w:r>
      <w:r w:rsidRPr="00DF0B67">
        <w:rPr>
          <w:rFonts w:ascii="Calibri" w:hAnsi="Calibri" w:cs="Calibri"/>
          <w:i/>
          <w:iCs/>
          <w:noProof/>
          <w:szCs w:val="24"/>
        </w:rPr>
        <w:t>Plant J</w:t>
      </w:r>
      <w:r w:rsidRPr="00DF0B67">
        <w:rPr>
          <w:rFonts w:ascii="Calibri" w:hAnsi="Calibri" w:cs="Calibri"/>
          <w:noProof/>
          <w:szCs w:val="24"/>
        </w:rPr>
        <w:t xml:space="preserve"> </w:t>
      </w:r>
      <w:r w:rsidRPr="00DF0B67">
        <w:rPr>
          <w:rFonts w:ascii="Calibri" w:hAnsi="Calibri" w:cs="Calibri"/>
          <w:b/>
          <w:bCs/>
          <w:noProof/>
          <w:szCs w:val="24"/>
        </w:rPr>
        <w:t>105</w:t>
      </w:r>
      <w:r w:rsidRPr="00DF0B67">
        <w:rPr>
          <w:rFonts w:ascii="Calibri" w:hAnsi="Calibri" w:cs="Calibri"/>
          <w:noProof/>
          <w:szCs w:val="24"/>
        </w:rPr>
        <w:t>:79–92, Blackwell Publishing Ltd (2021).</w:t>
      </w:r>
    </w:p>
    <w:p w14:paraId="750A1776"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13</w:t>
      </w:r>
      <w:r w:rsidRPr="00DF0B67">
        <w:rPr>
          <w:rFonts w:ascii="Calibri" w:hAnsi="Calibri" w:cs="Calibri"/>
          <w:noProof/>
          <w:szCs w:val="24"/>
        </w:rPr>
        <w:tab/>
        <w:t xml:space="preserve">Goggin DE, Cawthray GR, Busi R, Porri A, and Beckie HJ, Enhanced production of water-soluble cinmethylin metabolites by Lolium rigidum populations with reduced cinmethylin sensitivity,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78</w:t>
      </w:r>
      <w:r w:rsidRPr="00DF0B67">
        <w:rPr>
          <w:rFonts w:ascii="Calibri" w:hAnsi="Calibri" w:cs="Calibri"/>
          <w:noProof/>
          <w:szCs w:val="24"/>
        </w:rPr>
        <w:t>:3173–3182, John Wiley &amp; Sons, Ltd (2022).</w:t>
      </w:r>
    </w:p>
    <w:p w14:paraId="1F32F16C"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14</w:t>
      </w:r>
      <w:r w:rsidRPr="00DF0B67">
        <w:rPr>
          <w:rFonts w:ascii="Calibri" w:hAnsi="Calibri" w:cs="Calibri"/>
          <w:noProof/>
          <w:szCs w:val="24"/>
        </w:rPr>
        <w:tab/>
        <w:t xml:space="preserve">Varah A, Ahodo K, Coutts SR, Hicks HL, Comont D, Crook L, </w:t>
      </w:r>
      <w:r w:rsidRPr="00DF0B67">
        <w:rPr>
          <w:rFonts w:ascii="Calibri" w:hAnsi="Calibri" w:cs="Calibri"/>
          <w:i/>
          <w:iCs/>
          <w:noProof/>
          <w:szCs w:val="24"/>
        </w:rPr>
        <w:t>et al.</w:t>
      </w:r>
      <w:r w:rsidRPr="00DF0B67">
        <w:rPr>
          <w:rFonts w:ascii="Calibri" w:hAnsi="Calibri" w:cs="Calibri"/>
          <w:noProof/>
          <w:szCs w:val="24"/>
        </w:rPr>
        <w:t xml:space="preserve">, The costs of human-induced evolution in an agricultural system, </w:t>
      </w:r>
      <w:r w:rsidRPr="00DF0B67">
        <w:rPr>
          <w:rFonts w:ascii="Calibri" w:hAnsi="Calibri" w:cs="Calibri"/>
          <w:i/>
          <w:iCs/>
          <w:noProof/>
          <w:szCs w:val="24"/>
        </w:rPr>
        <w:t>Nat Sustain</w:t>
      </w:r>
      <w:r w:rsidRPr="00DF0B67">
        <w:rPr>
          <w:rFonts w:ascii="Calibri" w:hAnsi="Calibri" w:cs="Calibri"/>
          <w:noProof/>
          <w:szCs w:val="24"/>
        </w:rPr>
        <w:t xml:space="preserve"> </w:t>
      </w:r>
      <w:r w:rsidRPr="00DF0B67">
        <w:rPr>
          <w:rFonts w:ascii="Calibri" w:hAnsi="Calibri" w:cs="Calibri"/>
          <w:b/>
          <w:bCs/>
          <w:noProof/>
          <w:szCs w:val="24"/>
        </w:rPr>
        <w:t>3</w:t>
      </w:r>
      <w:r w:rsidRPr="00DF0B67">
        <w:rPr>
          <w:rFonts w:ascii="Calibri" w:hAnsi="Calibri" w:cs="Calibri"/>
          <w:noProof/>
          <w:szCs w:val="24"/>
        </w:rPr>
        <w:t>:63–71 (2020).</w:t>
      </w:r>
    </w:p>
    <w:p w14:paraId="006470EA"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15</w:t>
      </w:r>
      <w:r w:rsidRPr="00DF0B67">
        <w:rPr>
          <w:rFonts w:ascii="Calibri" w:hAnsi="Calibri" w:cs="Calibri"/>
          <w:noProof/>
          <w:szCs w:val="24"/>
        </w:rPr>
        <w:tab/>
        <w:t xml:space="preserve">Tétard-Jones C, Sabbadin F, Moss S, Hull R, Neve P, and Edwards R, Changes in the proteome of the problem weed blackgrass correlating with multiple-herbicide resistance, </w:t>
      </w:r>
      <w:r w:rsidRPr="00DF0B67">
        <w:rPr>
          <w:rFonts w:ascii="Calibri" w:hAnsi="Calibri" w:cs="Calibri"/>
          <w:i/>
          <w:iCs/>
          <w:noProof/>
          <w:szCs w:val="24"/>
        </w:rPr>
        <w:t>Plant J</w:t>
      </w:r>
      <w:r w:rsidRPr="00DF0B67">
        <w:rPr>
          <w:rFonts w:ascii="Calibri" w:hAnsi="Calibri" w:cs="Calibri"/>
          <w:noProof/>
          <w:szCs w:val="24"/>
        </w:rPr>
        <w:t xml:space="preserve"> </w:t>
      </w:r>
      <w:r w:rsidRPr="00DF0B67">
        <w:rPr>
          <w:rFonts w:ascii="Calibri" w:hAnsi="Calibri" w:cs="Calibri"/>
          <w:b/>
          <w:bCs/>
          <w:noProof/>
          <w:szCs w:val="24"/>
        </w:rPr>
        <w:lastRenderedPageBreak/>
        <w:t>94</w:t>
      </w:r>
      <w:r w:rsidRPr="00DF0B67">
        <w:rPr>
          <w:rFonts w:ascii="Calibri" w:hAnsi="Calibri" w:cs="Calibri"/>
          <w:noProof/>
          <w:szCs w:val="24"/>
        </w:rPr>
        <w:t>:709–720, Wiley/Blackwell (10.1111) (2018).</w:t>
      </w:r>
    </w:p>
    <w:p w14:paraId="284C68B9"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16</w:t>
      </w:r>
      <w:r w:rsidRPr="00DF0B67">
        <w:rPr>
          <w:rFonts w:ascii="Calibri" w:hAnsi="Calibri" w:cs="Calibri"/>
          <w:noProof/>
          <w:szCs w:val="24"/>
        </w:rPr>
        <w:tab/>
        <w:t xml:space="preserve">Cummins I, Wortley DJ, Sabbadin F, He Z, Coxon CR, Straker HE, </w:t>
      </w:r>
      <w:r w:rsidRPr="00DF0B67">
        <w:rPr>
          <w:rFonts w:ascii="Calibri" w:hAnsi="Calibri" w:cs="Calibri"/>
          <w:i/>
          <w:iCs/>
          <w:noProof/>
          <w:szCs w:val="24"/>
        </w:rPr>
        <w:t>et al.</w:t>
      </w:r>
      <w:r w:rsidRPr="00DF0B67">
        <w:rPr>
          <w:rFonts w:ascii="Calibri" w:hAnsi="Calibri" w:cs="Calibri"/>
          <w:noProof/>
          <w:szCs w:val="24"/>
        </w:rPr>
        <w:t xml:space="preserve">, Key role for a glutathione transferase in multiple-herbicide resistance in grass weeds, </w:t>
      </w:r>
      <w:r w:rsidRPr="00DF0B67">
        <w:rPr>
          <w:rFonts w:ascii="Calibri" w:hAnsi="Calibri" w:cs="Calibri"/>
          <w:i/>
          <w:iCs/>
          <w:noProof/>
          <w:szCs w:val="24"/>
        </w:rPr>
        <w:t>Proc Natl Acad Sci</w:t>
      </w:r>
      <w:r w:rsidRPr="00DF0B67">
        <w:rPr>
          <w:rFonts w:ascii="Calibri" w:hAnsi="Calibri" w:cs="Calibri"/>
          <w:noProof/>
          <w:szCs w:val="24"/>
        </w:rPr>
        <w:t xml:space="preserve"> </w:t>
      </w:r>
      <w:r w:rsidRPr="00DF0B67">
        <w:rPr>
          <w:rFonts w:ascii="Calibri" w:hAnsi="Calibri" w:cs="Calibri"/>
          <w:b/>
          <w:bCs/>
          <w:noProof/>
          <w:szCs w:val="24"/>
        </w:rPr>
        <w:t>110</w:t>
      </w:r>
      <w:r w:rsidRPr="00DF0B67">
        <w:rPr>
          <w:rFonts w:ascii="Calibri" w:hAnsi="Calibri" w:cs="Calibri"/>
          <w:noProof/>
          <w:szCs w:val="24"/>
        </w:rPr>
        <w:t>:5812–5817 (2013).</w:t>
      </w:r>
    </w:p>
    <w:p w14:paraId="165A3F07"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17</w:t>
      </w:r>
      <w:r w:rsidRPr="00DF0B67">
        <w:rPr>
          <w:rFonts w:ascii="Calibri" w:hAnsi="Calibri" w:cs="Calibri"/>
          <w:noProof/>
          <w:szCs w:val="24"/>
        </w:rPr>
        <w:tab/>
        <w:t xml:space="preserve">Hicks HL, Comont D, Coutts SR, Crook L, Hull R, Norris K, </w:t>
      </w:r>
      <w:r w:rsidRPr="00DF0B67">
        <w:rPr>
          <w:rFonts w:ascii="Calibri" w:hAnsi="Calibri" w:cs="Calibri"/>
          <w:i/>
          <w:iCs/>
          <w:noProof/>
          <w:szCs w:val="24"/>
        </w:rPr>
        <w:t>et al.</w:t>
      </w:r>
      <w:r w:rsidRPr="00DF0B67">
        <w:rPr>
          <w:rFonts w:ascii="Calibri" w:hAnsi="Calibri" w:cs="Calibri"/>
          <w:noProof/>
          <w:szCs w:val="24"/>
        </w:rPr>
        <w:t xml:space="preserve">, The factors driving evolved herbicide resistance at a national scale, </w:t>
      </w:r>
      <w:r w:rsidRPr="00DF0B67">
        <w:rPr>
          <w:rFonts w:ascii="Calibri" w:hAnsi="Calibri" w:cs="Calibri"/>
          <w:i/>
          <w:iCs/>
          <w:noProof/>
          <w:szCs w:val="24"/>
        </w:rPr>
        <w:t>Nat Ecol Evol</w:t>
      </w:r>
      <w:r w:rsidRPr="00DF0B67">
        <w:rPr>
          <w:rFonts w:ascii="Calibri" w:hAnsi="Calibri" w:cs="Calibri"/>
          <w:noProof/>
          <w:szCs w:val="24"/>
        </w:rPr>
        <w:t xml:space="preserve"> </w:t>
      </w:r>
      <w:r w:rsidRPr="00DF0B67">
        <w:rPr>
          <w:rFonts w:ascii="Calibri" w:hAnsi="Calibri" w:cs="Calibri"/>
          <w:b/>
          <w:bCs/>
          <w:noProof/>
          <w:szCs w:val="24"/>
        </w:rPr>
        <w:t>2</w:t>
      </w:r>
      <w:r w:rsidRPr="00DF0B67">
        <w:rPr>
          <w:rFonts w:ascii="Calibri" w:hAnsi="Calibri" w:cs="Calibri"/>
          <w:noProof/>
          <w:szCs w:val="24"/>
        </w:rPr>
        <w:t>:529–536 (2018).</w:t>
      </w:r>
    </w:p>
    <w:p w14:paraId="1F30ABCA"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18</w:t>
      </w:r>
      <w:r w:rsidRPr="00DF0B67">
        <w:rPr>
          <w:rFonts w:ascii="Calibri" w:hAnsi="Calibri" w:cs="Calibri"/>
          <w:noProof/>
          <w:szCs w:val="24"/>
        </w:rPr>
        <w:tab/>
        <w:t xml:space="preserve">Franco-Ortega S, Goldberg-Cavalleri A, Walker A, Brazier-Hicks M, Onkokesung N, and Edwards R, Non-target Site Herbicide Resistance Is Conferred by Two Distinct Mechanisms in Black-Grass (Alopecurus myosuroides), </w:t>
      </w:r>
      <w:r w:rsidRPr="00DF0B67">
        <w:rPr>
          <w:rFonts w:ascii="Calibri" w:hAnsi="Calibri" w:cs="Calibri"/>
          <w:i/>
          <w:iCs/>
          <w:noProof/>
          <w:szCs w:val="24"/>
        </w:rPr>
        <w:t>Front Plant Sci</w:t>
      </w:r>
      <w:r w:rsidRPr="00DF0B67">
        <w:rPr>
          <w:rFonts w:ascii="Calibri" w:hAnsi="Calibri" w:cs="Calibri"/>
          <w:noProof/>
          <w:szCs w:val="24"/>
        </w:rPr>
        <w:t xml:space="preserve"> </w:t>
      </w:r>
      <w:r w:rsidRPr="00DF0B67">
        <w:rPr>
          <w:rFonts w:ascii="Calibri" w:hAnsi="Calibri" w:cs="Calibri"/>
          <w:b/>
          <w:bCs/>
          <w:noProof/>
          <w:szCs w:val="24"/>
        </w:rPr>
        <w:t>12</w:t>
      </w:r>
      <w:r w:rsidRPr="00DF0B67">
        <w:rPr>
          <w:rFonts w:ascii="Calibri" w:hAnsi="Calibri" w:cs="Calibri"/>
          <w:noProof/>
          <w:szCs w:val="24"/>
        </w:rPr>
        <w:t>:194, Frontiers Media S.A. (2021).</w:t>
      </w:r>
    </w:p>
    <w:p w14:paraId="293B195C"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19</w:t>
      </w:r>
      <w:r w:rsidRPr="00DF0B67">
        <w:rPr>
          <w:rFonts w:ascii="Calibri" w:hAnsi="Calibri" w:cs="Calibri"/>
          <w:noProof/>
          <w:szCs w:val="24"/>
        </w:rPr>
        <w:tab/>
        <w:t xml:space="preserve">Moss S, Black-grass (Alopecurus myosuroides): Why has this weed become such a problem in western europe and what are the solutions?, </w:t>
      </w:r>
      <w:r w:rsidRPr="00DF0B67">
        <w:rPr>
          <w:rFonts w:ascii="Calibri" w:hAnsi="Calibri" w:cs="Calibri"/>
          <w:i/>
          <w:iCs/>
          <w:noProof/>
          <w:szCs w:val="24"/>
        </w:rPr>
        <w:t>Outlooks Pest Manag</w:t>
      </w:r>
      <w:r w:rsidRPr="00DF0B67">
        <w:rPr>
          <w:rFonts w:ascii="Calibri" w:hAnsi="Calibri" w:cs="Calibri"/>
          <w:noProof/>
          <w:szCs w:val="24"/>
        </w:rPr>
        <w:t xml:space="preserve"> </w:t>
      </w:r>
      <w:r w:rsidRPr="00DF0B67">
        <w:rPr>
          <w:rFonts w:ascii="Calibri" w:hAnsi="Calibri" w:cs="Calibri"/>
          <w:b/>
          <w:bCs/>
          <w:noProof/>
          <w:szCs w:val="24"/>
        </w:rPr>
        <w:t>28</w:t>
      </w:r>
      <w:r w:rsidRPr="00DF0B67">
        <w:rPr>
          <w:rFonts w:ascii="Calibri" w:hAnsi="Calibri" w:cs="Calibri"/>
          <w:noProof/>
          <w:szCs w:val="24"/>
        </w:rPr>
        <w:t>:207–212, Research Information (2017).</w:t>
      </w:r>
    </w:p>
    <w:p w14:paraId="5B48A201"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20</w:t>
      </w:r>
      <w:r w:rsidRPr="00DF0B67">
        <w:rPr>
          <w:rFonts w:ascii="Calibri" w:hAnsi="Calibri" w:cs="Calibri"/>
          <w:noProof/>
          <w:szCs w:val="24"/>
        </w:rPr>
        <w:tab/>
        <w:t xml:space="preserve">Moss S, Ulber L, and Hoed I den, A herbicide resistance risk matrix, </w:t>
      </w:r>
      <w:r w:rsidRPr="00DF0B67">
        <w:rPr>
          <w:rFonts w:ascii="Calibri" w:hAnsi="Calibri" w:cs="Calibri"/>
          <w:i/>
          <w:iCs/>
          <w:noProof/>
          <w:szCs w:val="24"/>
        </w:rPr>
        <w:t>Crop Prot</w:t>
      </w:r>
      <w:r w:rsidRPr="00DF0B67">
        <w:rPr>
          <w:rFonts w:ascii="Calibri" w:hAnsi="Calibri" w:cs="Calibri"/>
          <w:noProof/>
          <w:szCs w:val="24"/>
        </w:rPr>
        <w:t xml:space="preserve"> </w:t>
      </w:r>
      <w:r w:rsidRPr="00DF0B67">
        <w:rPr>
          <w:rFonts w:ascii="Calibri" w:hAnsi="Calibri" w:cs="Calibri"/>
          <w:b/>
          <w:bCs/>
          <w:noProof/>
          <w:szCs w:val="24"/>
        </w:rPr>
        <w:t>115</w:t>
      </w:r>
      <w:r w:rsidRPr="00DF0B67">
        <w:rPr>
          <w:rFonts w:ascii="Calibri" w:hAnsi="Calibri" w:cs="Calibri"/>
          <w:noProof/>
          <w:szCs w:val="24"/>
        </w:rPr>
        <w:t>:13–19, Elsevier Ltd (2019).</w:t>
      </w:r>
    </w:p>
    <w:p w14:paraId="0C7BFA6D"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21</w:t>
      </w:r>
      <w:r w:rsidRPr="00DF0B67">
        <w:rPr>
          <w:rFonts w:ascii="Calibri" w:hAnsi="Calibri" w:cs="Calibri"/>
          <w:noProof/>
          <w:szCs w:val="24"/>
        </w:rPr>
        <w:tab/>
        <w:t xml:space="preserve">Dücker R, Zöllner P, Parcharidou E, Ries S, Lorentz L, and Beffa R, Enhanced metabolism causes reduced flufenacet sensitivity in black-grass (Alopecurus myosuroides Huds.) field populations,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75</w:t>
      </w:r>
      <w:r w:rsidRPr="00DF0B67">
        <w:rPr>
          <w:rFonts w:ascii="Calibri" w:hAnsi="Calibri" w:cs="Calibri"/>
          <w:noProof/>
          <w:szCs w:val="24"/>
        </w:rPr>
        <w:t>:2996–3004, John Wiley &amp; Sons, Ltd (2019).</w:t>
      </w:r>
    </w:p>
    <w:p w14:paraId="0B42D6F5"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22</w:t>
      </w:r>
      <w:r w:rsidRPr="00DF0B67">
        <w:rPr>
          <w:rFonts w:ascii="Calibri" w:hAnsi="Calibri" w:cs="Calibri"/>
          <w:noProof/>
          <w:szCs w:val="24"/>
        </w:rPr>
        <w:tab/>
        <w:t xml:space="preserve">Dücker R, Parcharidou E, and Beffa R, Flufenacet activity is affected by GST inhibitors in blackgrass (Alopecurus myosuroides) populations with reduced flufenacet sensitivity and higher expression levels of GSTs, </w:t>
      </w:r>
      <w:r w:rsidRPr="00DF0B67">
        <w:rPr>
          <w:rFonts w:ascii="Calibri" w:hAnsi="Calibri" w:cs="Calibri"/>
          <w:i/>
          <w:iCs/>
          <w:noProof/>
          <w:szCs w:val="24"/>
        </w:rPr>
        <w:t>Weed Sci</w:t>
      </w:r>
      <w:r w:rsidRPr="00DF0B67">
        <w:rPr>
          <w:rFonts w:ascii="Calibri" w:hAnsi="Calibri" w:cs="Calibri"/>
          <w:noProof/>
          <w:szCs w:val="24"/>
        </w:rPr>
        <w:t xml:space="preserve"> </w:t>
      </w:r>
      <w:r w:rsidRPr="00DF0B67">
        <w:rPr>
          <w:rFonts w:ascii="Calibri" w:hAnsi="Calibri" w:cs="Calibri"/>
          <w:b/>
          <w:bCs/>
          <w:noProof/>
          <w:szCs w:val="24"/>
        </w:rPr>
        <w:t>68</w:t>
      </w:r>
      <w:r w:rsidRPr="00DF0B67">
        <w:rPr>
          <w:rFonts w:ascii="Calibri" w:hAnsi="Calibri" w:cs="Calibri"/>
          <w:noProof/>
          <w:szCs w:val="24"/>
        </w:rPr>
        <w:t>:451–459, Cambridge University Press (2020).</w:t>
      </w:r>
    </w:p>
    <w:p w14:paraId="1E3D20B1"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23</w:t>
      </w:r>
      <w:r w:rsidRPr="00DF0B67">
        <w:rPr>
          <w:rFonts w:ascii="Calibri" w:hAnsi="Calibri" w:cs="Calibri"/>
          <w:noProof/>
          <w:szCs w:val="24"/>
        </w:rPr>
        <w:tab/>
        <w:t xml:space="preserve">Gaines TA, Busi R, and Küpper A, Can new herbicide discovery allow weed management to outpace resistance evolution?,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77</w:t>
      </w:r>
      <w:r w:rsidRPr="00DF0B67">
        <w:rPr>
          <w:rFonts w:ascii="Calibri" w:hAnsi="Calibri" w:cs="Calibri"/>
          <w:noProof/>
          <w:szCs w:val="24"/>
        </w:rPr>
        <w:t>:3036–3041, John Wiley &amp; Sons, Ltd (2021).</w:t>
      </w:r>
    </w:p>
    <w:p w14:paraId="2A1BD5CF"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24</w:t>
      </w:r>
      <w:r w:rsidRPr="00DF0B67">
        <w:rPr>
          <w:rFonts w:ascii="Calibri" w:hAnsi="Calibri" w:cs="Calibri"/>
          <w:noProof/>
          <w:szCs w:val="24"/>
        </w:rPr>
        <w:tab/>
        <w:t xml:space="preserve">Messelhäuser MH, Saile M, Sievernich B, and Gerhards R, Effect of cinmethylin against Alopecurus myosuroides huds. In winter cereals, </w:t>
      </w:r>
      <w:r w:rsidRPr="00DF0B67">
        <w:rPr>
          <w:rFonts w:ascii="Calibri" w:hAnsi="Calibri" w:cs="Calibri"/>
          <w:i/>
          <w:iCs/>
          <w:noProof/>
          <w:szCs w:val="24"/>
        </w:rPr>
        <w:t>Plant, Soil Environ</w:t>
      </w:r>
      <w:r w:rsidRPr="00DF0B67">
        <w:rPr>
          <w:rFonts w:ascii="Calibri" w:hAnsi="Calibri" w:cs="Calibri"/>
          <w:noProof/>
          <w:szCs w:val="24"/>
        </w:rPr>
        <w:t xml:space="preserve"> </w:t>
      </w:r>
      <w:r w:rsidRPr="00DF0B67">
        <w:rPr>
          <w:rFonts w:ascii="Calibri" w:hAnsi="Calibri" w:cs="Calibri"/>
          <w:b/>
          <w:bCs/>
          <w:noProof/>
          <w:szCs w:val="24"/>
        </w:rPr>
        <w:t>67</w:t>
      </w:r>
      <w:r w:rsidRPr="00DF0B67">
        <w:rPr>
          <w:rFonts w:ascii="Calibri" w:hAnsi="Calibri" w:cs="Calibri"/>
          <w:noProof/>
          <w:szCs w:val="24"/>
        </w:rPr>
        <w:t>:46–54, Czech Academy of Agricultural Sciences (2021).</w:t>
      </w:r>
    </w:p>
    <w:p w14:paraId="08E61FD3"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25</w:t>
      </w:r>
      <w:r w:rsidRPr="00DF0B67">
        <w:rPr>
          <w:rFonts w:ascii="Calibri" w:hAnsi="Calibri" w:cs="Calibri"/>
          <w:noProof/>
          <w:szCs w:val="24"/>
        </w:rPr>
        <w:tab/>
        <w:t xml:space="preserve">Bailly GC, Dale RP, Archer SA, Wright DJ, and Kaundun SS, Role of residual herbicides for the management of multiple herbicide resistance to ACCase and ALS inhibitors in a black-grass population, </w:t>
      </w:r>
      <w:r w:rsidRPr="00DF0B67">
        <w:rPr>
          <w:rFonts w:ascii="Calibri" w:hAnsi="Calibri" w:cs="Calibri"/>
          <w:i/>
          <w:iCs/>
          <w:noProof/>
          <w:szCs w:val="24"/>
        </w:rPr>
        <w:t>Crop Prot</w:t>
      </w:r>
      <w:r w:rsidRPr="00DF0B67">
        <w:rPr>
          <w:rFonts w:ascii="Calibri" w:hAnsi="Calibri" w:cs="Calibri"/>
          <w:noProof/>
          <w:szCs w:val="24"/>
        </w:rPr>
        <w:t xml:space="preserve"> </w:t>
      </w:r>
      <w:r w:rsidRPr="00DF0B67">
        <w:rPr>
          <w:rFonts w:ascii="Calibri" w:hAnsi="Calibri" w:cs="Calibri"/>
          <w:b/>
          <w:bCs/>
          <w:noProof/>
          <w:szCs w:val="24"/>
        </w:rPr>
        <w:t>34</w:t>
      </w:r>
      <w:r w:rsidRPr="00DF0B67">
        <w:rPr>
          <w:rFonts w:ascii="Calibri" w:hAnsi="Calibri" w:cs="Calibri"/>
          <w:noProof/>
          <w:szCs w:val="24"/>
        </w:rPr>
        <w:t>:96–103, Elsevier (2012).</w:t>
      </w:r>
    </w:p>
    <w:p w14:paraId="7F5F88E9"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26</w:t>
      </w:r>
      <w:r w:rsidRPr="00DF0B67">
        <w:rPr>
          <w:rFonts w:ascii="Calibri" w:hAnsi="Calibri" w:cs="Calibri"/>
          <w:noProof/>
          <w:szCs w:val="24"/>
        </w:rPr>
        <w:tab/>
        <w:t xml:space="preserve">Busi R, Dayan FE, Francis I, Goggin D, Lerchl J, Porri A, </w:t>
      </w:r>
      <w:r w:rsidRPr="00DF0B67">
        <w:rPr>
          <w:rFonts w:ascii="Calibri" w:hAnsi="Calibri" w:cs="Calibri"/>
          <w:i/>
          <w:iCs/>
          <w:noProof/>
          <w:szCs w:val="24"/>
        </w:rPr>
        <w:t>et al.</w:t>
      </w:r>
      <w:r w:rsidRPr="00DF0B67">
        <w:rPr>
          <w:rFonts w:ascii="Calibri" w:hAnsi="Calibri" w:cs="Calibri"/>
          <w:noProof/>
          <w:szCs w:val="24"/>
        </w:rPr>
        <w:t xml:space="preserve">, Cinmethylin controls multiple herbicide-resistant Lolium rigidum and its wheat selectivity is P450-based,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76</w:t>
      </w:r>
      <w:r w:rsidRPr="00DF0B67">
        <w:rPr>
          <w:rFonts w:ascii="Calibri" w:hAnsi="Calibri" w:cs="Calibri"/>
          <w:noProof/>
          <w:szCs w:val="24"/>
        </w:rPr>
        <w:t>:2601–2608, John Wiley and Sons Ltd (2020).</w:t>
      </w:r>
    </w:p>
    <w:p w14:paraId="0F1459BE"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27</w:t>
      </w:r>
      <w:r w:rsidRPr="00DF0B67">
        <w:rPr>
          <w:rFonts w:ascii="Calibri" w:hAnsi="Calibri" w:cs="Calibri"/>
          <w:noProof/>
          <w:szCs w:val="24"/>
        </w:rPr>
        <w:tab/>
        <w:t xml:space="preserve">Van Etten M, Lee KM, Chang SM, and Baucom RS, Parallel and nonparallel genomic responses contribute to herbicide resistance in </w:t>
      </w:r>
      <w:r w:rsidRPr="00DF0B67">
        <w:rPr>
          <w:rFonts w:ascii="Calibri" w:hAnsi="Calibri" w:cs="Calibri"/>
          <w:i/>
          <w:iCs/>
          <w:noProof/>
          <w:szCs w:val="24"/>
        </w:rPr>
        <w:t>Ipomoea purpurea</w:t>
      </w:r>
      <w:r w:rsidRPr="00DF0B67">
        <w:rPr>
          <w:rFonts w:ascii="Calibri" w:hAnsi="Calibri" w:cs="Calibri"/>
          <w:noProof/>
          <w:szCs w:val="24"/>
        </w:rPr>
        <w:t xml:space="preserve">, a common agricultural weed, </w:t>
      </w:r>
      <w:r w:rsidRPr="00DF0B67">
        <w:rPr>
          <w:rFonts w:ascii="Calibri" w:hAnsi="Calibri" w:cs="Calibri"/>
          <w:i/>
          <w:iCs/>
          <w:noProof/>
          <w:szCs w:val="24"/>
        </w:rPr>
        <w:t>PLOS Genet</w:t>
      </w:r>
      <w:r w:rsidRPr="00DF0B67">
        <w:rPr>
          <w:rFonts w:ascii="Calibri" w:hAnsi="Calibri" w:cs="Calibri"/>
          <w:noProof/>
          <w:szCs w:val="24"/>
        </w:rPr>
        <w:t xml:space="preserve"> </w:t>
      </w:r>
      <w:r w:rsidRPr="00DF0B67">
        <w:rPr>
          <w:rFonts w:ascii="Calibri" w:hAnsi="Calibri" w:cs="Calibri"/>
          <w:b/>
          <w:bCs/>
          <w:noProof/>
          <w:szCs w:val="24"/>
        </w:rPr>
        <w:t>16</w:t>
      </w:r>
      <w:r w:rsidRPr="00DF0B67">
        <w:rPr>
          <w:rFonts w:ascii="Calibri" w:hAnsi="Calibri" w:cs="Calibri"/>
          <w:noProof/>
          <w:szCs w:val="24"/>
        </w:rPr>
        <w:t>:e1008593, Public Library of Science (2020).</w:t>
      </w:r>
    </w:p>
    <w:p w14:paraId="1AC394AF"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28</w:t>
      </w:r>
      <w:r w:rsidRPr="00DF0B67">
        <w:rPr>
          <w:rFonts w:ascii="Calibri" w:hAnsi="Calibri" w:cs="Calibri"/>
          <w:noProof/>
          <w:szCs w:val="24"/>
        </w:rPr>
        <w:tab/>
        <w:t xml:space="preserve">Dimaano NG and Iwakami S, Cytochrome P450-mediated herbicide metabolism in plants: current understanding and prospects,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77</w:t>
      </w:r>
      <w:r w:rsidRPr="00DF0B67">
        <w:rPr>
          <w:rFonts w:ascii="Calibri" w:hAnsi="Calibri" w:cs="Calibri"/>
          <w:noProof/>
          <w:szCs w:val="24"/>
        </w:rPr>
        <w:t>:22–32, John Wiley and Sons Ltd (2021).</w:t>
      </w:r>
    </w:p>
    <w:p w14:paraId="5C2BBC10"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29</w:t>
      </w:r>
      <w:r w:rsidRPr="00DF0B67">
        <w:rPr>
          <w:rFonts w:ascii="Calibri" w:hAnsi="Calibri" w:cs="Calibri"/>
          <w:noProof/>
          <w:szCs w:val="24"/>
        </w:rPr>
        <w:tab/>
        <w:t xml:space="preserve">Cai L, Comont D, MacGregor D, Lowe C, Beffa R, Neve P, </w:t>
      </w:r>
      <w:r w:rsidRPr="00DF0B67">
        <w:rPr>
          <w:rFonts w:ascii="Calibri" w:hAnsi="Calibri" w:cs="Calibri"/>
          <w:i/>
          <w:iCs/>
          <w:noProof/>
          <w:szCs w:val="24"/>
        </w:rPr>
        <w:t>et al.</w:t>
      </w:r>
      <w:r w:rsidRPr="00DF0B67">
        <w:rPr>
          <w:rFonts w:ascii="Calibri" w:hAnsi="Calibri" w:cs="Calibri"/>
          <w:noProof/>
          <w:szCs w:val="24"/>
        </w:rPr>
        <w:t xml:space="preserve">, The blackgrass genome reveals patterns of non-parallel evolution of polygenic herbicide resistance, </w:t>
      </w:r>
      <w:r w:rsidRPr="00DF0B67">
        <w:rPr>
          <w:rFonts w:ascii="Calibri" w:hAnsi="Calibri" w:cs="Calibri"/>
          <w:i/>
          <w:iCs/>
          <w:noProof/>
          <w:szCs w:val="24"/>
        </w:rPr>
        <w:t>New Phytol</w:t>
      </w:r>
      <w:r w:rsidRPr="00DF0B67">
        <w:rPr>
          <w:rFonts w:ascii="Calibri" w:hAnsi="Calibri" w:cs="Calibri"/>
          <w:noProof/>
          <w:szCs w:val="24"/>
        </w:rPr>
        <w:t xml:space="preserve"> </w:t>
      </w:r>
      <w:r w:rsidRPr="00DF0B67">
        <w:rPr>
          <w:rFonts w:ascii="Calibri" w:hAnsi="Calibri" w:cs="Calibri"/>
          <w:b/>
          <w:bCs/>
          <w:noProof/>
          <w:szCs w:val="24"/>
        </w:rPr>
        <w:t>237</w:t>
      </w:r>
      <w:r w:rsidRPr="00DF0B67">
        <w:rPr>
          <w:rFonts w:ascii="Calibri" w:hAnsi="Calibri" w:cs="Calibri"/>
          <w:noProof/>
          <w:szCs w:val="24"/>
        </w:rPr>
        <w:t>:1891–1907, John Wiley &amp; Sons, Ltd (2023).</w:t>
      </w:r>
    </w:p>
    <w:p w14:paraId="14DA9E63"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szCs w:val="24"/>
        </w:rPr>
      </w:pPr>
      <w:r w:rsidRPr="00DF0B67">
        <w:rPr>
          <w:rFonts w:ascii="Calibri" w:hAnsi="Calibri" w:cs="Calibri"/>
          <w:noProof/>
          <w:szCs w:val="24"/>
        </w:rPr>
        <w:t>30</w:t>
      </w:r>
      <w:r w:rsidRPr="00DF0B67">
        <w:rPr>
          <w:rFonts w:ascii="Calibri" w:hAnsi="Calibri" w:cs="Calibri"/>
          <w:noProof/>
          <w:szCs w:val="24"/>
        </w:rPr>
        <w:tab/>
        <w:t xml:space="preserve">Neve P, Busi R, Renton M, and Vila-Aiub MM, Expanding the eco-evolutionary context of herbicide resistance research, </w:t>
      </w:r>
      <w:r w:rsidRPr="00DF0B67">
        <w:rPr>
          <w:rFonts w:ascii="Calibri" w:hAnsi="Calibri" w:cs="Calibri"/>
          <w:i/>
          <w:iCs/>
          <w:noProof/>
          <w:szCs w:val="24"/>
        </w:rPr>
        <w:t>Pest Manag Sci</w:t>
      </w:r>
      <w:r w:rsidRPr="00DF0B67">
        <w:rPr>
          <w:rFonts w:ascii="Calibri" w:hAnsi="Calibri" w:cs="Calibri"/>
          <w:noProof/>
          <w:szCs w:val="24"/>
        </w:rPr>
        <w:t xml:space="preserve"> </w:t>
      </w:r>
      <w:r w:rsidRPr="00DF0B67">
        <w:rPr>
          <w:rFonts w:ascii="Calibri" w:hAnsi="Calibri" w:cs="Calibri"/>
          <w:b/>
          <w:bCs/>
          <w:noProof/>
          <w:szCs w:val="24"/>
        </w:rPr>
        <w:t>70</w:t>
      </w:r>
      <w:r w:rsidRPr="00DF0B67">
        <w:rPr>
          <w:rFonts w:ascii="Calibri" w:hAnsi="Calibri" w:cs="Calibri"/>
          <w:noProof/>
          <w:szCs w:val="24"/>
        </w:rPr>
        <w:t>:1385–1393, Wiley-Blackwell (2014).</w:t>
      </w:r>
    </w:p>
    <w:p w14:paraId="21FAF703" w14:textId="77777777" w:rsidR="00DF0B67" w:rsidRPr="00DF0B67" w:rsidRDefault="00DF0B67" w:rsidP="00DF0B67">
      <w:pPr>
        <w:widowControl w:val="0"/>
        <w:autoSpaceDE w:val="0"/>
        <w:autoSpaceDN w:val="0"/>
        <w:adjustRightInd w:val="0"/>
        <w:spacing w:line="240" w:lineRule="auto"/>
        <w:ind w:left="640" w:hanging="640"/>
        <w:rPr>
          <w:rFonts w:ascii="Calibri" w:hAnsi="Calibri" w:cs="Calibri"/>
          <w:noProof/>
        </w:rPr>
      </w:pPr>
      <w:r w:rsidRPr="00DF0B67">
        <w:rPr>
          <w:rFonts w:ascii="Calibri" w:hAnsi="Calibri" w:cs="Calibri"/>
          <w:noProof/>
          <w:szCs w:val="24"/>
        </w:rPr>
        <w:lastRenderedPageBreak/>
        <w:t>31</w:t>
      </w:r>
      <w:r w:rsidRPr="00DF0B67">
        <w:rPr>
          <w:rFonts w:ascii="Calibri" w:hAnsi="Calibri" w:cs="Calibri"/>
          <w:noProof/>
          <w:szCs w:val="24"/>
        </w:rPr>
        <w:tab/>
        <w:t xml:space="preserve">Onkokesung N, Brazier-Hicks M, Tetard-Jones C, Bentham A, and Edwards R, Molecular diagnostics for real-time determination of herbicide resistance in wild grasses, </w:t>
      </w:r>
      <w:r w:rsidRPr="00DF0B67">
        <w:rPr>
          <w:rFonts w:ascii="Calibri" w:hAnsi="Calibri" w:cs="Calibri"/>
          <w:i/>
          <w:iCs/>
          <w:noProof/>
          <w:szCs w:val="24"/>
        </w:rPr>
        <w:t>J Biotechnol</w:t>
      </w:r>
      <w:r w:rsidRPr="00DF0B67">
        <w:rPr>
          <w:rFonts w:ascii="Calibri" w:hAnsi="Calibri" w:cs="Calibri"/>
          <w:noProof/>
          <w:szCs w:val="24"/>
        </w:rPr>
        <w:t xml:space="preserve"> </w:t>
      </w:r>
      <w:r w:rsidRPr="00DF0B67">
        <w:rPr>
          <w:rFonts w:ascii="Calibri" w:hAnsi="Calibri" w:cs="Calibri"/>
          <w:b/>
          <w:bCs/>
          <w:noProof/>
          <w:szCs w:val="24"/>
        </w:rPr>
        <w:t>358</w:t>
      </w:r>
      <w:r w:rsidRPr="00DF0B67">
        <w:rPr>
          <w:rFonts w:ascii="Calibri" w:hAnsi="Calibri" w:cs="Calibri"/>
          <w:noProof/>
          <w:szCs w:val="24"/>
        </w:rPr>
        <w:t>:64–66 (2022).</w:t>
      </w:r>
    </w:p>
    <w:p w14:paraId="28D5F20B" w14:textId="06A79D40" w:rsidR="001478D6" w:rsidRDefault="001B5704" w:rsidP="00872A99">
      <w:r>
        <w:fldChar w:fldCharType="end"/>
      </w:r>
    </w:p>
    <w:p w14:paraId="6748524D" w14:textId="5DFD4CA7" w:rsidR="001478D6" w:rsidRPr="00B61916" w:rsidRDefault="001478D6">
      <w:pPr>
        <w:rPr>
          <w:b/>
          <w:bCs/>
          <w:u w:val="single"/>
        </w:rPr>
      </w:pPr>
      <w:r>
        <w:br w:type="page"/>
      </w:r>
      <w:r w:rsidR="00B61916" w:rsidRPr="00B61916">
        <w:rPr>
          <w:b/>
          <w:bCs/>
          <w:u w:val="single"/>
        </w:rPr>
        <w:lastRenderedPageBreak/>
        <w:t>Figures and tables:</w:t>
      </w:r>
    </w:p>
    <w:p w14:paraId="06C6DEE3" w14:textId="323E1E87" w:rsidR="00B61916" w:rsidRDefault="00B61916"/>
    <w:p w14:paraId="1425F0C5" w14:textId="77777777" w:rsidR="00B61916" w:rsidRDefault="00B61916"/>
    <w:p w14:paraId="398B9C20" w14:textId="77777777" w:rsidR="001478D6" w:rsidRPr="00AF2556" w:rsidRDefault="001478D6" w:rsidP="004F1D9C">
      <w:pPr>
        <w:spacing w:line="480" w:lineRule="auto"/>
        <w:rPr>
          <w:b/>
          <w:bCs/>
          <w:sz w:val="18"/>
          <w:szCs w:val="18"/>
        </w:rPr>
      </w:pPr>
      <w:r w:rsidRPr="00AF2556">
        <w:rPr>
          <w:b/>
          <w:bCs/>
          <w:sz w:val="18"/>
          <w:szCs w:val="18"/>
        </w:rPr>
        <w:t>Table 1: Blackgrass lines with experimentally derived resistance to other herbicide modes-of-action, used to examine effects of pre-selection on cinmethylin sensitivity. “Origin” represents the name of the field-collected blackgrass population that each pair of “R” and “S” lines was derived from, while “selection procedure” details the way in which the ”R” and “S” lines were experimentally created. “Focal MOA” gives the WSSA herbicide mode-of-action for which the lines’ “R” and “S” seed families differ in sensitivity. “Screened with” gives the herbicidal actives that each line has been screened with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0"/>
        <w:gridCol w:w="1879"/>
        <w:gridCol w:w="2268"/>
        <w:gridCol w:w="1276"/>
        <w:gridCol w:w="2075"/>
      </w:tblGrid>
      <w:tr w:rsidR="001478D6" w14:paraId="004C8733" w14:textId="77777777" w:rsidTr="00AF2556">
        <w:trPr>
          <w:trHeight w:val="341"/>
        </w:trPr>
        <w:tc>
          <w:tcPr>
            <w:tcW w:w="1518" w:type="dxa"/>
            <w:tcBorders>
              <w:top w:val="single" w:sz="12" w:space="0" w:color="auto"/>
              <w:bottom w:val="single" w:sz="12" w:space="0" w:color="auto"/>
            </w:tcBorders>
            <w:shd w:val="clear" w:color="auto" w:fill="F2F2F2" w:themeFill="background1" w:themeFillShade="F2"/>
          </w:tcPr>
          <w:p w14:paraId="3BF14E3E" w14:textId="77777777" w:rsidR="001478D6" w:rsidRDefault="001478D6" w:rsidP="005D4412">
            <w:r>
              <w:t>Line</w:t>
            </w:r>
          </w:p>
        </w:tc>
        <w:tc>
          <w:tcPr>
            <w:tcW w:w="1879" w:type="dxa"/>
            <w:tcBorders>
              <w:top w:val="single" w:sz="12" w:space="0" w:color="auto"/>
              <w:bottom w:val="single" w:sz="12" w:space="0" w:color="auto"/>
            </w:tcBorders>
            <w:shd w:val="clear" w:color="auto" w:fill="F2F2F2" w:themeFill="background1" w:themeFillShade="F2"/>
          </w:tcPr>
          <w:p w14:paraId="33537977" w14:textId="77777777" w:rsidR="001478D6" w:rsidRDefault="001478D6" w:rsidP="005D4412">
            <w:r>
              <w:t>Origin</w:t>
            </w:r>
          </w:p>
        </w:tc>
        <w:tc>
          <w:tcPr>
            <w:tcW w:w="2268" w:type="dxa"/>
            <w:tcBorders>
              <w:top w:val="single" w:sz="12" w:space="0" w:color="auto"/>
              <w:bottom w:val="single" w:sz="12" w:space="0" w:color="auto"/>
            </w:tcBorders>
            <w:shd w:val="clear" w:color="auto" w:fill="F2F2F2" w:themeFill="background1" w:themeFillShade="F2"/>
          </w:tcPr>
          <w:p w14:paraId="24679503" w14:textId="77777777" w:rsidR="001478D6" w:rsidRDefault="001478D6" w:rsidP="005D4412">
            <w:r>
              <w:t>Selection procedure</w:t>
            </w:r>
          </w:p>
        </w:tc>
        <w:tc>
          <w:tcPr>
            <w:tcW w:w="1276" w:type="dxa"/>
            <w:tcBorders>
              <w:top w:val="single" w:sz="12" w:space="0" w:color="auto"/>
              <w:bottom w:val="single" w:sz="12" w:space="0" w:color="auto"/>
            </w:tcBorders>
            <w:shd w:val="clear" w:color="auto" w:fill="F2F2F2" w:themeFill="background1" w:themeFillShade="F2"/>
          </w:tcPr>
          <w:p w14:paraId="34CC5235" w14:textId="77777777" w:rsidR="001478D6" w:rsidRDefault="001478D6" w:rsidP="005D4412">
            <w:r>
              <w:t>Focal MOA</w:t>
            </w:r>
          </w:p>
        </w:tc>
        <w:tc>
          <w:tcPr>
            <w:tcW w:w="2075" w:type="dxa"/>
            <w:tcBorders>
              <w:top w:val="single" w:sz="12" w:space="0" w:color="auto"/>
              <w:bottom w:val="single" w:sz="12" w:space="0" w:color="auto"/>
            </w:tcBorders>
            <w:shd w:val="clear" w:color="auto" w:fill="F2F2F2" w:themeFill="background1" w:themeFillShade="F2"/>
          </w:tcPr>
          <w:p w14:paraId="1D7A84FC" w14:textId="77777777" w:rsidR="001478D6" w:rsidRDefault="001478D6" w:rsidP="005D4412">
            <w:r>
              <w:t>Screened with</w:t>
            </w:r>
          </w:p>
        </w:tc>
      </w:tr>
      <w:tr w:rsidR="001478D6" w14:paraId="5517AD26" w14:textId="77777777" w:rsidTr="005D4412">
        <w:trPr>
          <w:trHeight w:val="917"/>
        </w:trPr>
        <w:tc>
          <w:tcPr>
            <w:tcW w:w="1518" w:type="dxa"/>
            <w:tcBorders>
              <w:top w:val="single" w:sz="12" w:space="0" w:color="auto"/>
              <w:bottom w:val="single" w:sz="4" w:space="0" w:color="auto"/>
            </w:tcBorders>
            <w:vAlign w:val="center"/>
          </w:tcPr>
          <w:p w14:paraId="12EB663A" w14:textId="77777777" w:rsidR="001478D6" w:rsidRDefault="001478D6" w:rsidP="005D4412">
            <w:r>
              <w:t>ALS (meso+ iodosulfuron)</w:t>
            </w:r>
          </w:p>
        </w:tc>
        <w:tc>
          <w:tcPr>
            <w:tcW w:w="1879" w:type="dxa"/>
            <w:tcBorders>
              <w:top w:val="single" w:sz="12" w:space="0" w:color="auto"/>
              <w:bottom w:val="single" w:sz="4" w:space="0" w:color="auto"/>
            </w:tcBorders>
            <w:vAlign w:val="center"/>
          </w:tcPr>
          <w:p w14:paraId="6BBD8979" w14:textId="77777777" w:rsidR="001478D6" w:rsidRDefault="001478D6" w:rsidP="005D4412">
            <w:r>
              <w:t>Highfield</w:t>
            </w:r>
          </w:p>
        </w:tc>
        <w:tc>
          <w:tcPr>
            <w:tcW w:w="2268" w:type="dxa"/>
            <w:tcBorders>
              <w:top w:val="single" w:sz="12" w:space="0" w:color="auto"/>
              <w:bottom w:val="single" w:sz="4" w:space="0" w:color="auto"/>
            </w:tcBorders>
          </w:tcPr>
          <w:p w14:paraId="614FDD53" w14:textId="77777777" w:rsidR="001478D6" w:rsidRDefault="001478D6" w:rsidP="005D4412">
            <w:r>
              <w:t>“R” and “S” created by Experimental selection for two generations</w:t>
            </w:r>
          </w:p>
        </w:tc>
        <w:tc>
          <w:tcPr>
            <w:tcW w:w="1276" w:type="dxa"/>
            <w:tcBorders>
              <w:top w:val="single" w:sz="12" w:space="0" w:color="auto"/>
              <w:bottom w:val="single" w:sz="4" w:space="0" w:color="auto"/>
            </w:tcBorders>
            <w:vAlign w:val="center"/>
          </w:tcPr>
          <w:p w14:paraId="4FEA9AA2" w14:textId="77777777" w:rsidR="001478D6" w:rsidRDefault="001478D6" w:rsidP="00AF2556">
            <w:pPr>
              <w:jc w:val="center"/>
            </w:pPr>
            <w:r>
              <w:t>Group 2</w:t>
            </w:r>
          </w:p>
        </w:tc>
        <w:tc>
          <w:tcPr>
            <w:tcW w:w="2075" w:type="dxa"/>
            <w:tcBorders>
              <w:top w:val="single" w:sz="12" w:space="0" w:color="auto"/>
              <w:bottom w:val="single" w:sz="4" w:space="0" w:color="auto"/>
            </w:tcBorders>
            <w:vAlign w:val="center"/>
          </w:tcPr>
          <w:p w14:paraId="763B1EC0" w14:textId="77777777" w:rsidR="001478D6" w:rsidRDefault="001478D6" w:rsidP="005D4412">
            <w:r>
              <w:t>meso+iodosulfuron, cinmethylin</w:t>
            </w:r>
          </w:p>
        </w:tc>
      </w:tr>
      <w:tr w:rsidR="001478D6" w14:paraId="5D012358" w14:textId="77777777" w:rsidTr="005D4412">
        <w:trPr>
          <w:trHeight w:val="958"/>
        </w:trPr>
        <w:tc>
          <w:tcPr>
            <w:tcW w:w="1518" w:type="dxa"/>
            <w:tcBorders>
              <w:top w:val="single" w:sz="4" w:space="0" w:color="auto"/>
              <w:bottom w:val="single" w:sz="4" w:space="0" w:color="auto"/>
            </w:tcBorders>
            <w:vAlign w:val="center"/>
          </w:tcPr>
          <w:p w14:paraId="085A7F52" w14:textId="77777777" w:rsidR="001478D6" w:rsidRDefault="001478D6" w:rsidP="005D4412">
            <w:r>
              <w:t>flufenacet</w:t>
            </w:r>
          </w:p>
        </w:tc>
        <w:tc>
          <w:tcPr>
            <w:tcW w:w="1879" w:type="dxa"/>
            <w:tcBorders>
              <w:top w:val="single" w:sz="4" w:space="0" w:color="auto"/>
              <w:bottom w:val="single" w:sz="4" w:space="0" w:color="auto"/>
            </w:tcBorders>
            <w:vAlign w:val="center"/>
          </w:tcPr>
          <w:p w14:paraId="12D33194" w14:textId="77777777" w:rsidR="001478D6" w:rsidRDefault="001478D6" w:rsidP="005D4412">
            <w:r>
              <w:t>Peldon</w:t>
            </w:r>
          </w:p>
        </w:tc>
        <w:tc>
          <w:tcPr>
            <w:tcW w:w="2268" w:type="dxa"/>
            <w:tcBorders>
              <w:top w:val="single" w:sz="4" w:space="0" w:color="auto"/>
              <w:bottom w:val="single" w:sz="4" w:space="0" w:color="auto"/>
            </w:tcBorders>
          </w:tcPr>
          <w:p w14:paraId="4B21A480" w14:textId="77777777" w:rsidR="001478D6" w:rsidRDefault="001478D6" w:rsidP="005D4412">
            <w:r>
              <w:t>“R” and “S” created by Experimental selection for nine generations</w:t>
            </w:r>
          </w:p>
        </w:tc>
        <w:tc>
          <w:tcPr>
            <w:tcW w:w="1276" w:type="dxa"/>
            <w:tcBorders>
              <w:top w:val="single" w:sz="4" w:space="0" w:color="auto"/>
              <w:bottom w:val="single" w:sz="4" w:space="0" w:color="auto"/>
            </w:tcBorders>
            <w:vAlign w:val="center"/>
          </w:tcPr>
          <w:p w14:paraId="64B0A301" w14:textId="77777777" w:rsidR="001478D6" w:rsidRDefault="001478D6" w:rsidP="00AF2556">
            <w:pPr>
              <w:jc w:val="center"/>
            </w:pPr>
            <w:r>
              <w:t>Group 15</w:t>
            </w:r>
          </w:p>
        </w:tc>
        <w:tc>
          <w:tcPr>
            <w:tcW w:w="2075" w:type="dxa"/>
            <w:tcBorders>
              <w:top w:val="single" w:sz="4" w:space="0" w:color="auto"/>
              <w:bottom w:val="single" w:sz="4" w:space="0" w:color="auto"/>
            </w:tcBorders>
            <w:vAlign w:val="center"/>
          </w:tcPr>
          <w:p w14:paraId="676A5BC4" w14:textId="77777777" w:rsidR="001478D6" w:rsidRDefault="001478D6" w:rsidP="005D4412">
            <w:r>
              <w:t xml:space="preserve">flufenacet, </w:t>
            </w:r>
          </w:p>
          <w:p w14:paraId="764F5873" w14:textId="77777777" w:rsidR="001478D6" w:rsidRDefault="001478D6" w:rsidP="005D4412">
            <w:r>
              <w:t>cinmethylin</w:t>
            </w:r>
          </w:p>
        </w:tc>
      </w:tr>
      <w:tr w:rsidR="001478D6" w14:paraId="6E10B138" w14:textId="77777777" w:rsidTr="005D4412">
        <w:trPr>
          <w:trHeight w:val="1002"/>
        </w:trPr>
        <w:tc>
          <w:tcPr>
            <w:tcW w:w="1518" w:type="dxa"/>
            <w:tcBorders>
              <w:top w:val="single" w:sz="4" w:space="0" w:color="auto"/>
              <w:bottom w:val="single" w:sz="4" w:space="0" w:color="auto"/>
            </w:tcBorders>
            <w:vAlign w:val="center"/>
          </w:tcPr>
          <w:p w14:paraId="0FB5D2A5" w14:textId="77777777" w:rsidR="001478D6" w:rsidRDefault="001478D6" w:rsidP="005D4412">
            <w:r>
              <w:t>pendimethalin</w:t>
            </w:r>
          </w:p>
        </w:tc>
        <w:tc>
          <w:tcPr>
            <w:tcW w:w="1879" w:type="dxa"/>
            <w:tcBorders>
              <w:top w:val="single" w:sz="4" w:space="0" w:color="auto"/>
              <w:bottom w:val="single" w:sz="4" w:space="0" w:color="auto"/>
            </w:tcBorders>
            <w:vAlign w:val="center"/>
          </w:tcPr>
          <w:p w14:paraId="4D5EB817" w14:textId="77777777" w:rsidR="001478D6" w:rsidRDefault="001478D6" w:rsidP="005D4412">
            <w:r>
              <w:t>Rothamsted</w:t>
            </w:r>
          </w:p>
        </w:tc>
        <w:tc>
          <w:tcPr>
            <w:tcW w:w="2268" w:type="dxa"/>
            <w:tcBorders>
              <w:top w:val="single" w:sz="4" w:space="0" w:color="auto"/>
              <w:bottom w:val="single" w:sz="4" w:space="0" w:color="auto"/>
            </w:tcBorders>
          </w:tcPr>
          <w:p w14:paraId="45C93461" w14:textId="77777777" w:rsidR="001478D6" w:rsidRDefault="001478D6" w:rsidP="005D4412">
            <w:r>
              <w:t>“R” and “S” created by Experimental selection for eight generations</w:t>
            </w:r>
          </w:p>
        </w:tc>
        <w:tc>
          <w:tcPr>
            <w:tcW w:w="1276" w:type="dxa"/>
            <w:tcBorders>
              <w:top w:val="single" w:sz="4" w:space="0" w:color="auto"/>
              <w:bottom w:val="single" w:sz="4" w:space="0" w:color="auto"/>
            </w:tcBorders>
            <w:vAlign w:val="center"/>
          </w:tcPr>
          <w:p w14:paraId="52EB47E7" w14:textId="77777777" w:rsidR="001478D6" w:rsidRDefault="001478D6" w:rsidP="00AF2556">
            <w:pPr>
              <w:jc w:val="center"/>
            </w:pPr>
            <w:r>
              <w:t>Group 3</w:t>
            </w:r>
          </w:p>
        </w:tc>
        <w:tc>
          <w:tcPr>
            <w:tcW w:w="2075" w:type="dxa"/>
            <w:tcBorders>
              <w:top w:val="single" w:sz="4" w:space="0" w:color="auto"/>
              <w:bottom w:val="single" w:sz="4" w:space="0" w:color="auto"/>
            </w:tcBorders>
            <w:vAlign w:val="center"/>
          </w:tcPr>
          <w:p w14:paraId="27323A84" w14:textId="77777777" w:rsidR="001478D6" w:rsidRDefault="001478D6" w:rsidP="005D4412">
            <w:r>
              <w:t xml:space="preserve">pendimethalin, </w:t>
            </w:r>
          </w:p>
          <w:p w14:paraId="4CFBAC60" w14:textId="77777777" w:rsidR="001478D6" w:rsidRDefault="001478D6" w:rsidP="005D4412">
            <w:r>
              <w:t>cinmethylin</w:t>
            </w:r>
          </w:p>
        </w:tc>
      </w:tr>
      <w:tr w:rsidR="001478D6" w14:paraId="737CC6EB" w14:textId="77777777" w:rsidTr="005D4412">
        <w:trPr>
          <w:trHeight w:val="840"/>
        </w:trPr>
        <w:tc>
          <w:tcPr>
            <w:tcW w:w="1518" w:type="dxa"/>
            <w:tcBorders>
              <w:top w:val="single" w:sz="4" w:space="0" w:color="auto"/>
              <w:bottom w:val="single" w:sz="12" w:space="0" w:color="auto"/>
            </w:tcBorders>
            <w:vAlign w:val="center"/>
          </w:tcPr>
          <w:p w14:paraId="116BA317" w14:textId="77777777" w:rsidR="001478D6" w:rsidRDefault="001478D6" w:rsidP="005D4412">
            <w:r>
              <w:t>fenoxaprop</w:t>
            </w:r>
          </w:p>
        </w:tc>
        <w:tc>
          <w:tcPr>
            <w:tcW w:w="1879" w:type="dxa"/>
            <w:tcBorders>
              <w:top w:val="single" w:sz="4" w:space="0" w:color="auto"/>
              <w:bottom w:val="single" w:sz="12" w:space="0" w:color="auto"/>
            </w:tcBorders>
            <w:vAlign w:val="center"/>
          </w:tcPr>
          <w:p w14:paraId="695C52A4" w14:textId="77777777" w:rsidR="001478D6" w:rsidRDefault="001478D6" w:rsidP="005D4412">
            <w:r>
              <w:t>Pairwise cross of “Rothamsted” x “Lola91”, called “CC5”</w:t>
            </w:r>
          </w:p>
        </w:tc>
        <w:tc>
          <w:tcPr>
            <w:tcW w:w="2268" w:type="dxa"/>
            <w:tcBorders>
              <w:top w:val="single" w:sz="4" w:space="0" w:color="auto"/>
              <w:bottom w:val="single" w:sz="12" w:space="0" w:color="auto"/>
            </w:tcBorders>
          </w:tcPr>
          <w:p w14:paraId="15DB3AA4" w14:textId="77777777" w:rsidR="001478D6" w:rsidRDefault="001478D6" w:rsidP="005D4412">
            <w:r>
              <w:t>“R” and “S” F</w:t>
            </w:r>
            <w:r w:rsidRPr="00AF2556">
              <w:rPr>
                <w:vertAlign w:val="subscript"/>
              </w:rPr>
              <w:t>3</w:t>
            </w:r>
            <w:r>
              <w:t xml:space="preserve"> generation selected from a segregating F</w:t>
            </w:r>
            <w:r w:rsidRPr="005D4412">
              <w:rPr>
                <w:vertAlign w:val="subscript"/>
              </w:rPr>
              <w:t>2</w:t>
            </w:r>
            <w:r>
              <w:t xml:space="preserve"> seed family.</w:t>
            </w:r>
          </w:p>
        </w:tc>
        <w:tc>
          <w:tcPr>
            <w:tcW w:w="1276" w:type="dxa"/>
            <w:tcBorders>
              <w:top w:val="single" w:sz="4" w:space="0" w:color="auto"/>
              <w:bottom w:val="single" w:sz="12" w:space="0" w:color="auto"/>
            </w:tcBorders>
            <w:vAlign w:val="center"/>
          </w:tcPr>
          <w:p w14:paraId="16656FFC" w14:textId="77777777" w:rsidR="001478D6" w:rsidRDefault="001478D6" w:rsidP="00AF2556">
            <w:pPr>
              <w:jc w:val="center"/>
            </w:pPr>
            <w:r>
              <w:t>Group 1</w:t>
            </w:r>
          </w:p>
        </w:tc>
        <w:tc>
          <w:tcPr>
            <w:tcW w:w="2075" w:type="dxa"/>
            <w:tcBorders>
              <w:top w:val="single" w:sz="4" w:space="0" w:color="auto"/>
              <w:bottom w:val="single" w:sz="12" w:space="0" w:color="auto"/>
            </w:tcBorders>
            <w:vAlign w:val="center"/>
          </w:tcPr>
          <w:p w14:paraId="4C85D82F" w14:textId="77777777" w:rsidR="001478D6" w:rsidRDefault="001478D6" w:rsidP="005D4412">
            <w:r>
              <w:t xml:space="preserve">fenoxaprop, </w:t>
            </w:r>
          </w:p>
          <w:p w14:paraId="45C36169" w14:textId="77777777" w:rsidR="001478D6" w:rsidRDefault="001478D6" w:rsidP="005D4412">
            <w:r>
              <w:t>cinmethylin</w:t>
            </w:r>
          </w:p>
        </w:tc>
      </w:tr>
    </w:tbl>
    <w:p w14:paraId="5B89B04A" w14:textId="2A69E75D" w:rsidR="004F1D9C" w:rsidRDefault="004F1D9C">
      <w:pPr>
        <w:rPr>
          <w:noProof/>
        </w:rPr>
      </w:pPr>
      <w:r>
        <w:rPr>
          <w:noProof/>
        </w:rPr>
        <w:br w:type="page"/>
      </w:r>
    </w:p>
    <w:p w14:paraId="00CFE764" w14:textId="748FAA73" w:rsidR="001478D6" w:rsidRPr="00532633" w:rsidRDefault="001478D6" w:rsidP="004F1D9C">
      <w:pPr>
        <w:spacing w:line="480" w:lineRule="auto"/>
        <w:rPr>
          <w:b/>
          <w:bCs/>
          <w:sz w:val="18"/>
          <w:szCs w:val="18"/>
        </w:rPr>
      </w:pPr>
      <w:r w:rsidRPr="00532633">
        <w:rPr>
          <w:b/>
          <w:bCs/>
          <w:sz w:val="18"/>
          <w:szCs w:val="18"/>
        </w:rPr>
        <w:lastRenderedPageBreak/>
        <w:t xml:space="preserve">Table </w:t>
      </w:r>
      <w:r>
        <w:rPr>
          <w:b/>
          <w:bCs/>
          <w:sz w:val="18"/>
          <w:szCs w:val="18"/>
        </w:rPr>
        <w:t>2</w:t>
      </w:r>
      <w:r w:rsidRPr="00532633">
        <w:rPr>
          <w:b/>
          <w:bCs/>
          <w:sz w:val="18"/>
          <w:szCs w:val="18"/>
        </w:rPr>
        <w:t xml:space="preserve">: Curve fitting and significance parameters for analysis of </w:t>
      </w:r>
      <w:r>
        <w:rPr>
          <w:b/>
          <w:bCs/>
          <w:sz w:val="18"/>
          <w:szCs w:val="18"/>
        </w:rPr>
        <w:t xml:space="preserve">plant </w:t>
      </w:r>
      <w:r w:rsidRPr="00532633">
        <w:rPr>
          <w:b/>
          <w:bCs/>
          <w:sz w:val="18"/>
          <w:szCs w:val="18"/>
        </w:rPr>
        <w:t xml:space="preserve">emergence in response to herbicide treatments. </w:t>
      </w:r>
      <w:r>
        <w:rPr>
          <w:b/>
          <w:bCs/>
          <w:sz w:val="18"/>
          <w:szCs w:val="18"/>
        </w:rPr>
        <w:t>‘F-test’ represents the result of comparing a model fitted with separate ‘R’ and ‘S’ curves versus one with only a single curve estimated. ‘Curve’ represents the drc R-package codes for the best-fitting dose response function following comparison of AIC, with “LL.2” representing a 2-parameter log-logistic, and “W1.2” representing a 2-parameter Weibull function. ‘Index’ represents the ratio of the estimated the ‘R’ and ‘S’ ED</w:t>
      </w:r>
      <w:r w:rsidRPr="00C95784">
        <w:rPr>
          <w:b/>
          <w:bCs/>
          <w:sz w:val="18"/>
          <w:szCs w:val="18"/>
          <w:vertAlign w:val="subscript"/>
        </w:rPr>
        <w:t>50</w:t>
      </w:r>
      <w:r w:rsidR="00EB4A5B">
        <w:rPr>
          <w:b/>
          <w:bCs/>
          <w:sz w:val="18"/>
          <w:szCs w:val="18"/>
        </w:rPr>
        <w:t xml:space="preserve"> values</w:t>
      </w:r>
      <w:r>
        <w:rPr>
          <w:b/>
          <w:bCs/>
          <w:sz w:val="18"/>
          <w:szCs w:val="18"/>
        </w:rPr>
        <w:t>, computed with ‘S’ as the denominator.</w:t>
      </w:r>
      <w:r w:rsidR="007F0729">
        <w:rPr>
          <w:b/>
          <w:bCs/>
          <w:sz w:val="18"/>
          <w:szCs w:val="18"/>
        </w:rPr>
        <w:t xml:space="preserve"> </w:t>
      </w:r>
      <w:bookmarkStart w:id="9" w:name="_Hlk157509237"/>
      <w:r w:rsidR="007F0729">
        <w:rPr>
          <w:b/>
          <w:bCs/>
          <w:sz w:val="18"/>
          <w:szCs w:val="18"/>
        </w:rPr>
        <w:t>Significant differences are denoted using asterisks (* p&lt;0.05, ** p&lt;0.01, *** p&lt;0.001).</w:t>
      </w:r>
      <w:bookmarkEnd w:id="9"/>
    </w:p>
    <w:tbl>
      <w:tblPr>
        <w:tblStyle w:val="TableGrid"/>
        <w:tblW w:w="9214"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2268"/>
        <w:gridCol w:w="1276"/>
        <w:gridCol w:w="1701"/>
        <w:gridCol w:w="1417"/>
      </w:tblGrid>
      <w:tr w:rsidR="001478D6" w14:paraId="0505DF36" w14:textId="77777777" w:rsidTr="005D4412">
        <w:trPr>
          <w:trHeight w:val="412"/>
        </w:trPr>
        <w:tc>
          <w:tcPr>
            <w:tcW w:w="2552" w:type="dxa"/>
            <w:tcBorders>
              <w:top w:val="single" w:sz="12" w:space="0" w:color="auto"/>
              <w:bottom w:val="single" w:sz="12" w:space="0" w:color="auto"/>
            </w:tcBorders>
            <w:shd w:val="clear" w:color="auto" w:fill="F2F2F2" w:themeFill="background1" w:themeFillShade="F2"/>
            <w:vAlign w:val="center"/>
          </w:tcPr>
          <w:p w14:paraId="42ECA73E" w14:textId="77777777" w:rsidR="001478D6" w:rsidRPr="00532633" w:rsidRDefault="001478D6" w:rsidP="005D4412">
            <w:pPr>
              <w:rPr>
                <w:b/>
                <w:bCs/>
              </w:rPr>
            </w:pPr>
            <w:r>
              <w:rPr>
                <w:b/>
                <w:bCs/>
              </w:rPr>
              <w:t>S</w:t>
            </w:r>
            <w:r w:rsidRPr="00532633">
              <w:rPr>
                <w:b/>
                <w:bCs/>
              </w:rPr>
              <w:t>elect</w:t>
            </w:r>
            <w:r>
              <w:rPr>
                <w:b/>
                <w:bCs/>
              </w:rPr>
              <w:t>ed Herbicide</w:t>
            </w:r>
          </w:p>
        </w:tc>
        <w:tc>
          <w:tcPr>
            <w:tcW w:w="2268" w:type="dxa"/>
            <w:tcBorders>
              <w:top w:val="single" w:sz="12" w:space="0" w:color="auto"/>
              <w:bottom w:val="single" w:sz="12" w:space="0" w:color="auto"/>
            </w:tcBorders>
            <w:shd w:val="clear" w:color="auto" w:fill="F2F2F2" w:themeFill="background1" w:themeFillShade="F2"/>
            <w:vAlign w:val="center"/>
          </w:tcPr>
          <w:p w14:paraId="0BD8CD0B" w14:textId="77777777" w:rsidR="001478D6" w:rsidRPr="00532633" w:rsidRDefault="001478D6" w:rsidP="005D4412">
            <w:pPr>
              <w:rPr>
                <w:b/>
                <w:bCs/>
              </w:rPr>
            </w:pPr>
            <w:r>
              <w:rPr>
                <w:b/>
                <w:bCs/>
              </w:rPr>
              <w:t xml:space="preserve">Tested </w:t>
            </w:r>
            <w:r w:rsidRPr="00532633">
              <w:rPr>
                <w:b/>
                <w:bCs/>
              </w:rPr>
              <w:t>Herbicide</w:t>
            </w:r>
          </w:p>
        </w:tc>
        <w:tc>
          <w:tcPr>
            <w:tcW w:w="1276" w:type="dxa"/>
            <w:tcBorders>
              <w:top w:val="single" w:sz="12" w:space="0" w:color="auto"/>
              <w:bottom w:val="single" w:sz="12" w:space="0" w:color="auto"/>
            </w:tcBorders>
            <w:shd w:val="clear" w:color="auto" w:fill="F2F2F2" w:themeFill="background1" w:themeFillShade="F2"/>
            <w:vAlign w:val="center"/>
          </w:tcPr>
          <w:p w14:paraId="173EE3EF" w14:textId="77777777" w:rsidR="001478D6" w:rsidRPr="00532633" w:rsidRDefault="001478D6" w:rsidP="005D4412">
            <w:pPr>
              <w:rPr>
                <w:b/>
                <w:bCs/>
              </w:rPr>
            </w:pPr>
            <w:r w:rsidRPr="00532633">
              <w:rPr>
                <w:b/>
                <w:bCs/>
              </w:rPr>
              <w:t>Curve</w:t>
            </w:r>
          </w:p>
        </w:tc>
        <w:tc>
          <w:tcPr>
            <w:tcW w:w="1701" w:type="dxa"/>
            <w:tcBorders>
              <w:top w:val="single" w:sz="12" w:space="0" w:color="auto"/>
              <w:bottom w:val="single" w:sz="12" w:space="0" w:color="auto"/>
            </w:tcBorders>
            <w:shd w:val="clear" w:color="auto" w:fill="F2F2F2" w:themeFill="background1" w:themeFillShade="F2"/>
            <w:vAlign w:val="center"/>
          </w:tcPr>
          <w:p w14:paraId="62BAFF7F" w14:textId="77777777" w:rsidR="001478D6" w:rsidRPr="00532633" w:rsidRDefault="001478D6" w:rsidP="005D4412">
            <w:pPr>
              <w:rPr>
                <w:b/>
                <w:bCs/>
              </w:rPr>
            </w:pPr>
            <w:r w:rsidRPr="00532633">
              <w:rPr>
                <w:b/>
                <w:bCs/>
              </w:rPr>
              <w:t>F-test</w:t>
            </w:r>
          </w:p>
        </w:tc>
        <w:tc>
          <w:tcPr>
            <w:tcW w:w="1417" w:type="dxa"/>
            <w:tcBorders>
              <w:top w:val="single" w:sz="12" w:space="0" w:color="auto"/>
              <w:bottom w:val="single" w:sz="12" w:space="0" w:color="auto"/>
            </w:tcBorders>
            <w:shd w:val="clear" w:color="auto" w:fill="F2F2F2" w:themeFill="background1" w:themeFillShade="F2"/>
            <w:vAlign w:val="center"/>
          </w:tcPr>
          <w:p w14:paraId="3AE88367" w14:textId="77777777" w:rsidR="001478D6" w:rsidRPr="00532633" w:rsidRDefault="001478D6" w:rsidP="005D4412">
            <w:pPr>
              <w:rPr>
                <w:b/>
                <w:bCs/>
              </w:rPr>
            </w:pPr>
            <w:r w:rsidRPr="00532633">
              <w:rPr>
                <w:b/>
                <w:bCs/>
              </w:rPr>
              <w:t>Index (ED</w:t>
            </w:r>
            <w:r w:rsidRPr="00532633">
              <w:rPr>
                <w:b/>
                <w:bCs/>
                <w:vertAlign w:val="subscript"/>
              </w:rPr>
              <w:t>50</w:t>
            </w:r>
            <w:r w:rsidRPr="00532633">
              <w:rPr>
                <w:b/>
                <w:bCs/>
              </w:rPr>
              <w:t>)</w:t>
            </w:r>
          </w:p>
        </w:tc>
      </w:tr>
      <w:tr w:rsidR="001478D6" w14:paraId="4EC30C87" w14:textId="77777777" w:rsidTr="005D4412">
        <w:trPr>
          <w:trHeight w:val="412"/>
        </w:trPr>
        <w:tc>
          <w:tcPr>
            <w:tcW w:w="2552" w:type="dxa"/>
            <w:tcBorders>
              <w:top w:val="single" w:sz="12" w:space="0" w:color="auto"/>
            </w:tcBorders>
            <w:vAlign w:val="center"/>
          </w:tcPr>
          <w:p w14:paraId="4D50D775" w14:textId="6A30ABE4" w:rsidR="001478D6" w:rsidRDefault="001478D6" w:rsidP="005D4412">
            <w:r>
              <w:t>pendimethalin</w:t>
            </w:r>
          </w:p>
        </w:tc>
        <w:tc>
          <w:tcPr>
            <w:tcW w:w="2268" w:type="dxa"/>
            <w:tcBorders>
              <w:top w:val="single" w:sz="12" w:space="0" w:color="auto"/>
            </w:tcBorders>
            <w:vAlign w:val="center"/>
          </w:tcPr>
          <w:p w14:paraId="3166903A" w14:textId="683F3AE5" w:rsidR="001478D6" w:rsidRDefault="001478D6" w:rsidP="005D4412">
            <w:r>
              <w:t>pendimethalin</w:t>
            </w:r>
          </w:p>
        </w:tc>
        <w:tc>
          <w:tcPr>
            <w:tcW w:w="1276" w:type="dxa"/>
            <w:tcBorders>
              <w:top w:val="single" w:sz="12" w:space="0" w:color="auto"/>
            </w:tcBorders>
            <w:vAlign w:val="center"/>
          </w:tcPr>
          <w:p w14:paraId="46B7CA0D" w14:textId="77777777" w:rsidR="001478D6" w:rsidRDefault="001478D6" w:rsidP="005D4412">
            <w:r>
              <w:t>LL.2</w:t>
            </w:r>
          </w:p>
        </w:tc>
        <w:tc>
          <w:tcPr>
            <w:tcW w:w="1701" w:type="dxa"/>
            <w:tcBorders>
              <w:top w:val="single" w:sz="12" w:space="0" w:color="auto"/>
            </w:tcBorders>
            <w:vAlign w:val="center"/>
          </w:tcPr>
          <w:p w14:paraId="13CF2B6B" w14:textId="77777777" w:rsidR="001478D6" w:rsidRDefault="001478D6" w:rsidP="005D4412">
            <w:r>
              <w:t>&lt;0.001 ***</w:t>
            </w:r>
          </w:p>
        </w:tc>
        <w:tc>
          <w:tcPr>
            <w:tcW w:w="1417" w:type="dxa"/>
            <w:tcBorders>
              <w:top w:val="single" w:sz="12" w:space="0" w:color="auto"/>
            </w:tcBorders>
            <w:vAlign w:val="center"/>
          </w:tcPr>
          <w:p w14:paraId="0DC1616B" w14:textId="77777777" w:rsidR="001478D6" w:rsidRDefault="001478D6" w:rsidP="005D4412">
            <w:r>
              <w:t>R/S 60.52</w:t>
            </w:r>
          </w:p>
        </w:tc>
      </w:tr>
      <w:tr w:rsidR="001478D6" w14:paraId="5372D97A" w14:textId="77777777" w:rsidTr="005D4412">
        <w:trPr>
          <w:trHeight w:val="412"/>
        </w:trPr>
        <w:tc>
          <w:tcPr>
            <w:tcW w:w="2552" w:type="dxa"/>
            <w:vAlign w:val="center"/>
          </w:tcPr>
          <w:p w14:paraId="2BC47BE6" w14:textId="5CC340B3" w:rsidR="001478D6" w:rsidRDefault="001478D6" w:rsidP="005D4412">
            <w:r>
              <w:t>flufenacet</w:t>
            </w:r>
          </w:p>
        </w:tc>
        <w:tc>
          <w:tcPr>
            <w:tcW w:w="2268" w:type="dxa"/>
            <w:vAlign w:val="center"/>
          </w:tcPr>
          <w:p w14:paraId="2BD1ECC4" w14:textId="4996073E" w:rsidR="001478D6" w:rsidRDefault="001478D6" w:rsidP="005D4412">
            <w:r>
              <w:t>flufenacet</w:t>
            </w:r>
          </w:p>
        </w:tc>
        <w:tc>
          <w:tcPr>
            <w:tcW w:w="1276" w:type="dxa"/>
            <w:vAlign w:val="center"/>
          </w:tcPr>
          <w:p w14:paraId="2F74D63F" w14:textId="77777777" w:rsidR="001478D6" w:rsidRDefault="001478D6" w:rsidP="005D4412">
            <w:r>
              <w:t>W1.2</w:t>
            </w:r>
          </w:p>
        </w:tc>
        <w:tc>
          <w:tcPr>
            <w:tcW w:w="1701" w:type="dxa"/>
            <w:vAlign w:val="center"/>
          </w:tcPr>
          <w:p w14:paraId="304C0DD2" w14:textId="77777777" w:rsidR="001478D6" w:rsidRDefault="001478D6" w:rsidP="005D4412">
            <w:r>
              <w:t>&lt;0.001 ***</w:t>
            </w:r>
          </w:p>
        </w:tc>
        <w:tc>
          <w:tcPr>
            <w:tcW w:w="1417" w:type="dxa"/>
            <w:vAlign w:val="center"/>
          </w:tcPr>
          <w:p w14:paraId="70BB1072" w14:textId="77777777" w:rsidR="001478D6" w:rsidRDefault="001478D6" w:rsidP="005D4412">
            <w:r>
              <w:t>R/S 10.02</w:t>
            </w:r>
          </w:p>
        </w:tc>
      </w:tr>
      <w:tr w:rsidR="001478D6" w14:paraId="44F67E8F" w14:textId="77777777" w:rsidTr="005D4412">
        <w:trPr>
          <w:trHeight w:val="412"/>
        </w:trPr>
        <w:tc>
          <w:tcPr>
            <w:tcW w:w="2552" w:type="dxa"/>
            <w:vAlign w:val="center"/>
          </w:tcPr>
          <w:p w14:paraId="780E0518" w14:textId="1BA0A4CD" w:rsidR="001478D6" w:rsidRDefault="001478D6" w:rsidP="005D4412">
            <w:r>
              <w:t>fenoxaprop</w:t>
            </w:r>
          </w:p>
        </w:tc>
        <w:tc>
          <w:tcPr>
            <w:tcW w:w="2268" w:type="dxa"/>
            <w:vAlign w:val="center"/>
          </w:tcPr>
          <w:p w14:paraId="4CE65983" w14:textId="7CDF06B0" w:rsidR="001478D6" w:rsidRDefault="001478D6" w:rsidP="005D4412">
            <w:r>
              <w:t>fenoxaprop</w:t>
            </w:r>
          </w:p>
        </w:tc>
        <w:tc>
          <w:tcPr>
            <w:tcW w:w="1276" w:type="dxa"/>
            <w:vAlign w:val="center"/>
          </w:tcPr>
          <w:p w14:paraId="3C04D0BB" w14:textId="77777777" w:rsidR="001478D6" w:rsidRDefault="001478D6" w:rsidP="005D4412">
            <w:r>
              <w:t>LL.2</w:t>
            </w:r>
          </w:p>
        </w:tc>
        <w:tc>
          <w:tcPr>
            <w:tcW w:w="1701" w:type="dxa"/>
            <w:vAlign w:val="center"/>
          </w:tcPr>
          <w:p w14:paraId="1FC85D1E" w14:textId="77777777" w:rsidR="001478D6" w:rsidRDefault="001478D6" w:rsidP="005D4412">
            <w:r>
              <w:t>&lt;0.001 ***</w:t>
            </w:r>
          </w:p>
        </w:tc>
        <w:tc>
          <w:tcPr>
            <w:tcW w:w="1417" w:type="dxa"/>
            <w:vAlign w:val="center"/>
          </w:tcPr>
          <w:p w14:paraId="64A910CD" w14:textId="77777777" w:rsidR="001478D6" w:rsidRDefault="001478D6" w:rsidP="005D4412">
            <w:r>
              <w:t>R/S &gt;100</w:t>
            </w:r>
          </w:p>
        </w:tc>
      </w:tr>
      <w:tr w:rsidR="001478D6" w14:paraId="2CE29C4A" w14:textId="77777777" w:rsidTr="005D4412">
        <w:trPr>
          <w:trHeight w:val="412"/>
        </w:trPr>
        <w:tc>
          <w:tcPr>
            <w:tcW w:w="2552" w:type="dxa"/>
            <w:vAlign w:val="center"/>
          </w:tcPr>
          <w:p w14:paraId="3F6217FB" w14:textId="13109350" w:rsidR="001478D6" w:rsidRDefault="001478D6" w:rsidP="005D4412">
            <w:r>
              <w:t>meso+iodosulfuron</w:t>
            </w:r>
          </w:p>
        </w:tc>
        <w:tc>
          <w:tcPr>
            <w:tcW w:w="2268" w:type="dxa"/>
            <w:vAlign w:val="center"/>
          </w:tcPr>
          <w:p w14:paraId="313EBE78" w14:textId="7DF023D3" w:rsidR="001478D6" w:rsidRDefault="001478D6" w:rsidP="005D4412">
            <w:r>
              <w:t>meso+iodosulfuron</w:t>
            </w:r>
          </w:p>
        </w:tc>
        <w:tc>
          <w:tcPr>
            <w:tcW w:w="1276" w:type="dxa"/>
            <w:vAlign w:val="center"/>
          </w:tcPr>
          <w:p w14:paraId="4F1DC39B" w14:textId="77777777" w:rsidR="001478D6" w:rsidRDefault="001478D6" w:rsidP="005D4412">
            <w:r>
              <w:t>LL.2</w:t>
            </w:r>
          </w:p>
        </w:tc>
        <w:tc>
          <w:tcPr>
            <w:tcW w:w="1701" w:type="dxa"/>
            <w:vAlign w:val="center"/>
          </w:tcPr>
          <w:p w14:paraId="43E5EC1F" w14:textId="77777777" w:rsidR="001478D6" w:rsidRDefault="001478D6" w:rsidP="005D4412">
            <w:r>
              <w:t>&lt;0.001 ***</w:t>
            </w:r>
          </w:p>
        </w:tc>
        <w:tc>
          <w:tcPr>
            <w:tcW w:w="1417" w:type="dxa"/>
            <w:vAlign w:val="center"/>
          </w:tcPr>
          <w:p w14:paraId="66A040CB" w14:textId="77777777" w:rsidR="001478D6" w:rsidRDefault="001478D6" w:rsidP="005D4412">
            <w:r>
              <w:t>R/S 3.1</w:t>
            </w:r>
          </w:p>
        </w:tc>
      </w:tr>
      <w:tr w:rsidR="001478D6" w14:paraId="253FCC96" w14:textId="77777777" w:rsidTr="005D4412">
        <w:trPr>
          <w:trHeight w:val="412"/>
        </w:trPr>
        <w:tc>
          <w:tcPr>
            <w:tcW w:w="2552" w:type="dxa"/>
            <w:tcBorders>
              <w:top w:val="single" w:sz="12" w:space="0" w:color="auto"/>
            </w:tcBorders>
            <w:vAlign w:val="center"/>
          </w:tcPr>
          <w:p w14:paraId="0C9295FB" w14:textId="009B4599" w:rsidR="001478D6" w:rsidRDefault="001478D6" w:rsidP="005D4412">
            <w:r>
              <w:t>pendimethalin</w:t>
            </w:r>
          </w:p>
        </w:tc>
        <w:tc>
          <w:tcPr>
            <w:tcW w:w="2268" w:type="dxa"/>
            <w:tcBorders>
              <w:top w:val="single" w:sz="12" w:space="0" w:color="auto"/>
            </w:tcBorders>
            <w:vAlign w:val="center"/>
          </w:tcPr>
          <w:p w14:paraId="6E908284" w14:textId="5FC9C071" w:rsidR="001478D6" w:rsidRDefault="001478D6" w:rsidP="005D4412">
            <w:r>
              <w:t>cinmethylin</w:t>
            </w:r>
          </w:p>
        </w:tc>
        <w:tc>
          <w:tcPr>
            <w:tcW w:w="1276" w:type="dxa"/>
            <w:tcBorders>
              <w:top w:val="single" w:sz="12" w:space="0" w:color="auto"/>
            </w:tcBorders>
            <w:vAlign w:val="center"/>
          </w:tcPr>
          <w:p w14:paraId="38EBF4F8" w14:textId="77777777" w:rsidR="001478D6" w:rsidRDefault="001478D6" w:rsidP="005D4412">
            <w:r>
              <w:t>LL.2</w:t>
            </w:r>
          </w:p>
        </w:tc>
        <w:tc>
          <w:tcPr>
            <w:tcW w:w="1701" w:type="dxa"/>
            <w:tcBorders>
              <w:top w:val="single" w:sz="12" w:space="0" w:color="auto"/>
            </w:tcBorders>
            <w:vAlign w:val="center"/>
          </w:tcPr>
          <w:p w14:paraId="4F21A10A" w14:textId="77777777" w:rsidR="001478D6" w:rsidRDefault="001478D6" w:rsidP="005D4412">
            <w:r>
              <w:t>&lt;0.001 ***</w:t>
            </w:r>
          </w:p>
        </w:tc>
        <w:tc>
          <w:tcPr>
            <w:tcW w:w="1417" w:type="dxa"/>
            <w:tcBorders>
              <w:top w:val="single" w:sz="12" w:space="0" w:color="auto"/>
            </w:tcBorders>
            <w:vAlign w:val="center"/>
          </w:tcPr>
          <w:p w14:paraId="582BD965" w14:textId="77777777" w:rsidR="001478D6" w:rsidRDefault="001478D6" w:rsidP="005D4412">
            <w:r>
              <w:t>R/S 3.77</w:t>
            </w:r>
          </w:p>
        </w:tc>
      </w:tr>
      <w:tr w:rsidR="001478D6" w14:paraId="299B7456" w14:textId="77777777" w:rsidTr="005D4412">
        <w:trPr>
          <w:trHeight w:val="412"/>
        </w:trPr>
        <w:tc>
          <w:tcPr>
            <w:tcW w:w="2552" w:type="dxa"/>
            <w:vAlign w:val="center"/>
          </w:tcPr>
          <w:p w14:paraId="1B98689E" w14:textId="59E8A24A" w:rsidR="001478D6" w:rsidRDefault="001478D6" w:rsidP="005D4412">
            <w:r>
              <w:t>flufenacet</w:t>
            </w:r>
          </w:p>
        </w:tc>
        <w:tc>
          <w:tcPr>
            <w:tcW w:w="2268" w:type="dxa"/>
            <w:vAlign w:val="center"/>
          </w:tcPr>
          <w:p w14:paraId="40F22BDF" w14:textId="4CA6E41F" w:rsidR="001478D6" w:rsidRDefault="001478D6" w:rsidP="005D4412">
            <w:r>
              <w:t>cinmethylin</w:t>
            </w:r>
          </w:p>
        </w:tc>
        <w:tc>
          <w:tcPr>
            <w:tcW w:w="1276" w:type="dxa"/>
            <w:vAlign w:val="center"/>
          </w:tcPr>
          <w:p w14:paraId="2589E5E0" w14:textId="77777777" w:rsidR="001478D6" w:rsidRDefault="001478D6" w:rsidP="005D4412">
            <w:r>
              <w:t>LL.2</w:t>
            </w:r>
          </w:p>
        </w:tc>
        <w:tc>
          <w:tcPr>
            <w:tcW w:w="1701" w:type="dxa"/>
            <w:vAlign w:val="center"/>
          </w:tcPr>
          <w:p w14:paraId="36449060" w14:textId="77777777" w:rsidR="001478D6" w:rsidRDefault="001478D6" w:rsidP="005D4412">
            <w:r>
              <w:t>0.106 ns</w:t>
            </w:r>
          </w:p>
        </w:tc>
        <w:tc>
          <w:tcPr>
            <w:tcW w:w="1417" w:type="dxa"/>
            <w:vAlign w:val="center"/>
          </w:tcPr>
          <w:p w14:paraId="7F639015" w14:textId="77777777" w:rsidR="001478D6" w:rsidRDefault="001478D6" w:rsidP="005D4412">
            <w:r>
              <w:t>R/S 1.44</w:t>
            </w:r>
          </w:p>
        </w:tc>
      </w:tr>
      <w:tr w:rsidR="001478D6" w14:paraId="2A2ED9DE" w14:textId="77777777" w:rsidTr="005D4412">
        <w:trPr>
          <w:trHeight w:val="412"/>
        </w:trPr>
        <w:tc>
          <w:tcPr>
            <w:tcW w:w="2552" w:type="dxa"/>
            <w:vAlign w:val="center"/>
          </w:tcPr>
          <w:p w14:paraId="4BCAC0B6" w14:textId="398A610A" w:rsidR="001478D6" w:rsidRDefault="001478D6" w:rsidP="005D4412">
            <w:r>
              <w:t>fenoxaprop</w:t>
            </w:r>
          </w:p>
        </w:tc>
        <w:tc>
          <w:tcPr>
            <w:tcW w:w="2268" w:type="dxa"/>
            <w:vAlign w:val="center"/>
          </w:tcPr>
          <w:p w14:paraId="3C4FEC2C" w14:textId="0CB98611" w:rsidR="001478D6" w:rsidRDefault="001478D6" w:rsidP="005D4412">
            <w:r>
              <w:t>cinmethylin</w:t>
            </w:r>
          </w:p>
        </w:tc>
        <w:tc>
          <w:tcPr>
            <w:tcW w:w="1276" w:type="dxa"/>
            <w:vAlign w:val="center"/>
          </w:tcPr>
          <w:p w14:paraId="61241698" w14:textId="77777777" w:rsidR="001478D6" w:rsidRDefault="001478D6" w:rsidP="005D4412">
            <w:r>
              <w:t>LL.2</w:t>
            </w:r>
          </w:p>
        </w:tc>
        <w:tc>
          <w:tcPr>
            <w:tcW w:w="1701" w:type="dxa"/>
            <w:vAlign w:val="center"/>
          </w:tcPr>
          <w:p w14:paraId="4083B16A" w14:textId="77777777" w:rsidR="001478D6" w:rsidRDefault="001478D6" w:rsidP="005D4412">
            <w:r>
              <w:t>&lt;0.001 ***</w:t>
            </w:r>
          </w:p>
        </w:tc>
        <w:tc>
          <w:tcPr>
            <w:tcW w:w="1417" w:type="dxa"/>
            <w:vAlign w:val="center"/>
          </w:tcPr>
          <w:p w14:paraId="173A1470" w14:textId="77777777" w:rsidR="001478D6" w:rsidRDefault="001478D6" w:rsidP="005D4412">
            <w:r>
              <w:t>R/S 7.32</w:t>
            </w:r>
          </w:p>
        </w:tc>
      </w:tr>
      <w:tr w:rsidR="001478D6" w14:paraId="7D2B2110" w14:textId="77777777" w:rsidTr="005D4412">
        <w:trPr>
          <w:trHeight w:val="412"/>
        </w:trPr>
        <w:tc>
          <w:tcPr>
            <w:tcW w:w="2552" w:type="dxa"/>
            <w:vAlign w:val="center"/>
          </w:tcPr>
          <w:p w14:paraId="6268D092" w14:textId="4458EDF4" w:rsidR="001478D6" w:rsidRDefault="001478D6" w:rsidP="005D4412">
            <w:r>
              <w:t>meso+iodosulfuron</w:t>
            </w:r>
          </w:p>
        </w:tc>
        <w:tc>
          <w:tcPr>
            <w:tcW w:w="2268" w:type="dxa"/>
            <w:vAlign w:val="center"/>
          </w:tcPr>
          <w:p w14:paraId="6A165058" w14:textId="22AD70D3" w:rsidR="001478D6" w:rsidRDefault="001478D6" w:rsidP="005D4412">
            <w:r>
              <w:t>cinmethylin</w:t>
            </w:r>
          </w:p>
        </w:tc>
        <w:tc>
          <w:tcPr>
            <w:tcW w:w="1276" w:type="dxa"/>
            <w:vAlign w:val="center"/>
          </w:tcPr>
          <w:p w14:paraId="751541F7" w14:textId="77777777" w:rsidR="001478D6" w:rsidRDefault="001478D6" w:rsidP="005D4412">
            <w:r>
              <w:t>LL.2</w:t>
            </w:r>
          </w:p>
        </w:tc>
        <w:tc>
          <w:tcPr>
            <w:tcW w:w="1701" w:type="dxa"/>
            <w:vAlign w:val="center"/>
          </w:tcPr>
          <w:p w14:paraId="4B90A68D" w14:textId="77777777" w:rsidR="001478D6" w:rsidRDefault="001478D6" w:rsidP="005D4412">
            <w:r>
              <w:t>1.00 ns</w:t>
            </w:r>
          </w:p>
        </w:tc>
        <w:tc>
          <w:tcPr>
            <w:tcW w:w="1417" w:type="dxa"/>
            <w:vAlign w:val="center"/>
          </w:tcPr>
          <w:p w14:paraId="075258F3" w14:textId="77777777" w:rsidR="001478D6" w:rsidRDefault="001478D6" w:rsidP="005D4412">
            <w:r>
              <w:t>R/S 1.42</w:t>
            </w:r>
          </w:p>
        </w:tc>
      </w:tr>
    </w:tbl>
    <w:p w14:paraId="7AA06B41" w14:textId="77777777" w:rsidR="001478D6" w:rsidRDefault="001478D6" w:rsidP="001478D6"/>
    <w:p w14:paraId="68F47E8C" w14:textId="359DA2E5" w:rsidR="001478D6" w:rsidRDefault="001478D6">
      <w:r>
        <w:br w:type="page"/>
      </w:r>
    </w:p>
    <w:p w14:paraId="2313E175" w14:textId="77777777" w:rsidR="001478D6" w:rsidRDefault="001478D6" w:rsidP="001478D6">
      <w:r w:rsidRPr="00345376">
        <w:rPr>
          <w:noProof/>
        </w:rPr>
        <w:lastRenderedPageBreak/>
        <w:drawing>
          <wp:inline distT="0" distB="0" distL="0" distR="0" wp14:anchorId="4F373CE7" wp14:editId="15285106">
            <wp:extent cx="5731510" cy="48196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819650"/>
                    </a:xfrm>
                    <a:prstGeom prst="rect">
                      <a:avLst/>
                    </a:prstGeom>
                  </pic:spPr>
                </pic:pic>
              </a:graphicData>
            </a:graphic>
          </wp:inline>
        </w:drawing>
      </w:r>
    </w:p>
    <w:p w14:paraId="55C4411A" w14:textId="77777777" w:rsidR="004F1D9C" w:rsidRDefault="004F1D9C" w:rsidP="004F1D9C">
      <w:pPr>
        <w:spacing w:line="480" w:lineRule="auto"/>
        <w:rPr>
          <w:b/>
          <w:bCs/>
          <w:sz w:val="18"/>
          <w:szCs w:val="18"/>
        </w:rPr>
      </w:pPr>
    </w:p>
    <w:p w14:paraId="328552C8" w14:textId="2057B983" w:rsidR="001478D6" w:rsidRDefault="001478D6" w:rsidP="004F1D9C">
      <w:pPr>
        <w:spacing w:line="480" w:lineRule="auto"/>
      </w:pPr>
      <w:r>
        <w:rPr>
          <w:b/>
          <w:bCs/>
          <w:sz w:val="18"/>
          <w:szCs w:val="18"/>
        </w:rPr>
        <w:t>Figure 1</w:t>
      </w:r>
      <w:r w:rsidRPr="00532633">
        <w:rPr>
          <w:b/>
          <w:bCs/>
          <w:sz w:val="18"/>
          <w:szCs w:val="18"/>
        </w:rPr>
        <w:t xml:space="preserve">: </w:t>
      </w:r>
      <w:r>
        <w:rPr>
          <w:b/>
          <w:bCs/>
          <w:sz w:val="18"/>
          <w:szCs w:val="18"/>
        </w:rPr>
        <w:t>Efficacy of</w:t>
      </w:r>
      <w:r w:rsidRPr="00532633">
        <w:rPr>
          <w:b/>
          <w:bCs/>
          <w:sz w:val="18"/>
          <w:szCs w:val="18"/>
        </w:rPr>
        <w:t xml:space="preserve"> pre-emergence </w:t>
      </w:r>
      <w:r>
        <w:rPr>
          <w:b/>
          <w:bCs/>
          <w:sz w:val="18"/>
          <w:szCs w:val="18"/>
        </w:rPr>
        <w:t>cinmethylin</w:t>
      </w:r>
      <w:r w:rsidRPr="00532633">
        <w:rPr>
          <w:b/>
          <w:bCs/>
          <w:sz w:val="18"/>
          <w:szCs w:val="18"/>
        </w:rPr>
        <w:t xml:space="preserve"> treatment</w:t>
      </w:r>
      <w:r>
        <w:rPr>
          <w:b/>
          <w:bCs/>
          <w:sz w:val="18"/>
          <w:szCs w:val="18"/>
        </w:rPr>
        <w:t xml:space="preserve"> on UK populations conducted under glasshouse conditions</w:t>
      </w:r>
      <w:r w:rsidRPr="00532633">
        <w:rPr>
          <w:b/>
          <w:bCs/>
          <w:sz w:val="18"/>
          <w:szCs w:val="18"/>
        </w:rPr>
        <w:t>.</w:t>
      </w:r>
      <w:r>
        <w:rPr>
          <w:b/>
          <w:bCs/>
          <w:sz w:val="18"/>
          <w:szCs w:val="18"/>
        </w:rPr>
        <w:t xml:space="preserve"> (A) and (B) show the effects of increasing cinmethylin dose on plant emergence and aboveground biomass</w:t>
      </w:r>
      <w:r w:rsidR="00B96C2D">
        <w:rPr>
          <w:b/>
          <w:bCs/>
          <w:sz w:val="18"/>
          <w:szCs w:val="18"/>
        </w:rPr>
        <w:t xml:space="preserve"> (g)</w:t>
      </w:r>
      <w:r>
        <w:rPr>
          <w:b/>
          <w:bCs/>
          <w:sz w:val="18"/>
          <w:szCs w:val="18"/>
        </w:rPr>
        <w:t xml:space="preserve"> for three ‘standard’ experimental blackgrass populations</w:t>
      </w:r>
      <w:bookmarkStart w:id="10" w:name="_Hlk157509563"/>
      <w:r>
        <w:rPr>
          <w:b/>
          <w:bCs/>
          <w:sz w:val="18"/>
          <w:szCs w:val="18"/>
        </w:rPr>
        <w:t>.</w:t>
      </w:r>
      <w:r w:rsidR="00A5682D" w:rsidRPr="00A5682D">
        <w:rPr>
          <w:b/>
          <w:bCs/>
          <w:sz w:val="18"/>
          <w:szCs w:val="18"/>
        </w:rPr>
        <w:t xml:space="preserve"> </w:t>
      </w:r>
      <w:r w:rsidR="00A5682D">
        <w:rPr>
          <w:b/>
          <w:bCs/>
          <w:sz w:val="18"/>
          <w:szCs w:val="18"/>
        </w:rPr>
        <w:t>Error bars in (A) and (B) represent the standard error of the mean (SE).</w:t>
      </w:r>
      <w:r>
        <w:rPr>
          <w:b/>
          <w:bCs/>
          <w:sz w:val="18"/>
          <w:szCs w:val="18"/>
        </w:rPr>
        <w:t xml:space="preserve"> </w:t>
      </w:r>
      <w:bookmarkEnd w:id="10"/>
      <w:r>
        <w:rPr>
          <w:b/>
          <w:bCs/>
          <w:sz w:val="18"/>
          <w:szCs w:val="18"/>
        </w:rPr>
        <w:t xml:space="preserve">(C) and (D) show the plant emergence and aboveground biomass </w:t>
      </w:r>
      <w:r w:rsidR="00B96C2D">
        <w:rPr>
          <w:b/>
          <w:bCs/>
          <w:sz w:val="18"/>
          <w:szCs w:val="18"/>
        </w:rPr>
        <w:t xml:space="preserve">(g) </w:t>
      </w:r>
      <w:r>
        <w:rPr>
          <w:b/>
          <w:bCs/>
          <w:sz w:val="18"/>
          <w:szCs w:val="18"/>
        </w:rPr>
        <w:t>for a wider collection of UK field populations. Each single thin line represents the result from a different field collected population, while the thick blue line represents the overall mean response across all tested populations</w:t>
      </w:r>
      <w:bookmarkStart w:id="11" w:name="_Hlk157509918"/>
      <w:r>
        <w:rPr>
          <w:b/>
          <w:bCs/>
          <w:sz w:val="18"/>
          <w:szCs w:val="18"/>
        </w:rPr>
        <w:t>.</w:t>
      </w:r>
      <w:r w:rsidR="00A5682D">
        <w:rPr>
          <w:b/>
          <w:bCs/>
          <w:sz w:val="18"/>
          <w:szCs w:val="18"/>
        </w:rPr>
        <w:t xml:space="preserve"> </w:t>
      </w:r>
      <w:r w:rsidR="00534921">
        <w:rPr>
          <w:b/>
          <w:bCs/>
          <w:sz w:val="18"/>
          <w:szCs w:val="18"/>
        </w:rPr>
        <w:t>Field p</w:t>
      </w:r>
      <w:r w:rsidR="00A5682D">
        <w:rPr>
          <w:b/>
          <w:bCs/>
          <w:sz w:val="18"/>
          <w:szCs w:val="18"/>
        </w:rPr>
        <w:t xml:space="preserve">opulations with </w:t>
      </w:r>
      <w:r w:rsidR="00534921">
        <w:rPr>
          <w:b/>
          <w:bCs/>
          <w:sz w:val="18"/>
          <w:szCs w:val="18"/>
        </w:rPr>
        <w:t>apparent</w:t>
      </w:r>
      <w:r w:rsidR="00A5682D">
        <w:rPr>
          <w:b/>
          <w:bCs/>
          <w:sz w:val="18"/>
          <w:szCs w:val="18"/>
        </w:rPr>
        <w:t xml:space="preserve"> lower sensitivity to cinmethylin in (B) and (C) are labelled with their population number, with year of collection</w:t>
      </w:r>
      <w:r w:rsidR="00534921">
        <w:rPr>
          <w:b/>
          <w:bCs/>
          <w:sz w:val="18"/>
          <w:szCs w:val="18"/>
        </w:rPr>
        <w:t xml:space="preserve"> given</w:t>
      </w:r>
      <w:r w:rsidR="00A5682D">
        <w:rPr>
          <w:b/>
          <w:bCs/>
          <w:sz w:val="18"/>
          <w:szCs w:val="18"/>
        </w:rPr>
        <w:t xml:space="preserve"> in parenthesis. </w:t>
      </w:r>
      <w:bookmarkEnd w:id="11"/>
      <w:r>
        <w:br w:type="page"/>
      </w:r>
    </w:p>
    <w:p w14:paraId="3DD42939" w14:textId="77777777" w:rsidR="001478D6" w:rsidRDefault="001478D6" w:rsidP="001478D6">
      <w:r w:rsidRPr="002639C2">
        <w:rPr>
          <w:noProof/>
        </w:rPr>
        <w:lastRenderedPageBreak/>
        <w:drawing>
          <wp:inline distT="0" distB="0" distL="0" distR="0" wp14:anchorId="60E0B0D4" wp14:editId="26EC8E42">
            <wp:extent cx="5414355" cy="65396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9345" cy="6545723"/>
                    </a:xfrm>
                    <a:prstGeom prst="rect">
                      <a:avLst/>
                    </a:prstGeom>
                  </pic:spPr>
                </pic:pic>
              </a:graphicData>
            </a:graphic>
          </wp:inline>
        </w:drawing>
      </w:r>
      <w:r w:rsidRPr="002639C2">
        <w:t xml:space="preserve"> </w:t>
      </w:r>
    </w:p>
    <w:p w14:paraId="10E56A56" w14:textId="7DF59815" w:rsidR="001478D6" w:rsidRDefault="001478D6" w:rsidP="004F1D9C">
      <w:pPr>
        <w:spacing w:line="480" w:lineRule="auto"/>
        <w:rPr>
          <w:b/>
          <w:bCs/>
          <w:sz w:val="18"/>
          <w:szCs w:val="18"/>
        </w:rPr>
      </w:pPr>
      <w:r>
        <w:rPr>
          <w:b/>
          <w:bCs/>
          <w:sz w:val="18"/>
          <w:szCs w:val="18"/>
        </w:rPr>
        <w:t>Figure 2</w:t>
      </w:r>
      <w:r w:rsidRPr="00532633">
        <w:rPr>
          <w:b/>
          <w:bCs/>
          <w:sz w:val="18"/>
          <w:szCs w:val="18"/>
        </w:rPr>
        <w:t xml:space="preserve">: </w:t>
      </w:r>
      <w:r>
        <w:rPr>
          <w:b/>
          <w:bCs/>
          <w:sz w:val="18"/>
          <w:szCs w:val="18"/>
        </w:rPr>
        <w:t>Efficacy of</w:t>
      </w:r>
      <w:r w:rsidRPr="00532633">
        <w:rPr>
          <w:b/>
          <w:bCs/>
          <w:sz w:val="18"/>
          <w:szCs w:val="18"/>
        </w:rPr>
        <w:t xml:space="preserve"> pre-emergence </w:t>
      </w:r>
      <w:r>
        <w:rPr>
          <w:b/>
          <w:bCs/>
          <w:sz w:val="18"/>
          <w:szCs w:val="18"/>
        </w:rPr>
        <w:t>cinmethylin</w:t>
      </w:r>
      <w:r w:rsidRPr="00532633">
        <w:rPr>
          <w:b/>
          <w:bCs/>
          <w:sz w:val="18"/>
          <w:szCs w:val="18"/>
        </w:rPr>
        <w:t xml:space="preserve"> treatment</w:t>
      </w:r>
      <w:r>
        <w:rPr>
          <w:b/>
          <w:bCs/>
          <w:sz w:val="18"/>
          <w:szCs w:val="18"/>
        </w:rPr>
        <w:t xml:space="preserve"> on selected populations conducted outdoors</w:t>
      </w:r>
      <w:r w:rsidRPr="00532633">
        <w:rPr>
          <w:b/>
          <w:bCs/>
          <w:sz w:val="18"/>
          <w:szCs w:val="18"/>
        </w:rPr>
        <w:t>.</w:t>
      </w:r>
      <w:r>
        <w:rPr>
          <w:b/>
          <w:bCs/>
          <w:sz w:val="18"/>
          <w:szCs w:val="18"/>
        </w:rPr>
        <w:t xml:space="preserve"> (A) Representative containers of each population over the tested cinmethylin doses. Containers are arranged with population as rows, and herbicide dose in columns, with doses given in g ai ha</w:t>
      </w:r>
      <w:r w:rsidRPr="00EF106C">
        <w:rPr>
          <w:b/>
          <w:bCs/>
          <w:sz w:val="18"/>
          <w:szCs w:val="18"/>
          <w:vertAlign w:val="superscript"/>
        </w:rPr>
        <w:t>-1</w:t>
      </w:r>
      <w:r>
        <w:rPr>
          <w:b/>
          <w:bCs/>
          <w:sz w:val="18"/>
          <w:szCs w:val="18"/>
        </w:rPr>
        <w:t xml:space="preserve"> as white text. (B) Dose-response relationship for each population exposed to cinmethylin, fitted using a Weibuill type-2, 2-parameter non-linear function using the ‘R’ package ‘drc’. (C) Proportional seedling emergence of each population from additional containers treated with flufenacet at 180 g ha</w:t>
      </w:r>
      <w:r w:rsidRPr="00F7632E">
        <w:rPr>
          <w:b/>
          <w:bCs/>
          <w:sz w:val="18"/>
          <w:szCs w:val="18"/>
          <w:vertAlign w:val="superscript"/>
        </w:rPr>
        <w:t>-1</w:t>
      </w:r>
      <w:r>
        <w:rPr>
          <w:b/>
          <w:bCs/>
          <w:sz w:val="18"/>
          <w:szCs w:val="18"/>
        </w:rPr>
        <w:t xml:space="preserve"> (left), or pendimethalin at 1200 g ha</w:t>
      </w:r>
      <w:r w:rsidRPr="00F7632E">
        <w:rPr>
          <w:b/>
          <w:bCs/>
          <w:sz w:val="18"/>
          <w:szCs w:val="18"/>
          <w:vertAlign w:val="superscript"/>
        </w:rPr>
        <w:t>-1</w:t>
      </w:r>
      <w:r>
        <w:rPr>
          <w:b/>
          <w:bCs/>
          <w:sz w:val="18"/>
          <w:szCs w:val="18"/>
        </w:rPr>
        <w:t xml:space="preserve"> (right), (compared with unsprayed control containers).</w:t>
      </w:r>
      <w:r w:rsidR="00A5682D">
        <w:rPr>
          <w:b/>
          <w:bCs/>
          <w:sz w:val="18"/>
          <w:szCs w:val="18"/>
        </w:rPr>
        <w:t xml:space="preserve"> </w:t>
      </w:r>
      <w:bookmarkStart w:id="12" w:name="_Hlk157509404"/>
      <w:r w:rsidR="00A5682D">
        <w:rPr>
          <w:b/>
          <w:bCs/>
          <w:sz w:val="18"/>
          <w:szCs w:val="18"/>
        </w:rPr>
        <w:t>Error bars in (B) and (C) represent the standard error of the mean (SE).</w:t>
      </w:r>
      <w:bookmarkEnd w:id="12"/>
    </w:p>
    <w:p w14:paraId="62BDE6D7" w14:textId="41FC9B8A" w:rsidR="001478D6" w:rsidRDefault="001478D6">
      <w:pPr>
        <w:rPr>
          <w:b/>
          <w:bCs/>
          <w:sz w:val="18"/>
          <w:szCs w:val="18"/>
        </w:rPr>
      </w:pPr>
      <w:r>
        <w:rPr>
          <w:b/>
          <w:bCs/>
          <w:sz w:val="18"/>
          <w:szCs w:val="18"/>
        </w:rPr>
        <w:br w:type="page"/>
      </w:r>
    </w:p>
    <w:p w14:paraId="75B97552" w14:textId="77777777" w:rsidR="001478D6" w:rsidRDefault="001478D6" w:rsidP="001478D6">
      <w:r w:rsidRPr="00B0740C">
        <w:rPr>
          <w:noProof/>
        </w:rPr>
        <w:lastRenderedPageBreak/>
        <w:drawing>
          <wp:inline distT="0" distB="0" distL="0" distR="0" wp14:anchorId="567BC35F" wp14:editId="6502F0DF">
            <wp:extent cx="5731510" cy="41643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4164330"/>
                    </a:xfrm>
                    <a:prstGeom prst="rect">
                      <a:avLst/>
                    </a:prstGeom>
                  </pic:spPr>
                </pic:pic>
              </a:graphicData>
            </a:graphic>
          </wp:inline>
        </w:drawing>
      </w:r>
    </w:p>
    <w:p w14:paraId="66D6B8C8" w14:textId="55C8F3EA" w:rsidR="001478D6" w:rsidRDefault="001478D6" w:rsidP="004F1D9C">
      <w:pPr>
        <w:spacing w:line="480" w:lineRule="auto"/>
        <w:rPr>
          <w:b/>
          <w:bCs/>
          <w:sz w:val="18"/>
          <w:szCs w:val="18"/>
        </w:rPr>
      </w:pPr>
      <w:r>
        <w:rPr>
          <w:b/>
          <w:bCs/>
          <w:sz w:val="18"/>
          <w:szCs w:val="18"/>
        </w:rPr>
        <w:t>Figure 3</w:t>
      </w:r>
      <w:r w:rsidRPr="00532633">
        <w:rPr>
          <w:b/>
          <w:bCs/>
          <w:sz w:val="18"/>
          <w:szCs w:val="18"/>
        </w:rPr>
        <w:t xml:space="preserve">: </w:t>
      </w:r>
      <w:r>
        <w:rPr>
          <w:b/>
          <w:bCs/>
          <w:sz w:val="18"/>
          <w:szCs w:val="18"/>
        </w:rPr>
        <w:t>Effect of pre-selection with other herbicides on the efficacy of</w:t>
      </w:r>
      <w:r w:rsidRPr="00532633">
        <w:rPr>
          <w:b/>
          <w:bCs/>
          <w:sz w:val="18"/>
          <w:szCs w:val="18"/>
        </w:rPr>
        <w:t xml:space="preserve"> </w:t>
      </w:r>
      <w:r>
        <w:rPr>
          <w:b/>
          <w:bCs/>
          <w:sz w:val="18"/>
          <w:szCs w:val="18"/>
        </w:rPr>
        <w:t>cinmethylin. (A) and (B) show the fitted cinmethylin dose response relationship and estimated cinmethylin ED</w:t>
      </w:r>
      <w:r w:rsidRPr="00CE0570">
        <w:rPr>
          <w:b/>
          <w:bCs/>
          <w:sz w:val="18"/>
          <w:szCs w:val="18"/>
          <w:vertAlign w:val="subscript"/>
        </w:rPr>
        <w:t>50</w:t>
      </w:r>
      <w:r>
        <w:rPr>
          <w:b/>
          <w:bCs/>
          <w:sz w:val="18"/>
          <w:szCs w:val="18"/>
        </w:rPr>
        <w:t xml:space="preserve"> values for a blackgrass line experimentally selected for resistance to pendimethalin. (C) and (D)</w:t>
      </w:r>
      <w:r w:rsidRPr="00CE0570">
        <w:rPr>
          <w:b/>
          <w:bCs/>
          <w:sz w:val="18"/>
          <w:szCs w:val="18"/>
        </w:rPr>
        <w:t xml:space="preserve"> </w:t>
      </w:r>
      <w:r>
        <w:rPr>
          <w:b/>
          <w:bCs/>
          <w:sz w:val="18"/>
          <w:szCs w:val="18"/>
        </w:rPr>
        <w:t>show the fitted cinmethylin dose response relationship and estimated cinmethylin ED</w:t>
      </w:r>
      <w:r w:rsidRPr="00CE0570">
        <w:rPr>
          <w:b/>
          <w:bCs/>
          <w:sz w:val="18"/>
          <w:szCs w:val="18"/>
          <w:vertAlign w:val="subscript"/>
        </w:rPr>
        <w:t>50</w:t>
      </w:r>
      <w:r>
        <w:rPr>
          <w:b/>
          <w:bCs/>
          <w:sz w:val="18"/>
          <w:szCs w:val="18"/>
        </w:rPr>
        <w:t xml:space="preserve"> values for a blackgrass line segregating for resistance to fenoxaprop. In each case “R” and “S” are derived from the same genetic background, but differ in non-target-site resistance to their selected herbicide.</w:t>
      </w:r>
      <w:r w:rsidR="00B96C2D">
        <w:rPr>
          <w:b/>
          <w:bCs/>
          <w:sz w:val="18"/>
          <w:szCs w:val="18"/>
        </w:rPr>
        <w:t xml:space="preserve"> Error bars show the 95% confidence interval around each estimated ED</w:t>
      </w:r>
      <w:r w:rsidR="00B96C2D" w:rsidRPr="00FE19E9">
        <w:rPr>
          <w:b/>
          <w:bCs/>
          <w:sz w:val="18"/>
          <w:szCs w:val="18"/>
          <w:vertAlign w:val="subscript"/>
        </w:rPr>
        <w:t>50</w:t>
      </w:r>
      <w:r w:rsidR="00B96C2D">
        <w:rPr>
          <w:b/>
          <w:bCs/>
          <w:sz w:val="18"/>
          <w:szCs w:val="18"/>
        </w:rPr>
        <w:t xml:space="preserve"> value. Significant differences are denoted using asterisks (* p&lt;0.05, ** p&lt;0.01, *** p&lt;0.001).</w:t>
      </w:r>
    </w:p>
    <w:p w14:paraId="12E7CECF" w14:textId="6AD6FD6F" w:rsidR="001478D6" w:rsidRDefault="001478D6" w:rsidP="001478D6"/>
    <w:p w14:paraId="3AACB09D" w14:textId="77777777" w:rsidR="001478D6" w:rsidRDefault="001478D6" w:rsidP="001478D6">
      <w:pPr>
        <w:jc w:val="center"/>
        <w:rPr>
          <w:b/>
          <w:bCs/>
          <w:sz w:val="18"/>
          <w:szCs w:val="18"/>
        </w:rPr>
      </w:pPr>
      <w:r w:rsidRPr="00D83933">
        <w:rPr>
          <w:noProof/>
        </w:rPr>
        <w:lastRenderedPageBreak/>
        <w:drawing>
          <wp:inline distT="0" distB="0" distL="0" distR="0" wp14:anchorId="3D92EE64" wp14:editId="48D050D0">
            <wp:extent cx="5486411" cy="54864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11" cy="5486411"/>
                    </a:xfrm>
                    <a:prstGeom prst="rect">
                      <a:avLst/>
                    </a:prstGeom>
                  </pic:spPr>
                </pic:pic>
              </a:graphicData>
            </a:graphic>
          </wp:inline>
        </w:drawing>
      </w:r>
    </w:p>
    <w:p w14:paraId="54C56C0E" w14:textId="39431B74" w:rsidR="001478D6" w:rsidRPr="004F1D9C" w:rsidRDefault="001478D6" w:rsidP="004F1D9C">
      <w:pPr>
        <w:spacing w:line="480" w:lineRule="auto"/>
        <w:rPr>
          <w:b/>
          <w:bCs/>
          <w:sz w:val="18"/>
          <w:szCs w:val="18"/>
        </w:rPr>
      </w:pPr>
      <w:r>
        <w:rPr>
          <w:b/>
          <w:bCs/>
          <w:sz w:val="18"/>
          <w:szCs w:val="18"/>
        </w:rPr>
        <w:t>Figure 4</w:t>
      </w:r>
      <w:r w:rsidRPr="00532633">
        <w:rPr>
          <w:b/>
          <w:bCs/>
          <w:sz w:val="18"/>
          <w:szCs w:val="18"/>
        </w:rPr>
        <w:t xml:space="preserve">: </w:t>
      </w:r>
      <w:r>
        <w:rPr>
          <w:b/>
          <w:bCs/>
          <w:sz w:val="18"/>
          <w:szCs w:val="18"/>
        </w:rPr>
        <w:t>Effect of cinmethylin experimental selection on cinmethylin sensitivity in two blackgrass populations. Results are shown for lines derived from (A) Peldon, and (B) Lola 91. Lines had been selected for three consecutive generations with cinmethylin at 125 g ha</w:t>
      </w:r>
      <w:r w:rsidRPr="00CE1EA3">
        <w:rPr>
          <w:b/>
          <w:bCs/>
          <w:sz w:val="18"/>
          <w:szCs w:val="18"/>
          <w:vertAlign w:val="superscript"/>
        </w:rPr>
        <w:t>-1</w:t>
      </w:r>
      <w:r>
        <w:rPr>
          <w:b/>
          <w:bCs/>
          <w:sz w:val="18"/>
          <w:szCs w:val="18"/>
        </w:rPr>
        <w:t xml:space="preserve"> (Peldon), or 250 g ha</w:t>
      </w:r>
      <w:r w:rsidRPr="00CE1EA3">
        <w:rPr>
          <w:b/>
          <w:bCs/>
          <w:sz w:val="18"/>
          <w:szCs w:val="18"/>
          <w:vertAlign w:val="superscript"/>
        </w:rPr>
        <w:t>-1</w:t>
      </w:r>
      <w:r>
        <w:rPr>
          <w:b/>
          <w:bCs/>
          <w:sz w:val="18"/>
          <w:szCs w:val="18"/>
        </w:rPr>
        <w:t xml:space="preserve"> (Lola 91). In each case, the “Unselected” line is derived from a similar number of plants which have undergone the same growth and seed-bulking procedures, but without exposure to cinmethylin.</w:t>
      </w:r>
      <w:r w:rsidR="00B96C2D">
        <w:rPr>
          <w:b/>
          <w:bCs/>
          <w:sz w:val="18"/>
          <w:szCs w:val="18"/>
        </w:rPr>
        <w:t xml:space="preserve"> </w:t>
      </w:r>
      <w:bookmarkStart w:id="13" w:name="_Hlk157510179"/>
      <w:r w:rsidR="00911D70">
        <w:rPr>
          <w:b/>
          <w:bCs/>
          <w:sz w:val="18"/>
          <w:szCs w:val="18"/>
        </w:rPr>
        <w:t>(C) and (D) show the estimated cinmethylin ED</w:t>
      </w:r>
      <w:r w:rsidR="00911D70" w:rsidRPr="00CE0570">
        <w:rPr>
          <w:b/>
          <w:bCs/>
          <w:sz w:val="18"/>
          <w:szCs w:val="18"/>
          <w:vertAlign w:val="subscript"/>
        </w:rPr>
        <w:t>50</w:t>
      </w:r>
      <w:r w:rsidR="00911D70">
        <w:rPr>
          <w:b/>
          <w:bCs/>
          <w:sz w:val="18"/>
          <w:szCs w:val="18"/>
        </w:rPr>
        <w:t xml:space="preserve"> values for the unselected and selected blackgrass lines from the ‘Peldon’ and ‘Lola91’ lines respectively. </w:t>
      </w:r>
      <w:r w:rsidR="00B96C2D">
        <w:rPr>
          <w:b/>
          <w:bCs/>
          <w:sz w:val="18"/>
          <w:szCs w:val="18"/>
        </w:rPr>
        <w:t>Error bars show the 95% confidence interval around each estimated ED</w:t>
      </w:r>
      <w:r w:rsidR="00B96C2D" w:rsidRPr="00C95784">
        <w:rPr>
          <w:b/>
          <w:bCs/>
          <w:sz w:val="18"/>
          <w:szCs w:val="18"/>
          <w:vertAlign w:val="subscript"/>
        </w:rPr>
        <w:t>50</w:t>
      </w:r>
      <w:r w:rsidR="00B96C2D">
        <w:rPr>
          <w:b/>
          <w:bCs/>
          <w:sz w:val="18"/>
          <w:szCs w:val="18"/>
        </w:rPr>
        <w:t xml:space="preserve"> value. Significant differences are denoted using asterisks (* p&lt;0.05, ** p&lt;0.01, *** p&lt;0.001).</w:t>
      </w:r>
      <w:bookmarkEnd w:id="13"/>
    </w:p>
    <w:sectPr w:rsidR="001478D6" w:rsidRPr="004F1D9C" w:rsidSect="004F1D9C">
      <w:footerReference w:type="default" r:id="rId12"/>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8BCBB" w14:textId="77777777" w:rsidR="008F61FC" w:rsidRDefault="008F61FC" w:rsidP="0020348C">
      <w:pPr>
        <w:spacing w:after="0" w:line="240" w:lineRule="auto"/>
      </w:pPr>
      <w:r>
        <w:separator/>
      </w:r>
    </w:p>
  </w:endnote>
  <w:endnote w:type="continuationSeparator" w:id="0">
    <w:p w14:paraId="2DCC0CEA" w14:textId="77777777" w:rsidR="008F61FC" w:rsidRDefault="008F61FC" w:rsidP="00203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405492"/>
      <w:docPartObj>
        <w:docPartGallery w:val="Page Numbers (Bottom of Page)"/>
        <w:docPartUnique/>
      </w:docPartObj>
    </w:sdtPr>
    <w:sdtEndPr/>
    <w:sdtContent>
      <w:p w14:paraId="1259EF2B" w14:textId="4B2DF6F4" w:rsidR="00592C02" w:rsidRDefault="00592C02">
        <w:pPr>
          <w:pStyle w:val="Footer"/>
          <w:jc w:val="center"/>
        </w:pPr>
        <w:r>
          <w:fldChar w:fldCharType="begin"/>
        </w:r>
        <w:r>
          <w:instrText>PAGE   \* MERGEFORMAT</w:instrText>
        </w:r>
        <w:r>
          <w:fldChar w:fldCharType="separate"/>
        </w:r>
        <w:r>
          <w:t>2</w:t>
        </w:r>
        <w:r>
          <w:fldChar w:fldCharType="end"/>
        </w:r>
      </w:p>
    </w:sdtContent>
  </w:sdt>
  <w:p w14:paraId="78B098AE" w14:textId="77777777" w:rsidR="0020348C" w:rsidRDefault="00203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3160B" w14:textId="77777777" w:rsidR="008F61FC" w:rsidRDefault="008F61FC" w:rsidP="0020348C">
      <w:pPr>
        <w:spacing w:after="0" w:line="240" w:lineRule="auto"/>
      </w:pPr>
      <w:r>
        <w:separator/>
      </w:r>
    </w:p>
  </w:footnote>
  <w:footnote w:type="continuationSeparator" w:id="0">
    <w:p w14:paraId="7CA51059" w14:textId="77777777" w:rsidR="008F61FC" w:rsidRDefault="008F61FC" w:rsidP="002034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E87F03"/>
    <w:multiLevelType w:val="hybridMultilevel"/>
    <w:tmpl w:val="C4A69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E16E9"/>
    <w:multiLevelType w:val="hybridMultilevel"/>
    <w:tmpl w:val="15D0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C755B4"/>
    <w:multiLevelType w:val="hybridMultilevel"/>
    <w:tmpl w:val="C8562ED6"/>
    <w:lvl w:ilvl="0" w:tplc="A26A5F06">
      <w:start w:val="1"/>
      <w:numFmt w:val="upp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993D72"/>
    <w:multiLevelType w:val="hybridMultilevel"/>
    <w:tmpl w:val="6C0A4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F01EF9"/>
    <w:multiLevelType w:val="hybridMultilevel"/>
    <w:tmpl w:val="5498D68E"/>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97053835">
    <w:abstractNumId w:val="3"/>
  </w:num>
  <w:num w:numId="2" w16cid:durableId="1032072489">
    <w:abstractNumId w:val="0"/>
  </w:num>
  <w:num w:numId="3" w16cid:durableId="1784956540">
    <w:abstractNumId w:val="1"/>
  </w:num>
  <w:num w:numId="4" w16cid:durableId="100339669">
    <w:abstractNumId w:val="4"/>
  </w:num>
  <w:num w:numId="5" w16cid:durableId="2010673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90B"/>
    <w:rsid w:val="00000407"/>
    <w:rsid w:val="00000EA2"/>
    <w:rsid w:val="00007115"/>
    <w:rsid w:val="0002186A"/>
    <w:rsid w:val="00021EA6"/>
    <w:rsid w:val="0002406F"/>
    <w:rsid w:val="00024891"/>
    <w:rsid w:val="00025574"/>
    <w:rsid w:val="000260F0"/>
    <w:rsid w:val="00026138"/>
    <w:rsid w:val="00030FE1"/>
    <w:rsid w:val="00031C94"/>
    <w:rsid w:val="00041B17"/>
    <w:rsid w:val="00060C0B"/>
    <w:rsid w:val="000616F4"/>
    <w:rsid w:val="000673BA"/>
    <w:rsid w:val="00067CEE"/>
    <w:rsid w:val="000769A4"/>
    <w:rsid w:val="0008213E"/>
    <w:rsid w:val="00083E2E"/>
    <w:rsid w:val="00085D8D"/>
    <w:rsid w:val="00087385"/>
    <w:rsid w:val="000929D8"/>
    <w:rsid w:val="000951EF"/>
    <w:rsid w:val="00097B54"/>
    <w:rsid w:val="000B70EF"/>
    <w:rsid w:val="000C3DED"/>
    <w:rsid w:val="000C44F7"/>
    <w:rsid w:val="000D099F"/>
    <w:rsid w:val="000D4B59"/>
    <w:rsid w:val="000E193A"/>
    <w:rsid w:val="000F46FC"/>
    <w:rsid w:val="000F5E8C"/>
    <w:rsid w:val="001038D5"/>
    <w:rsid w:val="001124C1"/>
    <w:rsid w:val="00116231"/>
    <w:rsid w:val="00117B87"/>
    <w:rsid w:val="00121108"/>
    <w:rsid w:val="001245E6"/>
    <w:rsid w:val="00124A1B"/>
    <w:rsid w:val="00125C2E"/>
    <w:rsid w:val="00125CD8"/>
    <w:rsid w:val="0013467A"/>
    <w:rsid w:val="00141AE5"/>
    <w:rsid w:val="00146BE4"/>
    <w:rsid w:val="001478D6"/>
    <w:rsid w:val="00161EB1"/>
    <w:rsid w:val="00170A40"/>
    <w:rsid w:val="001724CC"/>
    <w:rsid w:val="00181D1B"/>
    <w:rsid w:val="001820AA"/>
    <w:rsid w:val="00184F01"/>
    <w:rsid w:val="00185AC5"/>
    <w:rsid w:val="00185B01"/>
    <w:rsid w:val="0019312B"/>
    <w:rsid w:val="00194B4A"/>
    <w:rsid w:val="00196383"/>
    <w:rsid w:val="001A312D"/>
    <w:rsid w:val="001B45AC"/>
    <w:rsid w:val="001B50C5"/>
    <w:rsid w:val="001B5704"/>
    <w:rsid w:val="001B6340"/>
    <w:rsid w:val="001B6F0F"/>
    <w:rsid w:val="001C2594"/>
    <w:rsid w:val="001C6737"/>
    <w:rsid w:val="001D1BCE"/>
    <w:rsid w:val="001D4849"/>
    <w:rsid w:val="001E2433"/>
    <w:rsid w:val="001F01C6"/>
    <w:rsid w:val="001F54FD"/>
    <w:rsid w:val="00202626"/>
    <w:rsid w:val="0020348C"/>
    <w:rsid w:val="0021333B"/>
    <w:rsid w:val="002141EE"/>
    <w:rsid w:val="00214F17"/>
    <w:rsid w:val="00215C14"/>
    <w:rsid w:val="00217E5D"/>
    <w:rsid w:val="00241594"/>
    <w:rsid w:val="00242A65"/>
    <w:rsid w:val="00246EBD"/>
    <w:rsid w:val="002531F8"/>
    <w:rsid w:val="002621DC"/>
    <w:rsid w:val="00262F4B"/>
    <w:rsid w:val="002639C2"/>
    <w:rsid w:val="002658F7"/>
    <w:rsid w:val="002667FC"/>
    <w:rsid w:val="00270259"/>
    <w:rsid w:val="00272BDC"/>
    <w:rsid w:val="00284FA4"/>
    <w:rsid w:val="002911F2"/>
    <w:rsid w:val="002949E8"/>
    <w:rsid w:val="00295D46"/>
    <w:rsid w:val="002A04E9"/>
    <w:rsid w:val="002A72F6"/>
    <w:rsid w:val="002B3A04"/>
    <w:rsid w:val="002B58FE"/>
    <w:rsid w:val="002B751F"/>
    <w:rsid w:val="002C0DD9"/>
    <w:rsid w:val="002C1626"/>
    <w:rsid w:val="002C312A"/>
    <w:rsid w:val="002C4E8E"/>
    <w:rsid w:val="002C7839"/>
    <w:rsid w:val="002E095A"/>
    <w:rsid w:val="002E4373"/>
    <w:rsid w:val="002E7575"/>
    <w:rsid w:val="002F0A8E"/>
    <w:rsid w:val="002F2B4B"/>
    <w:rsid w:val="002F7F17"/>
    <w:rsid w:val="00305828"/>
    <w:rsid w:val="003070EC"/>
    <w:rsid w:val="00310EDC"/>
    <w:rsid w:val="00313F41"/>
    <w:rsid w:val="00315B87"/>
    <w:rsid w:val="00316873"/>
    <w:rsid w:val="00321D27"/>
    <w:rsid w:val="00323376"/>
    <w:rsid w:val="00323768"/>
    <w:rsid w:val="00324A66"/>
    <w:rsid w:val="00326B59"/>
    <w:rsid w:val="00331AD2"/>
    <w:rsid w:val="0034353D"/>
    <w:rsid w:val="00345376"/>
    <w:rsid w:val="0035108A"/>
    <w:rsid w:val="00355132"/>
    <w:rsid w:val="00360230"/>
    <w:rsid w:val="003622BB"/>
    <w:rsid w:val="00365DA1"/>
    <w:rsid w:val="00370716"/>
    <w:rsid w:val="003719E8"/>
    <w:rsid w:val="00377492"/>
    <w:rsid w:val="003806A9"/>
    <w:rsid w:val="00380AF8"/>
    <w:rsid w:val="00395374"/>
    <w:rsid w:val="003A1AA2"/>
    <w:rsid w:val="003B0393"/>
    <w:rsid w:val="003B1732"/>
    <w:rsid w:val="003B401C"/>
    <w:rsid w:val="003B500A"/>
    <w:rsid w:val="003C3008"/>
    <w:rsid w:val="003C57BD"/>
    <w:rsid w:val="003D070C"/>
    <w:rsid w:val="003D22C8"/>
    <w:rsid w:val="003E515A"/>
    <w:rsid w:val="003F22B3"/>
    <w:rsid w:val="003F407D"/>
    <w:rsid w:val="004101F5"/>
    <w:rsid w:val="00414544"/>
    <w:rsid w:val="0041460A"/>
    <w:rsid w:val="004170D2"/>
    <w:rsid w:val="00421ED9"/>
    <w:rsid w:val="0042612A"/>
    <w:rsid w:val="00427323"/>
    <w:rsid w:val="004324B7"/>
    <w:rsid w:val="0044498E"/>
    <w:rsid w:val="00454FB1"/>
    <w:rsid w:val="0045693A"/>
    <w:rsid w:val="00462ADE"/>
    <w:rsid w:val="004655DD"/>
    <w:rsid w:val="004720B1"/>
    <w:rsid w:val="00475195"/>
    <w:rsid w:val="004771D3"/>
    <w:rsid w:val="0048642B"/>
    <w:rsid w:val="0049052E"/>
    <w:rsid w:val="004953CA"/>
    <w:rsid w:val="004968F7"/>
    <w:rsid w:val="004A2572"/>
    <w:rsid w:val="004A2F54"/>
    <w:rsid w:val="004A7D9A"/>
    <w:rsid w:val="004B2289"/>
    <w:rsid w:val="004B6BAD"/>
    <w:rsid w:val="004C173A"/>
    <w:rsid w:val="004C3102"/>
    <w:rsid w:val="004C36C8"/>
    <w:rsid w:val="004D1B84"/>
    <w:rsid w:val="004D6112"/>
    <w:rsid w:val="004E1D31"/>
    <w:rsid w:val="004F1D9C"/>
    <w:rsid w:val="004F32DE"/>
    <w:rsid w:val="004F3FEC"/>
    <w:rsid w:val="004F4069"/>
    <w:rsid w:val="004F6F7C"/>
    <w:rsid w:val="0051669D"/>
    <w:rsid w:val="00516AEE"/>
    <w:rsid w:val="00534921"/>
    <w:rsid w:val="005408A4"/>
    <w:rsid w:val="0055040A"/>
    <w:rsid w:val="00556F2A"/>
    <w:rsid w:val="00557768"/>
    <w:rsid w:val="00557D96"/>
    <w:rsid w:val="00566714"/>
    <w:rsid w:val="0057325B"/>
    <w:rsid w:val="0057506C"/>
    <w:rsid w:val="00577D78"/>
    <w:rsid w:val="005876B4"/>
    <w:rsid w:val="00592C02"/>
    <w:rsid w:val="00594D01"/>
    <w:rsid w:val="005A0316"/>
    <w:rsid w:val="005A1ACE"/>
    <w:rsid w:val="005B2A87"/>
    <w:rsid w:val="005B4321"/>
    <w:rsid w:val="005C030A"/>
    <w:rsid w:val="005D313F"/>
    <w:rsid w:val="005D472A"/>
    <w:rsid w:val="005D609C"/>
    <w:rsid w:val="005F553F"/>
    <w:rsid w:val="0060117D"/>
    <w:rsid w:val="00601F13"/>
    <w:rsid w:val="00606299"/>
    <w:rsid w:val="006262D4"/>
    <w:rsid w:val="0063574C"/>
    <w:rsid w:val="006426A0"/>
    <w:rsid w:val="00654E70"/>
    <w:rsid w:val="00657DAE"/>
    <w:rsid w:val="00665188"/>
    <w:rsid w:val="006660BD"/>
    <w:rsid w:val="00671586"/>
    <w:rsid w:val="0067281F"/>
    <w:rsid w:val="00677B8F"/>
    <w:rsid w:val="00690100"/>
    <w:rsid w:val="00691BE4"/>
    <w:rsid w:val="00693B61"/>
    <w:rsid w:val="006A16C7"/>
    <w:rsid w:val="006A3D27"/>
    <w:rsid w:val="006B1014"/>
    <w:rsid w:val="006B3202"/>
    <w:rsid w:val="006B5A2B"/>
    <w:rsid w:val="006C16BA"/>
    <w:rsid w:val="006D50B5"/>
    <w:rsid w:val="006D7F5C"/>
    <w:rsid w:val="006E21A8"/>
    <w:rsid w:val="006F27EC"/>
    <w:rsid w:val="006F2D5B"/>
    <w:rsid w:val="006F6D16"/>
    <w:rsid w:val="007136D3"/>
    <w:rsid w:val="0071468D"/>
    <w:rsid w:val="00715E02"/>
    <w:rsid w:val="00721512"/>
    <w:rsid w:val="00721C34"/>
    <w:rsid w:val="007268F7"/>
    <w:rsid w:val="00726B16"/>
    <w:rsid w:val="0072793B"/>
    <w:rsid w:val="007305EA"/>
    <w:rsid w:val="007322FD"/>
    <w:rsid w:val="007354F8"/>
    <w:rsid w:val="00735EC7"/>
    <w:rsid w:val="0074150C"/>
    <w:rsid w:val="00746517"/>
    <w:rsid w:val="007533AE"/>
    <w:rsid w:val="00755255"/>
    <w:rsid w:val="00755530"/>
    <w:rsid w:val="00774854"/>
    <w:rsid w:val="00780F6A"/>
    <w:rsid w:val="00783BD8"/>
    <w:rsid w:val="00783D01"/>
    <w:rsid w:val="00792BA8"/>
    <w:rsid w:val="007932DD"/>
    <w:rsid w:val="00795A0C"/>
    <w:rsid w:val="007A0137"/>
    <w:rsid w:val="007A0B9B"/>
    <w:rsid w:val="007A661A"/>
    <w:rsid w:val="007A7E1D"/>
    <w:rsid w:val="007B0528"/>
    <w:rsid w:val="007C3169"/>
    <w:rsid w:val="007C461E"/>
    <w:rsid w:val="007C717F"/>
    <w:rsid w:val="007D02E3"/>
    <w:rsid w:val="007E419E"/>
    <w:rsid w:val="007E75BF"/>
    <w:rsid w:val="007F0729"/>
    <w:rsid w:val="00804CAC"/>
    <w:rsid w:val="00806E19"/>
    <w:rsid w:val="00810A39"/>
    <w:rsid w:val="00812801"/>
    <w:rsid w:val="008140FE"/>
    <w:rsid w:val="00824249"/>
    <w:rsid w:val="008273EE"/>
    <w:rsid w:val="0084293B"/>
    <w:rsid w:val="0084470F"/>
    <w:rsid w:val="00851B6D"/>
    <w:rsid w:val="00872A99"/>
    <w:rsid w:val="008740E1"/>
    <w:rsid w:val="00876A36"/>
    <w:rsid w:val="00880680"/>
    <w:rsid w:val="00893E68"/>
    <w:rsid w:val="00894967"/>
    <w:rsid w:val="00895160"/>
    <w:rsid w:val="00896923"/>
    <w:rsid w:val="008A0D5B"/>
    <w:rsid w:val="008B738C"/>
    <w:rsid w:val="008D2BCF"/>
    <w:rsid w:val="008D3037"/>
    <w:rsid w:val="008F0928"/>
    <w:rsid w:val="008F4483"/>
    <w:rsid w:val="008F44AE"/>
    <w:rsid w:val="008F58E4"/>
    <w:rsid w:val="008F5905"/>
    <w:rsid w:val="008F61FC"/>
    <w:rsid w:val="00903D73"/>
    <w:rsid w:val="00907764"/>
    <w:rsid w:val="00907AA7"/>
    <w:rsid w:val="00911D20"/>
    <w:rsid w:val="00911D70"/>
    <w:rsid w:val="0091594F"/>
    <w:rsid w:val="009177DB"/>
    <w:rsid w:val="0093217E"/>
    <w:rsid w:val="00933B24"/>
    <w:rsid w:val="0093436E"/>
    <w:rsid w:val="009400A3"/>
    <w:rsid w:val="009455EC"/>
    <w:rsid w:val="00945DD9"/>
    <w:rsid w:val="00974754"/>
    <w:rsid w:val="009755A5"/>
    <w:rsid w:val="00986165"/>
    <w:rsid w:val="00993D7A"/>
    <w:rsid w:val="00996F77"/>
    <w:rsid w:val="00997069"/>
    <w:rsid w:val="009A4034"/>
    <w:rsid w:val="009C2761"/>
    <w:rsid w:val="009C30AC"/>
    <w:rsid w:val="009C4DC8"/>
    <w:rsid w:val="009C62A2"/>
    <w:rsid w:val="009C6636"/>
    <w:rsid w:val="009D0E53"/>
    <w:rsid w:val="009D6FA9"/>
    <w:rsid w:val="009E2585"/>
    <w:rsid w:val="009E46C4"/>
    <w:rsid w:val="009F5459"/>
    <w:rsid w:val="00A032C8"/>
    <w:rsid w:val="00A133A9"/>
    <w:rsid w:val="00A135C0"/>
    <w:rsid w:val="00A16781"/>
    <w:rsid w:val="00A218D7"/>
    <w:rsid w:val="00A21B8B"/>
    <w:rsid w:val="00A40913"/>
    <w:rsid w:val="00A4251A"/>
    <w:rsid w:val="00A42ECA"/>
    <w:rsid w:val="00A43E8D"/>
    <w:rsid w:val="00A5682D"/>
    <w:rsid w:val="00A61CB9"/>
    <w:rsid w:val="00A72C31"/>
    <w:rsid w:val="00A75EC6"/>
    <w:rsid w:val="00A76EA1"/>
    <w:rsid w:val="00A77367"/>
    <w:rsid w:val="00A82946"/>
    <w:rsid w:val="00A8437A"/>
    <w:rsid w:val="00A85624"/>
    <w:rsid w:val="00A87E12"/>
    <w:rsid w:val="00A9087C"/>
    <w:rsid w:val="00A90897"/>
    <w:rsid w:val="00AA2A38"/>
    <w:rsid w:val="00AA524B"/>
    <w:rsid w:val="00AA5967"/>
    <w:rsid w:val="00AB55D1"/>
    <w:rsid w:val="00AB5878"/>
    <w:rsid w:val="00AC4D93"/>
    <w:rsid w:val="00AD074A"/>
    <w:rsid w:val="00AE5901"/>
    <w:rsid w:val="00AF2556"/>
    <w:rsid w:val="00B01230"/>
    <w:rsid w:val="00B050C0"/>
    <w:rsid w:val="00B0740C"/>
    <w:rsid w:val="00B11868"/>
    <w:rsid w:val="00B23668"/>
    <w:rsid w:val="00B24673"/>
    <w:rsid w:val="00B30093"/>
    <w:rsid w:val="00B309AF"/>
    <w:rsid w:val="00B326AF"/>
    <w:rsid w:val="00B37D08"/>
    <w:rsid w:val="00B40A62"/>
    <w:rsid w:val="00B4252E"/>
    <w:rsid w:val="00B451BE"/>
    <w:rsid w:val="00B45B2D"/>
    <w:rsid w:val="00B50015"/>
    <w:rsid w:val="00B50236"/>
    <w:rsid w:val="00B5636B"/>
    <w:rsid w:val="00B56E00"/>
    <w:rsid w:val="00B5792C"/>
    <w:rsid w:val="00B601A7"/>
    <w:rsid w:val="00B61916"/>
    <w:rsid w:val="00B639F1"/>
    <w:rsid w:val="00B74F20"/>
    <w:rsid w:val="00B824F1"/>
    <w:rsid w:val="00B91595"/>
    <w:rsid w:val="00B925B4"/>
    <w:rsid w:val="00B96C2D"/>
    <w:rsid w:val="00B97A91"/>
    <w:rsid w:val="00BA2BEE"/>
    <w:rsid w:val="00BA71F6"/>
    <w:rsid w:val="00BC5132"/>
    <w:rsid w:val="00BC678E"/>
    <w:rsid w:val="00BC7EE0"/>
    <w:rsid w:val="00BC7FA5"/>
    <w:rsid w:val="00BD225D"/>
    <w:rsid w:val="00BE1640"/>
    <w:rsid w:val="00BE59AC"/>
    <w:rsid w:val="00BE5AF9"/>
    <w:rsid w:val="00BF012E"/>
    <w:rsid w:val="00BF0179"/>
    <w:rsid w:val="00BF74A2"/>
    <w:rsid w:val="00C01889"/>
    <w:rsid w:val="00C261D9"/>
    <w:rsid w:val="00C2765B"/>
    <w:rsid w:val="00C312D6"/>
    <w:rsid w:val="00C31F26"/>
    <w:rsid w:val="00C44CCB"/>
    <w:rsid w:val="00C475C3"/>
    <w:rsid w:val="00C51790"/>
    <w:rsid w:val="00C7411B"/>
    <w:rsid w:val="00C82BE6"/>
    <w:rsid w:val="00C83ACE"/>
    <w:rsid w:val="00C926AC"/>
    <w:rsid w:val="00C95784"/>
    <w:rsid w:val="00C97C2F"/>
    <w:rsid w:val="00CA1139"/>
    <w:rsid w:val="00CA3E2C"/>
    <w:rsid w:val="00CA701F"/>
    <w:rsid w:val="00CB0933"/>
    <w:rsid w:val="00CB4842"/>
    <w:rsid w:val="00CB6026"/>
    <w:rsid w:val="00CE0570"/>
    <w:rsid w:val="00CE142F"/>
    <w:rsid w:val="00CE149F"/>
    <w:rsid w:val="00CE1EA3"/>
    <w:rsid w:val="00CE68A3"/>
    <w:rsid w:val="00CF18AB"/>
    <w:rsid w:val="00CF4F7A"/>
    <w:rsid w:val="00D00125"/>
    <w:rsid w:val="00D00717"/>
    <w:rsid w:val="00D03670"/>
    <w:rsid w:val="00D12838"/>
    <w:rsid w:val="00D1630D"/>
    <w:rsid w:val="00D20569"/>
    <w:rsid w:val="00D323F5"/>
    <w:rsid w:val="00D41848"/>
    <w:rsid w:val="00D559EC"/>
    <w:rsid w:val="00D57F00"/>
    <w:rsid w:val="00D61B3E"/>
    <w:rsid w:val="00D61CD3"/>
    <w:rsid w:val="00D65353"/>
    <w:rsid w:val="00D65FD5"/>
    <w:rsid w:val="00D70130"/>
    <w:rsid w:val="00D7609E"/>
    <w:rsid w:val="00D77DD5"/>
    <w:rsid w:val="00D83933"/>
    <w:rsid w:val="00D83DF5"/>
    <w:rsid w:val="00D87B3D"/>
    <w:rsid w:val="00D97B9E"/>
    <w:rsid w:val="00DA160D"/>
    <w:rsid w:val="00DA5FA9"/>
    <w:rsid w:val="00DB011B"/>
    <w:rsid w:val="00DB247C"/>
    <w:rsid w:val="00DB63B0"/>
    <w:rsid w:val="00DC1703"/>
    <w:rsid w:val="00DC1BD1"/>
    <w:rsid w:val="00DC3095"/>
    <w:rsid w:val="00DC3D8E"/>
    <w:rsid w:val="00DC5A0C"/>
    <w:rsid w:val="00DC6C06"/>
    <w:rsid w:val="00DD4940"/>
    <w:rsid w:val="00DD517F"/>
    <w:rsid w:val="00DE0947"/>
    <w:rsid w:val="00DE0AE4"/>
    <w:rsid w:val="00DF0B67"/>
    <w:rsid w:val="00E10321"/>
    <w:rsid w:val="00E15F7E"/>
    <w:rsid w:val="00E171AD"/>
    <w:rsid w:val="00E22ACB"/>
    <w:rsid w:val="00E26A0C"/>
    <w:rsid w:val="00E27B58"/>
    <w:rsid w:val="00E34E07"/>
    <w:rsid w:val="00E3781E"/>
    <w:rsid w:val="00E50D8B"/>
    <w:rsid w:val="00E61D7B"/>
    <w:rsid w:val="00E66878"/>
    <w:rsid w:val="00E822F4"/>
    <w:rsid w:val="00E85415"/>
    <w:rsid w:val="00EA1C00"/>
    <w:rsid w:val="00EA5182"/>
    <w:rsid w:val="00EA73A6"/>
    <w:rsid w:val="00EB3EAF"/>
    <w:rsid w:val="00EB4A5B"/>
    <w:rsid w:val="00EC5802"/>
    <w:rsid w:val="00ED22E3"/>
    <w:rsid w:val="00ED3FFD"/>
    <w:rsid w:val="00ED770F"/>
    <w:rsid w:val="00EE0458"/>
    <w:rsid w:val="00EF106C"/>
    <w:rsid w:val="00EF5BE3"/>
    <w:rsid w:val="00F000F0"/>
    <w:rsid w:val="00F03F99"/>
    <w:rsid w:val="00F065CE"/>
    <w:rsid w:val="00F15157"/>
    <w:rsid w:val="00F20C3F"/>
    <w:rsid w:val="00F314E7"/>
    <w:rsid w:val="00F44349"/>
    <w:rsid w:val="00F4790B"/>
    <w:rsid w:val="00F55966"/>
    <w:rsid w:val="00F65412"/>
    <w:rsid w:val="00F654E5"/>
    <w:rsid w:val="00F655DF"/>
    <w:rsid w:val="00F7632E"/>
    <w:rsid w:val="00F86B15"/>
    <w:rsid w:val="00F948C5"/>
    <w:rsid w:val="00F94A7A"/>
    <w:rsid w:val="00FA76B9"/>
    <w:rsid w:val="00FB4093"/>
    <w:rsid w:val="00FB4E39"/>
    <w:rsid w:val="00FC00A0"/>
    <w:rsid w:val="00FC36E0"/>
    <w:rsid w:val="00FD2154"/>
    <w:rsid w:val="00FE6288"/>
    <w:rsid w:val="00FE7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F2DF6"/>
  <w15:chartTrackingRefBased/>
  <w15:docId w15:val="{2259B301-E99F-4D77-AF11-C8B9C549D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8A3"/>
    <w:pPr>
      <w:ind w:left="720"/>
      <w:contextualSpacing/>
    </w:pPr>
  </w:style>
  <w:style w:type="character" w:styleId="CommentReference">
    <w:name w:val="annotation reference"/>
    <w:basedOn w:val="DefaultParagraphFont"/>
    <w:uiPriority w:val="99"/>
    <w:semiHidden/>
    <w:unhideWhenUsed/>
    <w:rsid w:val="00377492"/>
    <w:rPr>
      <w:sz w:val="16"/>
      <w:szCs w:val="16"/>
    </w:rPr>
  </w:style>
  <w:style w:type="paragraph" w:styleId="CommentText">
    <w:name w:val="annotation text"/>
    <w:basedOn w:val="Normal"/>
    <w:link w:val="CommentTextChar"/>
    <w:uiPriority w:val="99"/>
    <w:semiHidden/>
    <w:unhideWhenUsed/>
    <w:rsid w:val="00377492"/>
    <w:pPr>
      <w:spacing w:line="240" w:lineRule="auto"/>
    </w:pPr>
    <w:rPr>
      <w:sz w:val="20"/>
      <w:szCs w:val="20"/>
    </w:rPr>
  </w:style>
  <w:style w:type="character" w:customStyle="1" w:styleId="CommentTextChar">
    <w:name w:val="Comment Text Char"/>
    <w:basedOn w:val="DefaultParagraphFont"/>
    <w:link w:val="CommentText"/>
    <w:uiPriority w:val="99"/>
    <w:semiHidden/>
    <w:rsid w:val="00377492"/>
    <w:rPr>
      <w:sz w:val="20"/>
      <w:szCs w:val="20"/>
    </w:rPr>
  </w:style>
  <w:style w:type="paragraph" w:styleId="CommentSubject">
    <w:name w:val="annotation subject"/>
    <w:basedOn w:val="CommentText"/>
    <w:next w:val="CommentText"/>
    <w:link w:val="CommentSubjectChar"/>
    <w:uiPriority w:val="99"/>
    <w:semiHidden/>
    <w:unhideWhenUsed/>
    <w:rsid w:val="00377492"/>
    <w:rPr>
      <w:b/>
      <w:bCs/>
    </w:rPr>
  </w:style>
  <w:style w:type="character" w:customStyle="1" w:styleId="CommentSubjectChar">
    <w:name w:val="Comment Subject Char"/>
    <w:basedOn w:val="CommentTextChar"/>
    <w:link w:val="CommentSubject"/>
    <w:uiPriority w:val="99"/>
    <w:semiHidden/>
    <w:rsid w:val="00377492"/>
    <w:rPr>
      <w:b/>
      <w:bCs/>
      <w:sz w:val="20"/>
      <w:szCs w:val="20"/>
    </w:rPr>
  </w:style>
  <w:style w:type="table" w:styleId="TableGrid">
    <w:name w:val="Table Grid"/>
    <w:basedOn w:val="TableNormal"/>
    <w:uiPriority w:val="39"/>
    <w:rsid w:val="00876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949E8"/>
    <w:rPr>
      <w:color w:val="0563C1" w:themeColor="hyperlink"/>
      <w:u w:val="single"/>
    </w:rPr>
  </w:style>
  <w:style w:type="character" w:styleId="UnresolvedMention">
    <w:name w:val="Unresolved Mention"/>
    <w:basedOn w:val="DefaultParagraphFont"/>
    <w:uiPriority w:val="99"/>
    <w:semiHidden/>
    <w:unhideWhenUsed/>
    <w:rsid w:val="002949E8"/>
    <w:rPr>
      <w:color w:val="605E5C"/>
      <w:shd w:val="clear" w:color="auto" w:fill="E1DFDD"/>
    </w:rPr>
  </w:style>
  <w:style w:type="paragraph" w:styleId="Revision">
    <w:name w:val="Revision"/>
    <w:hidden/>
    <w:uiPriority w:val="99"/>
    <w:semiHidden/>
    <w:rsid w:val="006F2D5B"/>
    <w:pPr>
      <w:spacing w:after="0" w:line="240" w:lineRule="auto"/>
    </w:pPr>
  </w:style>
  <w:style w:type="paragraph" w:styleId="Header">
    <w:name w:val="header"/>
    <w:basedOn w:val="Normal"/>
    <w:link w:val="HeaderChar"/>
    <w:uiPriority w:val="99"/>
    <w:unhideWhenUsed/>
    <w:rsid w:val="0020348C"/>
    <w:pPr>
      <w:tabs>
        <w:tab w:val="center" w:pos="4536"/>
        <w:tab w:val="right" w:pos="9072"/>
      </w:tabs>
      <w:spacing w:after="0" w:line="240" w:lineRule="auto"/>
    </w:pPr>
  </w:style>
  <w:style w:type="character" w:customStyle="1" w:styleId="HeaderChar">
    <w:name w:val="Header Char"/>
    <w:basedOn w:val="DefaultParagraphFont"/>
    <w:link w:val="Header"/>
    <w:uiPriority w:val="99"/>
    <w:rsid w:val="0020348C"/>
  </w:style>
  <w:style w:type="paragraph" w:styleId="Footer">
    <w:name w:val="footer"/>
    <w:basedOn w:val="Normal"/>
    <w:link w:val="FooterChar"/>
    <w:uiPriority w:val="99"/>
    <w:unhideWhenUsed/>
    <w:rsid w:val="0020348C"/>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348C"/>
  </w:style>
  <w:style w:type="character" w:styleId="LineNumber">
    <w:name w:val="line number"/>
    <w:basedOn w:val="DefaultParagraphFont"/>
    <w:uiPriority w:val="99"/>
    <w:semiHidden/>
    <w:unhideWhenUsed/>
    <w:rsid w:val="004F1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722530">
      <w:bodyDiv w:val="1"/>
      <w:marLeft w:val="0"/>
      <w:marRight w:val="0"/>
      <w:marTop w:val="0"/>
      <w:marBottom w:val="0"/>
      <w:divBdr>
        <w:top w:val="none" w:sz="0" w:space="0" w:color="auto"/>
        <w:left w:val="none" w:sz="0" w:space="0" w:color="auto"/>
        <w:bottom w:val="none" w:sz="0" w:space="0" w:color="auto"/>
        <w:right w:val="none" w:sz="0" w:space="0" w:color="auto"/>
      </w:divBdr>
    </w:div>
    <w:div w:id="393237003">
      <w:bodyDiv w:val="1"/>
      <w:marLeft w:val="0"/>
      <w:marRight w:val="0"/>
      <w:marTop w:val="0"/>
      <w:marBottom w:val="0"/>
      <w:divBdr>
        <w:top w:val="none" w:sz="0" w:space="0" w:color="auto"/>
        <w:left w:val="none" w:sz="0" w:space="0" w:color="auto"/>
        <w:bottom w:val="none" w:sz="0" w:space="0" w:color="auto"/>
        <w:right w:val="none" w:sz="0" w:space="0" w:color="auto"/>
      </w:divBdr>
    </w:div>
    <w:div w:id="1570188129">
      <w:bodyDiv w:val="1"/>
      <w:marLeft w:val="0"/>
      <w:marRight w:val="0"/>
      <w:marTop w:val="0"/>
      <w:marBottom w:val="0"/>
      <w:divBdr>
        <w:top w:val="none" w:sz="0" w:space="0" w:color="auto"/>
        <w:left w:val="none" w:sz="0" w:space="0" w:color="auto"/>
        <w:bottom w:val="none" w:sz="0" w:space="0" w:color="auto"/>
        <w:right w:val="none" w:sz="0" w:space="0" w:color="auto"/>
      </w:divBdr>
    </w:div>
    <w:div w:id="1989094650">
      <w:bodyDiv w:val="1"/>
      <w:marLeft w:val="0"/>
      <w:marRight w:val="0"/>
      <w:marTop w:val="0"/>
      <w:marBottom w:val="0"/>
      <w:divBdr>
        <w:top w:val="none" w:sz="0" w:space="0" w:color="auto"/>
        <w:left w:val="none" w:sz="0" w:space="0" w:color="auto"/>
        <w:bottom w:val="none" w:sz="0" w:space="0" w:color="auto"/>
        <w:right w:val="none" w:sz="0" w:space="0" w:color="auto"/>
      </w:divBdr>
      <w:divsChild>
        <w:div w:id="1362825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BEB580-13B4-4BCA-A87F-35FCACB2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29113</Words>
  <Characters>165945</Characters>
  <Application>Microsoft Office Word</Application>
  <DocSecurity>0</DocSecurity>
  <Lines>1382</Lines>
  <Paragraphs>389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Comont</dc:creator>
  <cp:keywords/>
  <dc:description/>
  <cp:lastModifiedBy>David Comont</cp:lastModifiedBy>
  <cp:revision>4</cp:revision>
  <dcterms:created xsi:type="dcterms:W3CDTF">2024-02-05T14:34:00Z</dcterms:created>
  <dcterms:modified xsi:type="dcterms:W3CDTF">2024-02-06T11:22:00Z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https://csl.mendeley.com/styles/519779261/new-phytologist-DavidComont-3</vt:lpwstr>
  </property>
  <property fmtid="{D5CDD505-2E9C-101B-9397-08002B2CF9AE}" pid="13" name="Mendeley Recent Style Name 5_1">
    <vt:lpwstr>New Phytologist - David Comont</vt:lpwstr>
  </property>
  <property fmtid="{D5CDD505-2E9C-101B-9397-08002B2CF9AE}" pid="14" name="Mendeley Recent Style Id 6_1">
    <vt:lpwstr>http://www.zotero.org/styles/pest-management-science</vt:lpwstr>
  </property>
  <property fmtid="{D5CDD505-2E9C-101B-9397-08002B2CF9AE}" pid="15" name="Mendeley Recent Style Name 6_1">
    <vt:lpwstr>Pest Management Science</vt:lpwstr>
  </property>
  <property fmtid="{D5CDD505-2E9C-101B-9397-08002B2CF9AE}" pid="16" name="Mendeley Recent Style Id 7_1">
    <vt:lpwstr>http://www.zotero.org/styles/science-without-titles</vt:lpwstr>
  </property>
  <property fmtid="{D5CDD505-2E9C-101B-9397-08002B2CF9AE}" pid="17" name="Mendeley Recent Style Name 7_1">
    <vt:lpwstr>Science (without titles)</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http://www.zotero.org/styles/weed-research</vt:lpwstr>
  </property>
  <property fmtid="{D5CDD505-2E9C-101B-9397-08002B2CF9AE}" pid="21" name="Mendeley Recent Style Name 9_1">
    <vt:lpwstr>Weed Research</vt:lpwstr>
  </property>
  <property fmtid="{D5CDD505-2E9C-101B-9397-08002B2CF9AE}" pid="22" name="Mendeley Document_1">
    <vt:lpwstr>True</vt:lpwstr>
  </property>
  <property fmtid="{D5CDD505-2E9C-101B-9397-08002B2CF9AE}" pid="23" name="Mendeley Unique User Id_1">
    <vt:lpwstr>7de56519-534f-3f60-b16b-e6b47b9f7240</vt:lpwstr>
  </property>
  <property fmtid="{D5CDD505-2E9C-101B-9397-08002B2CF9AE}" pid="24" name="Mendeley Citation Style_1">
    <vt:lpwstr>http://www.zotero.org/styles/pest-management-science</vt:lpwstr>
  </property>
  <property fmtid="{D5CDD505-2E9C-101B-9397-08002B2CF9AE}" pid="25" name="Classification_to_AIP">
    <vt:i4>0</vt:i4>
  </property>
  <property fmtid="{D5CDD505-2E9C-101B-9397-08002B2CF9AE}" pid="26" name="MSIP_Label_6a2630e2-1ac5-455e-8217-0156b1936a76_Enabled">
    <vt:lpwstr>true</vt:lpwstr>
  </property>
  <property fmtid="{D5CDD505-2E9C-101B-9397-08002B2CF9AE}" pid="27" name="MSIP_Label_6a2630e2-1ac5-455e-8217-0156b1936a76_SetDate">
    <vt:lpwstr>2023-08-16T05:22:16Z</vt:lpwstr>
  </property>
  <property fmtid="{D5CDD505-2E9C-101B-9397-08002B2CF9AE}" pid="28" name="MSIP_Label_6a2630e2-1ac5-455e-8217-0156b1936a76_Method">
    <vt:lpwstr>Standard</vt:lpwstr>
  </property>
  <property fmtid="{D5CDD505-2E9C-101B-9397-08002B2CF9AE}" pid="29" name="MSIP_Label_6a2630e2-1ac5-455e-8217-0156b1936a76_Name">
    <vt:lpwstr>Notclass</vt:lpwstr>
  </property>
  <property fmtid="{D5CDD505-2E9C-101B-9397-08002B2CF9AE}" pid="30" name="MSIP_Label_6a2630e2-1ac5-455e-8217-0156b1936a76_SiteId">
    <vt:lpwstr>a3927f91-cda1-4696-af89-8c9f1ceffa91</vt:lpwstr>
  </property>
  <property fmtid="{D5CDD505-2E9C-101B-9397-08002B2CF9AE}" pid="31" name="MSIP_Label_6a2630e2-1ac5-455e-8217-0156b1936a76_ActionId">
    <vt:lpwstr>57c53f41-e140-41f3-b0d7-e7f66c42a736</vt:lpwstr>
  </property>
  <property fmtid="{D5CDD505-2E9C-101B-9397-08002B2CF9AE}" pid="32" name="MSIP_Label_6a2630e2-1ac5-455e-8217-0156b1936a76_ContentBits">
    <vt:lpwstr>0</vt:lpwstr>
  </property>
</Properties>
</file>