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E875A" w14:textId="22C06A9F" w:rsidR="007E611D" w:rsidRDefault="007E611D" w:rsidP="000B12BC">
      <w:pPr>
        <w:spacing w:line="480" w:lineRule="auto"/>
        <w:rPr>
          <w:b/>
          <w:sz w:val="24"/>
          <w:szCs w:val="24"/>
        </w:rPr>
      </w:pPr>
      <w:r>
        <w:rPr>
          <w:b/>
          <w:sz w:val="24"/>
          <w:szCs w:val="24"/>
        </w:rPr>
        <w:t>Interoperability for ecosystem service assessments: Why, how, who, and for whom?</w:t>
      </w:r>
    </w:p>
    <w:p w14:paraId="3F913BF3" w14:textId="77777777" w:rsidR="002E2731" w:rsidRDefault="002E2731" w:rsidP="002E2731">
      <w:pPr>
        <w:spacing w:line="480" w:lineRule="auto"/>
      </w:pPr>
      <w:r>
        <w:t>Kenneth J. Bagstad</w:t>
      </w:r>
      <w:r>
        <w:rPr>
          <w:vertAlign w:val="superscript"/>
        </w:rPr>
        <w:t>1*</w:t>
      </w:r>
      <w:r>
        <w:t>, Stefano Balbi</w:t>
      </w:r>
      <w:r>
        <w:rPr>
          <w:vertAlign w:val="superscript"/>
        </w:rPr>
        <w:t>2,3</w:t>
      </w:r>
      <w:r>
        <w:t>, Greta Adamo</w:t>
      </w:r>
      <w:r>
        <w:rPr>
          <w:vertAlign w:val="superscript"/>
        </w:rPr>
        <w:t>2</w:t>
      </w:r>
      <w:r>
        <w:t>, Ioannis N. Athanasiadis</w:t>
      </w:r>
      <w:r>
        <w:rPr>
          <w:vertAlign w:val="superscript"/>
        </w:rPr>
        <w:t>4</w:t>
      </w:r>
      <w:r>
        <w:t>, Flavio Affinito</w:t>
      </w:r>
      <w:r>
        <w:rPr>
          <w:vertAlign w:val="superscript"/>
        </w:rPr>
        <w:t>5</w:t>
      </w:r>
      <w:r>
        <w:t>, Simon Willcock</w:t>
      </w:r>
      <w:r>
        <w:rPr>
          <w:vertAlign w:val="superscript"/>
        </w:rPr>
        <w:t>6,7</w:t>
      </w:r>
      <w:r>
        <w:t xml:space="preserve">, </w:t>
      </w:r>
      <w:proofErr w:type="spellStart"/>
      <w:r>
        <w:t>Ainhoa</w:t>
      </w:r>
      <w:proofErr w:type="spellEnd"/>
      <w:r>
        <w:t xml:space="preserve"> Magrach</w:t>
      </w:r>
      <w:r>
        <w:rPr>
          <w:vertAlign w:val="superscript"/>
        </w:rPr>
        <w:t>2,3</w:t>
      </w:r>
      <w:r>
        <w:t>, Kiichiro Hayashi</w:t>
      </w:r>
      <w:r>
        <w:rPr>
          <w:vertAlign w:val="superscript"/>
        </w:rPr>
        <w:t>8</w:t>
      </w:r>
      <w:r>
        <w:t>, Zuzana V. Harmáčková</w:t>
      </w:r>
      <w:r>
        <w:rPr>
          <w:vertAlign w:val="superscript"/>
        </w:rPr>
        <w:t>9</w:t>
      </w:r>
      <w:r>
        <w:t xml:space="preserve">, </w:t>
      </w:r>
      <w:proofErr w:type="spellStart"/>
      <w:r>
        <w:t>Aidin</w:t>
      </w:r>
      <w:proofErr w:type="spellEnd"/>
      <w:r>
        <w:t xml:space="preserve"> Niamir</w:t>
      </w:r>
      <w:r>
        <w:rPr>
          <w:vertAlign w:val="superscript"/>
        </w:rPr>
        <w:t>10</w:t>
      </w:r>
      <w:r>
        <w:t>, Bruno Smets</w:t>
      </w:r>
      <w:r>
        <w:rPr>
          <w:vertAlign w:val="superscript"/>
        </w:rPr>
        <w:t>11</w:t>
      </w:r>
      <w:r>
        <w:t>, Marcel Buchhorn</w:t>
      </w:r>
      <w:r>
        <w:rPr>
          <w:vertAlign w:val="superscript"/>
        </w:rPr>
        <w:t>11</w:t>
      </w:r>
      <w:r>
        <w:t>, Evangelina G. Drakou</w:t>
      </w:r>
      <w:r>
        <w:rPr>
          <w:vertAlign w:val="superscript"/>
        </w:rPr>
        <w:t>12</w:t>
      </w:r>
      <w:r>
        <w:t>, Alessandra Alfieri</w:t>
      </w:r>
      <w:r>
        <w:rPr>
          <w:vertAlign w:val="superscript"/>
        </w:rPr>
        <w:t>13</w:t>
      </w:r>
      <w:r>
        <w:t>, Bram Edens</w:t>
      </w:r>
      <w:r>
        <w:rPr>
          <w:vertAlign w:val="superscript"/>
        </w:rPr>
        <w:t>14</w:t>
      </w:r>
      <w:r>
        <w:t>, Luis Gonzalez Morales</w:t>
      </w:r>
      <w:r>
        <w:rPr>
          <w:vertAlign w:val="superscript"/>
        </w:rPr>
        <w:t>15</w:t>
      </w:r>
      <w:r>
        <w:t xml:space="preserve">, </w:t>
      </w:r>
      <w:proofErr w:type="spellStart"/>
      <w:r>
        <w:t>Ágnes</w:t>
      </w:r>
      <w:proofErr w:type="spellEnd"/>
      <w:r>
        <w:t xml:space="preserve"> Vári</w:t>
      </w:r>
      <w:r>
        <w:rPr>
          <w:vertAlign w:val="superscript"/>
        </w:rPr>
        <w:t>5,16</w:t>
      </w:r>
      <w:r>
        <w:t>, María-José Sanz</w:t>
      </w:r>
      <w:r>
        <w:rPr>
          <w:vertAlign w:val="superscript"/>
        </w:rPr>
        <w:t>2,3</w:t>
      </w:r>
      <w:r>
        <w:t>, Ferdinando Villa</w:t>
      </w:r>
      <w:r>
        <w:rPr>
          <w:vertAlign w:val="superscript"/>
        </w:rPr>
        <w:t>2,3</w:t>
      </w:r>
    </w:p>
    <w:p w14:paraId="41B5ACBF" w14:textId="77777777" w:rsidR="002E2731" w:rsidRDefault="002E2731" w:rsidP="002E2731">
      <w:pPr>
        <w:spacing w:line="480" w:lineRule="auto"/>
      </w:pPr>
      <w:r>
        <w:rPr>
          <w:vertAlign w:val="superscript"/>
        </w:rPr>
        <w:t>1</w:t>
      </w:r>
      <w:r>
        <w:t>United States Geological Survey, Geosciences and Environmental Change Science Center, P.O. Box 25046, MS 980, Denver, CO 80225, USA</w:t>
      </w:r>
    </w:p>
    <w:p w14:paraId="71B1028F" w14:textId="77777777" w:rsidR="002E2731" w:rsidRDefault="002E2731" w:rsidP="002E2731">
      <w:pPr>
        <w:spacing w:line="480" w:lineRule="auto"/>
      </w:pPr>
      <w:r>
        <w:rPr>
          <w:vertAlign w:val="superscript"/>
        </w:rPr>
        <w:t>2</w:t>
      </w:r>
      <w:r>
        <w:t xml:space="preserve">Basque Centre for Climate Change (BC3), 48940 </w:t>
      </w:r>
      <w:proofErr w:type="spellStart"/>
      <w:r>
        <w:t>Leioa</w:t>
      </w:r>
      <w:proofErr w:type="spellEnd"/>
      <w:r>
        <w:t>, Spain</w:t>
      </w:r>
    </w:p>
    <w:p w14:paraId="2EBC2CB9" w14:textId="77777777" w:rsidR="002E2731" w:rsidRDefault="002E2731" w:rsidP="002E2731">
      <w:pPr>
        <w:spacing w:line="480" w:lineRule="auto"/>
      </w:pPr>
      <w:r>
        <w:rPr>
          <w:vertAlign w:val="superscript"/>
        </w:rPr>
        <w:t>3</w:t>
      </w:r>
      <w:r>
        <w:t>Ikerbasque – Basque Foundation for Science, 48009 Bilbao, Spain</w:t>
      </w:r>
    </w:p>
    <w:p w14:paraId="040C89F4" w14:textId="77777777" w:rsidR="002E2731" w:rsidRDefault="002E2731" w:rsidP="002E2731">
      <w:pPr>
        <w:spacing w:line="480" w:lineRule="auto"/>
      </w:pPr>
      <w:r>
        <w:rPr>
          <w:vertAlign w:val="superscript"/>
        </w:rPr>
        <w:t>4</w:t>
      </w:r>
      <w:r>
        <w:t>Artificial Intelligence, Wageningen University &amp; Research, Wageningen, The Netherlands</w:t>
      </w:r>
    </w:p>
    <w:p w14:paraId="701519D3" w14:textId="77777777" w:rsidR="002E2731" w:rsidRDefault="002E2731" w:rsidP="002E2731">
      <w:pPr>
        <w:spacing w:line="480" w:lineRule="auto"/>
        <w:rPr>
          <w:vertAlign w:val="superscript"/>
        </w:rPr>
      </w:pPr>
      <w:r>
        <w:rPr>
          <w:vertAlign w:val="superscript"/>
        </w:rPr>
        <w:t>5</w:t>
      </w:r>
      <w:r>
        <w:t>Department of Natural Resource Sciences and Department of Biology, McGill University, 21111 Lakeshore, Sainte-Anne-de-Bellevue, QC H9X 3V9, Canada</w:t>
      </w:r>
    </w:p>
    <w:p w14:paraId="748C98BA" w14:textId="77777777" w:rsidR="002E2731" w:rsidRDefault="002E2731" w:rsidP="002E2731">
      <w:pPr>
        <w:spacing w:line="480" w:lineRule="auto"/>
      </w:pPr>
      <w:r>
        <w:rPr>
          <w:vertAlign w:val="superscript"/>
        </w:rPr>
        <w:t>6</w:t>
      </w:r>
      <w:r>
        <w:t>Net Zero and Resilient Farming, Rothamsted Research, Harpenden, AL5 2JQ, United Kingdom</w:t>
      </w:r>
    </w:p>
    <w:p w14:paraId="50CC191F" w14:textId="77777777" w:rsidR="002E2731" w:rsidRDefault="002E2731" w:rsidP="002E2731">
      <w:pPr>
        <w:spacing w:line="480" w:lineRule="auto"/>
      </w:pPr>
      <w:r>
        <w:rPr>
          <w:vertAlign w:val="superscript"/>
        </w:rPr>
        <w:t>7</w:t>
      </w:r>
      <w:r>
        <w:t>School of Environmental and Natural Sciences, Bangor University, Bangor, LL57 2DG, United Kingdom</w:t>
      </w:r>
    </w:p>
    <w:p w14:paraId="40EC9659" w14:textId="77777777" w:rsidR="002E2731" w:rsidRDefault="002E2731" w:rsidP="002E2731">
      <w:pPr>
        <w:spacing w:line="480" w:lineRule="auto"/>
      </w:pPr>
      <w:r>
        <w:rPr>
          <w:vertAlign w:val="superscript"/>
        </w:rPr>
        <w:t>8</w:t>
      </w:r>
      <w:r>
        <w:t xml:space="preserve">Institute of Materials and Systems for Sustainability, Nagoya University, </w:t>
      </w:r>
      <w:proofErr w:type="spellStart"/>
      <w:r>
        <w:t>Furo-cho</w:t>
      </w:r>
      <w:proofErr w:type="spellEnd"/>
      <w:r>
        <w:t>, Chikusa-</w:t>
      </w:r>
      <w:proofErr w:type="spellStart"/>
      <w:r>
        <w:t>ku</w:t>
      </w:r>
      <w:proofErr w:type="spellEnd"/>
      <w:r>
        <w:t>, Nagoya, Aichi, 464-8601, Japan</w:t>
      </w:r>
    </w:p>
    <w:p w14:paraId="4F50B73D" w14:textId="77777777" w:rsidR="002E2731" w:rsidRDefault="002E2731" w:rsidP="002E2731">
      <w:pPr>
        <w:spacing w:line="480" w:lineRule="auto"/>
        <w:rPr>
          <w:highlight w:val="white"/>
        </w:rPr>
      </w:pPr>
      <w:r>
        <w:rPr>
          <w:vertAlign w:val="superscript"/>
        </w:rPr>
        <w:t>9</w:t>
      </w:r>
      <w:r>
        <w:rPr>
          <w:highlight w:val="white"/>
        </w:rPr>
        <w:t xml:space="preserve">Global Change Research Institute of the Czech Academy of Sciences, </w:t>
      </w:r>
      <w:proofErr w:type="spellStart"/>
      <w:r>
        <w:rPr>
          <w:highlight w:val="white"/>
        </w:rPr>
        <w:t>Belidla</w:t>
      </w:r>
      <w:proofErr w:type="spellEnd"/>
      <w:r>
        <w:rPr>
          <w:highlight w:val="white"/>
        </w:rPr>
        <w:t xml:space="preserve"> 986/4a, 603 00 Brno, Czechia</w:t>
      </w:r>
    </w:p>
    <w:p w14:paraId="66927001" w14:textId="77777777" w:rsidR="002E2731" w:rsidRDefault="002E2731" w:rsidP="002E2731">
      <w:pPr>
        <w:spacing w:line="480" w:lineRule="auto"/>
        <w:rPr>
          <w:highlight w:val="white"/>
        </w:rPr>
      </w:pPr>
      <w:r>
        <w:rPr>
          <w:vertAlign w:val="superscript"/>
        </w:rPr>
        <w:t>10</w:t>
      </w:r>
      <w:r>
        <w:t xml:space="preserve">Senckenberg Biodiversity and Climate Research Institute, </w:t>
      </w:r>
      <w:proofErr w:type="spellStart"/>
      <w:r>
        <w:t>Senckenberg</w:t>
      </w:r>
      <w:proofErr w:type="spellEnd"/>
      <w:r>
        <w:t xml:space="preserve"> Society for Nature Research, Frankfurt am Main, Germany</w:t>
      </w:r>
    </w:p>
    <w:p w14:paraId="1ADFD632" w14:textId="77777777" w:rsidR="002E2731" w:rsidRDefault="002E2731" w:rsidP="002E2731">
      <w:pPr>
        <w:spacing w:line="480" w:lineRule="auto"/>
        <w:rPr>
          <w:highlight w:val="white"/>
        </w:rPr>
      </w:pPr>
      <w:r>
        <w:rPr>
          <w:vertAlign w:val="superscript"/>
        </w:rPr>
        <w:lastRenderedPageBreak/>
        <w:t>11</w:t>
      </w:r>
      <w:r>
        <w:rPr>
          <w:highlight w:val="white"/>
        </w:rPr>
        <w:t>Remote Sensing Unit, Flemish Institute for Technological Research NV (VITO), 2400 Mol, Belgium</w:t>
      </w:r>
    </w:p>
    <w:p w14:paraId="1828EAFF" w14:textId="77777777" w:rsidR="002E2731" w:rsidRDefault="002E2731" w:rsidP="002E2731">
      <w:pPr>
        <w:spacing w:line="480" w:lineRule="auto"/>
        <w:rPr>
          <w:highlight w:val="white"/>
        </w:rPr>
      </w:pPr>
      <w:r>
        <w:rPr>
          <w:vertAlign w:val="superscript"/>
        </w:rPr>
        <w:t>12</w:t>
      </w:r>
      <w:r>
        <w:rPr>
          <w:highlight w:val="white"/>
        </w:rPr>
        <w:t xml:space="preserve">Department of Geography, </w:t>
      </w:r>
      <w:proofErr w:type="spellStart"/>
      <w:r>
        <w:rPr>
          <w:highlight w:val="white"/>
        </w:rPr>
        <w:t>Harokopio</w:t>
      </w:r>
      <w:proofErr w:type="spellEnd"/>
      <w:r>
        <w:rPr>
          <w:highlight w:val="white"/>
        </w:rPr>
        <w:t xml:space="preserve"> University of Athens, 16767 Kallithea, Greece</w:t>
      </w:r>
    </w:p>
    <w:p w14:paraId="74CC0044" w14:textId="77777777" w:rsidR="002E2731" w:rsidRDefault="002E2731" w:rsidP="002E2731">
      <w:pPr>
        <w:spacing w:line="480" w:lineRule="auto"/>
        <w:rPr>
          <w:highlight w:val="white"/>
        </w:rPr>
      </w:pPr>
      <w:r>
        <w:rPr>
          <w:vertAlign w:val="superscript"/>
        </w:rPr>
        <w:t>13</w:t>
      </w:r>
      <w:r>
        <w:rPr>
          <w:highlight w:val="white"/>
        </w:rPr>
        <w:t>International Monetary Fund, Statistics Department, Washington, DC 20431</w:t>
      </w:r>
    </w:p>
    <w:p w14:paraId="5133236B" w14:textId="77777777" w:rsidR="002E2731" w:rsidRDefault="002E2731" w:rsidP="002E2731">
      <w:pPr>
        <w:spacing w:line="480" w:lineRule="auto"/>
        <w:rPr>
          <w:highlight w:val="white"/>
        </w:rPr>
      </w:pPr>
      <w:r>
        <w:rPr>
          <w:vertAlign w:val="superscript"/>
        </w:rPr>
        <w:t>14</w:t>
      </w:r>
      <w:r>
        <w:rPr>
          <w:highlight w:val="white"/>
        </w:rPr>
        <w:t>Organisation for Economic Co-operation and Development, Statistics and Data Directorate, Paris, France</w:t>
      </w:r>
    </w:p>
    <w:p w14:paraId="31E29D4F" w14:textId="77777777" w:rsidR="002E2731" w:rsidRDefault="002E2731" w:rsidP="002E2731">
      <w:pPr>
        <w:spacing w:line="480" w:lineRule="auto"/>
      </w:pPr>
      <w:r>
        <w:rPr>
          <w:vertAlign w:val="superscript"/>
        </w:rPr>
        <w:t>15</w:t>
      </w:r>
      <w:r>
        <w:t>United Nations Statistics Division, New York, NY 10017, USA</w:t>
      </w:r>
    </w:p>
    <w:p w14:paraId="5DB9A694" w14:textId="77777777" w:rsidR="002E2731" w:rsidRDefault="002E2731" w:rsidP="002E2731">
      <w:pPr>
        <w:spacing w:line="480" w:lineRule="auto"/>
        <w:rPr>
          <w:highlight w:val="white"/>
        </w:rPr>
      </w:pPr>
      <w:r>
        <w:rPr>
          <w:vertAlign w:val="superscript"/>
        </w:rPr>
        <w:t>16</w:t>
      </w:r>
      <w:r>
        <w:rPr>
          <w:color w:val="000000"/>
          <w:highlight w:val="white"/>
        </w:rPr>
        <w:t xml:space="preserve">HUN-REN Centre for Ecological Research; </w:t>
      </w:r>
      <w:proofErr w:type="spellStart"/>
      <w:r>
        <w:rPr>
          <w:color w:val="000000"/>
          <w:highlight w:val="white"/>
        </w:rPr>
        <w:t>Vácrátót</w:t>
      </w:r>
      <w:proofErr w:type="spellEnd"/>
      <w:r>
        <w:rPr>
          <w:color w:val="000000"/>
          <w:highlight w:val="white"/>
        </w:rPr>
        <w:t>, 2163, Hungary</w:t>
      </w:r>
    </w:p>
    <w:p w14:paraId="36387586" w14:textId="77777777" w:rsidR="002E2731" w:rsidRDefault="002E2731" w:rsidP="002E2731">
      <w:pPr>
        <w:spacing w:line="480" w:lineRule="auto"/>
        <w:rPr>
          <w:color w:val="000000"/>
          <w:highlight w:val="white"/>
        </w:rPr>
      </w:pPr>
      <w:r>
        <w:rPr>
          <w:color w:val="000000"/>
          <w:highlight w:val="white"/>
        </w:rPr>
        <w:t>*Corresponding author: Kenneth J. Bagstad (</w:t>
      </w:r>
      <w:hyperlink r:id="rId11">
        <w:r>
          <w:rPr>
            <w:color w:val="0000FF"/>
            <w:highlight w:val="white"/>
            <w:u w:val="single"/>
          </w:rPr>
          <w:t>kjbagstad@usgs.gov</w:t>
        </w:r>
      </w:hyperlink>
      <w:r>
        <w:rPr>
          <w:color w:val="000000"/>
          <w:highlight w:val="white"/>
        </w:rPr>
        <w:t>)</w:t>
      </w:r>
    </w:p>
    <w:p w14:paraId="2F0175E4" w14:textId="77777777" w:rsidR="002E2731" w:rsidRDefault="002E2731" w:rsidP="002E2731"/>
    <w:p w14:paraId="661467FE" w14:textId="77777777" w:rsidR="002E2731" w:rsidRDefault="002E2731" w:rsidP="002E2731">
      <w:pPr>
        <w:spacing w:line="480" w:lineRule="auto"/>
        <w:rPr>
          <w:b/>
        </w:rPr>
      </w:pPr>
      <w:r>
        <w:rPr>
          <w:b/>
        </w:rPr>
        <w:t>Acknowledgments</w:t>
      </w:r>
    </w:p>
    <w:p w14:paraId="37E67602" w14:textId="77777777" w:rsidR="002E2731" w:rsidRDefault="002E2731" w:rsidP="002E2731">
      <w:pPr>
        <w:spacing w:line="480" w:lineRule="auto"/>
      </w:pPr>
      <w:r>
        <w:rPr>
          <w:color w:val="222222"/>
        </w:rPr>
        <w:t xml:space="preserve">This research is supported by María de </w:t>
      </w:r>
      <w:proofErr w:type="spellStart"/>
      <w:r>
        <w:rPr>
          <w:color w:val="222222"/>
        </w:rPr>
        <w:t>Maeztu</w:t>
      </w:r>
      <w:proofErr w:type="spellEnd"/>
      <w:r>
        <w:rPr>
          <w:color w:val="222222"/>
        </w:rPr>
        <w:t xml:space="preserve"> Excellence Unit 2023-2027 Ref. CEX2021-001201-M, funded by MCIN/AEI /10.13039/501100011033; and by the Basque Government through the BERC 2022-2025 </w:t>
      </w:r>
      <w:proofErr w:type="spellStart"/>
      <w:r>
        <w:rPr>
          <w:color w:val="222222"/>
        </w:rPr>
        <w:t>programme</w:t>
      </w:r>
      <w:proofErr w:type="spellEnd"/>
      <w:r>
        <w:rPr>
          <w:color w:val="222222"/>
          <w:highlight w:val="white"/>
        </w:rPr>
        <w:t>, and</w:t>
      </w:r>
      <w:r>
        <w:rPr>
          <w:i/>
        </w:rPr>
        <w:t xml:space="preserve"> </w:t>
      </w:r>
      <w:r>
        <w:t xml:space="preserve">the European Space Agency (ESA) through the PEOPLE EA (Pioneer Earth Observation </w:t>
      </w:r>
      <w:proofErr w:type="spellStart"/>
      <w:r>
        <w:t>apPLications</w:t>
      </w:r>
      <w:proofErr w:type="spellEnd"/>
      <w:r>
        <w:t xml:space="preserve"> for the Environment – Ecosystem Accounting) project, (Contract Number: 4000139263/22/I-AG)</w:t>
      </w:r>
      <w:r>
        <w:rPr>
          <w:color w:val="222222"/>
          <w:highlight w:val="white"/>
        </w:rPr>
        <w:t xml:space="preserve">. </w:t>
      </w:r>
      <w:r>
        <w:t>Support for KB’s time was provided by the U.S. Geological Survey’s Land Change Science Program. SW’s time was provided by the UK’s Biotechnology and Biological Sciences Research Council grant number BB/X010961/1 (work package two: BBS/E/RH/230004B), Natural Environment Research Council grant numbers NE/W005050/1 and NE/T00391X/1, and Economic and Social Research Council grant number ES/</w:t>
      </w:r>
      <w:r w:rsidRPr="00964573">
        <w:rPr>
          <w:rFonts w:asciiTheme="minorHAnsi" w:hAnsiTheme="minorHAnsi" w:cstheme="minorHAnsi"/>
        </w:rPr>
        <w:t>R009279</w:t>
      </w:r>
      <w:r w:rsidRPr="002E2731">
        <w:rPr>
          <w:rFonts w:asciiTheme="majorHAnsi" w:hAnsiTheme="majorHAnsi" w:cstheme="majorHAnsi"/>
        </w:rPr>
        <w:t xml:space="preserve">/1. </w:t>
      </w:r>
      <w:r w:rsidRPr="002E2731">
        <w:rPr>
          <w:rFonts w:asciiTheme="majorHAnsi" w:eastAsia="Times New Roman" w:hAnsiTheme="majorHAnsi" w:cstheme="majorHAnsi"/>
        </w:rPr>
        <w:t>INA was partially funded by NWO grant #184.036.014 for LTER-LIFE: a research infrastructure to develop Digital Twins of ecosystems in a changing world.</w:t>
      </w:r>
      <w:r w:rsidRPr="002E2731">
        <w:rPr>
          <w:rFonts w:asciiTheme="majorHAnsi" w:eastAsia="Times New Roman" w:hAnsiTheme="majorHAnsi" w:cstheme="majorHAnsi"/>
          <w:sz w:val="24"/>
          <w:szCs w:val="24"/>
        </w:rPr>
        <w:t xml:space="preserve"> </w:t>
      </w:r>
      <w:r w:rsidRPr="002E2731">
        <w:rPr>
          <w:rFonts w:asciiTheme="majorHAnsi" w:hAnsiTheme="majorHAnsi" w:cstheme="majorHAnsi"/>
          <w:color w:val="000000"/>
          <w:highlight w:val="white"/>
        </w:rPr>
        <w:t xml:space="preserve">ZH’s work has been supported by </w:t>
      </w:r>
      <w:proofErr w:type="spellStart"/>
      <w:r w:rsidRPr="002E2731">
        <w:rPr>
          <w:rFonts w:asciiTheme="majorHAnsi" w:hAnsiTheme="majorHAnsi" w:cstheme="majorHAnsi"/>
          <w:color w:val="000000"/>
          <w:highlight w:val="white"/>
        </w:rPr>
        <w:t>AdAgr</w:t>
      </w:r>
      <w:r>
        <w:rPr>
          <w:color w:val="000000"/>
          <w:highlight w:val="white"/>
        </w:rPr>
        <w:t>iF</w:t>
      </w:r>
      <w:proofErr w:type="spellEnd"/>
      <w:r>
        <w:rPr>
          <w:color w:val="000000"/>
          <w:highlight w:val="white"/>
        </w:rPr>
        <w:t xml:space="preserve"> -Advanced methods of greenhouse gas </w:t>
      </w:r>
      <w:r>
        <w:rPr>
          <w:color w:val="000000"/>
          <w:highlight w:val="white"/>
        </w:rPr>
        <w:lastRenderedPageBreak/>
        <w:t xml:space="preserve">emission reduction and sequestration in agriculture and forest landscape for climate change mitigation (CZ.02.01.01/00/22_008/0004635). KB thanks </w:t>
      </w:r>
      <w:proofErr w:type="spellStart"/>
      <w:r>
        <w:rPr>
          <w:color w:val="000000"/>
          <w:highlight w:val="white"/>
        </w:rPr>
        <w:t>Odi</w:t>
      </w:r>
      <w:proofErr w:type="spellEnd"/>
      <w:r>
        <w:rPr>
          <w:color w:val="000000"/>
          <w:highlight w:val="white"/>
        </w:rPr>
        <w:t xml:space="preserve"> </w:t>
      </w:r>
      <w:proofErr w:type="spellStart"/>
      <w:r>
        <w:rPr>
          <w:color w:val="000000"/>
          <w:highlight w:val="white"/>
        </w:rPr>
        <w:t>Selomane</w:t>
      </w:r>
      <w:proofErr w:type="spellEnd"/>
      <w:r>
        <w:rPr>
          <w:color w:val="000000"/>
          <w:highlight w:val="white"/>
        </w:rPr>
        <w:t xml:space="preserve"> for previous discussions on interoperability for ecosystem services, Jeremy Havens for assistance with preparing figures, and Laura Dee and Kit </w:t>
      </w:r>
      <w:proofErr w:type="spellStart"/>
      <w:r>
        <w:rPr>
          <w:color w:val="000000"/>
          <w:highlight w:val="white"/>
        </w:rPr>
        <w:t>Lewers</w:t>
      </w:r>
      <w:proofErr w:type="spellEnd"/>
      <w:r>
        <w:rPr>
          <w:color w:val="000000"/>
          <w:highlight w:val="white"/>
        </w:rPr>
        <w:t xml:space="preserve"> for constructive comments on an earlier draft of the paper. </w:t>
      </w:r>
      <w:r>
        <w:t>Any use of trade, firm, or product names is for descriptive purposes only and does not imply endorsement by the U.S. Government.</w:t>
      </w:r>
    </w:p>
    <w:p w14:paraId="3B4631FF" w14:textId="77777777" w:rsidR="002E2731" w:rsidRDefault="002E2731" w:rsidP="000B12BC">
      <w:pPr>
        <w:spacing w:line="480" w:lineRule="auto"/>
        <w:rPr>
          <w:b/>
        </w:rPr>
      </w:pPr>
    </w:p>
    <w:p w14:paraId="26EC7E1F" w14:textId="50D5F5DE" w:rsidR="00C55C27" w:rsidRDefault="00154CAC" w:rsidP="000B12BC">
      <w:pPr>
        <w:spacing w:line="480" w:lineRule="auto"/>
      </w:pPr>
      <w:r>
        <w:rPr>
          <w:b/>
        </w:rPr>
        <w:t xml:space="preserve">Abstract. </w:t>
      </w:r>
      <w:r w:rsidR="00002B08">
        <w:t>Despite continued, rapid growth in the</w:t>
      </w:r>
      <w:r>
        <w:t xml:space="preserve"> </w:t>
      </w:r>
      <w:r w:rsidR="00002B08">
        <w:t>literature</w:t>
      </w:r>
      <w:r>
        <w:t xml:space="preserve">, </w:t>
      </w:r>
      <w:r w:rsidR="007230E4">
        <w:t xml:space="preserve">the fragmentation of information </w:t>
      </w:r>
      <w:r>
        <w:t xml:space="preserve">is </w:t>
      </w:r>
      <w:r w:rsidR="007230E4">
        <w:t xml:space="preserve">a major barrier to more timely and credible </w:t>
      </w:r>
      <w:r w:rsidR="00776F44">
        <w:t>ecosystem services (ES)</w:t>
      </w:r>
      <w:r w:rsidR="007230E4">
        <w:t xml:space="preserve"> assessments</w:t>
      </w:r>
      <w:r>
        <w:t xml:space="preserve">. A major reason for this </w:t>
      </w:r>
      <w:r w:rsidR="00544FDD">
        <w:t xml:space="preserve">fragmentation </w:t>
      </w:r>
      <w:r>
        <w:t>is the currently limited state of interoperability of ES data, models, and software. The FAIR Principles, a recent reformulation of long-standing open science goals, highlight the importance of making scientific knowledge Findable, Accessible, Interoperable, and Reusable</w:t>
      </w:r>
      <w:r>
        <w:rPr>
          <w:i/>
        </w:rPr>
        <w:t>.</w:t>
      </w:r>
      <w:r>
        <w:t xml:space="preserve"> Critically, FAIR aims to make science more transparent and transferable by both </w:t>
      </w:r>
      <w:r>
        <w:rPr>
          <w:i/>
        </w:rPr>
        <w:t>people and computers</w:t>
      </w:r>
      <w:r>
        <w:t xml:space="preserve">. However, it is easier to make data and models findable and accessible through data and code repositories than to achieve interoperability and reusability. </w:t>
      </w:r>
      <w:r w:rsidR="00853DC9">
        <w:t xml:space="preserve">Achieving </w:t>
      </w:r>
      <w:r w:rsidR="005049CF">
        <w:t>interoperability</w:t>
      </w:r>
      <w:r w:rsidR="00853DC9">
        <w:t xml:space="preserve"> will require more consistent adherence to current technical best practices and, more critically, to </w:t>
      </w:r>
      <w:r w:rsidR="00FA7E1F">
        <w:t xml:space="preserve">build </w:t>
      </w:r>
      <w:r w:rsidR="00853DC9">
        <w:t xml:space="preserve">consensus </w:t>
      </w:r>
      <w:r w:rsidR="00FA7E1F">
        <w:t>about</w:t>
      </w:r>
      <w:r w:rsidR="00853DC9">
        <w:t xml:space="preserve"> and consistent</w:t>
      </w:r>
      <w:r w:rsidR="0073696C">
        <w:t>ly</w:t>
      </w:r>
      <w:r w:rsidR="00853DC9">
        <w:t xml:space="preserve"> use semantics that can represent ES-relevant phenomena. </w:t>
      </w:r>
      <w:r>
        <w:t>Building on recent examples from major international initiatives for ES (IPBES, SEEA, GEO BON), we illustrate strategies to address interoperability, discuss their importance</w:t>
      </w:r>
      <w:r w:rsidR="00E16672">
        <w:t>,</w:t>
      </w:r>
      <w:r>
        <w:t xml:space="preserve"> and describe potential gains for </w:t>
      </w:r>
      <w:r w:rsidR="0085739A">
        <w:t xml:space="preserve">individual </w:t>
      </w:r>
      <w:r>
        <w:t xml:space="preserve">researchers and practitioners and the field of ES. </w:t>
      </w:r>
      <w:r w:rsidR="00B355DC">
        <w:t>Although interoperability</w:t>
      </w:r>
      <w:r>
        <w:t xml:space="preserve"> comes with many challenges</w:t>
      </w:r>
      <w:r w:rsidR="002470DC">
        <w:t xml:space="preserve">, including greater </w:t>
      </w:r>
      <w:r w:rsidR="009536FF">
        <w:t xml:space="preserve">scientific </w:t>
      </w:r>
      <w:r w:rsidR="002470DC">
        <w:t>coordination than today’s status quo</w:t>
      </w:r>
      <w:r>
        <w:t xml:space="preserve">, it is technically achievable and offers potentially </w:t>
      </w:r>
      <w:r w:rsidR="006C0D16">
        <w:t>transformative</w:t>
      </w:r>
      <w:r>
        <w:t xml:space="preserve"> advantages to ES assessments needed to mainstream </w:t>
      </w:r>
      <w:r w:rsidR="00546292">
        <w:t>their use</w:t>
      </w:r>
      <w:r>
        <w:t xml:space="preserve"> </w:t>
      </w:r>
      <w:r w:rsidR="004F5694">
        <w:t>by decision makers</w:t>
      </w:r>
      <w:r>
        <w:t>. Individuals and organizations active in ES research and practice can play critical roles</w:t>
      </w:r>
      <w:r w:rsidR="00F15C1A">
        <w:t xml:space="preserve"> in creating</w:t>
      </w:r>
      <w:r>
        <w:t xml:space="preserve"> </w:t>
      </w:r>
      <w:r>
        <w:lastRenderedPageBreak/>
        <w:t>widespread interoperability and reusability of ES science.</w:t>
      </w:r>
      <w:r w:rsidR="009A1893">
        <w:t xml:space="preserve"> A </w:t>
      </w:r>
      <w:r w:rsidR="00A832E6">
        <w:t xml:space="preserve">representative </w:t>
      </w:r>
      <w:r w:rsidR="009A1893">
        <w:t xml:space="preserve">community of practice </w:t>
      </w:r>
      <w:r w:rsidR="00933A89">
        <w:t xml:space="preserve">targeting interoperability for ES would </w:t>
      </w:r>
      <w:r w:rsidR="005B743C">
        <w:t xml:space="preserve">help advance </w:t>
      </w:r>
      <w:r w:rsidR="009773F2">
        <w:t>these goals</w:t>
      </w:r>
      <w:r w:rsidR="00EB67BA">
        <w:t>.</w:t>
      </w:r>
      <w:r w:rsidR="009A1893">
        <w:t xml:space="preserve"> </w:t>
      </w:r>
    </w:p>
    <w:p w14:paraId="59AF2568" w14:textId="77777777" w:rsidR="00C55C27" w:rsidRDefault="00154CAC" w:rsidP="000B12BC">
      <w:pPr>
        <w:spacing w:line="480" w:lineRule="auto"/>
      </w:pPr>
      <w:r>
        <w:rPr>
          <w:b/>
        </w:rPr>
        <w:t xml:space="preserve">Keywords: </w:t>
      </w:r>
      <w:r>
        <w:t>Artificial Intelligence;</w:t>
      </w:r>
      <w:r>
        <w:rPr>
          <w:b/>
        </w:rPr>
        <w:t xml:space="preserve"> </w:t>
      </w:r>
      <w:r>
        <w:t>Ecosystem service monitoring; FAIR; Interoperability; Knowledge reuse; Semantics</w:t>
      </w:r>
    </w:p>
    <w:p w14:paraId="3EC20699" w14:textId="77777777" w:rsidR="007E611D" w:rsidRDefault="007E611D" w:rsidP="000B12BC">
      <w:pPr>
        <w:spacing w:before="240" w:after="240" w:line="480" w:lineRule="auto"/>
        <w:rPr>
          <w:b/>
        </w:rPr>
      </w:pPr>
    </w:p>
    <w:p w14:paraId="1AB96452" w14:textId="794DF522" w:rsidR="00C55C27" w:rsidRDefault="00154CAC" w:rsidP="000B12BC">
      <w:pPr>
        <w:spacing w:before="240" w:after="240" w:line="480" w:lineRule="auto"/>
        <w:rPr>
          <w:b/>
        </w:rPr>
      </w:pPr>
      <w:r>
        <w:rPr>
          <w:b/>
        </w:rPr>
        <w:t>1. Introduction</w:t>
      </w:r>
    </w:p>
    <w:p w14:paraId="1350F0EB" w14:textId="77B30D7C" w:rsidR="00E63A4B" w:rsidRDefault="00E63A4B" w:rsidP="000B12BC">
      <w:pPr>
        <w:spacing w:before="240" w:line="480" w:lineRule="auto"/>
        <w:rPr>
          <w:i/>
          <w:iCs/>
        </w:rPr>
      </w:pPr>
      <w:bookmarkStart w:id="0" w:name="_gjdgxs" w:colFirst="0" w:colLast="0"/>
      <w:bookmarkEnd w:id="0"/>
      <w:r>
        <w:rPr>
          <w:i/>
          <w:iCs/>
        </w:rPr>
        <w:t>1.1 The interoperability problem in ecosystem services</w:t>
      </w:r>
    </w:p>
    <w:p w14:paraId="44BD5AB9" w14:textId="604E481C" w:rsidR="00535B13" w:rsidRDefault="00535B13" w:rsidP="000B12BC">
      <w:pPr>
        <w:spacing w:before="240" w:line="480" w:lineRule="auto"/>
      </w:pPr>
      <w:r>
        <w:t>The amount of information</w:t>
      </w:r>
      <w:r w:rsidR="003D6435">
        <w:t>, or knowledge</w:t>
      </w:r>
      <w:r>
        <w:t xml:space="preserve"> (i.e., data, models, scenarios)</w:t>
      </w:r>
      <w:r w:rsidR="003D6435">
        <w:rPr>
          <w:rStyle w:val="FootnoteReference"/>
        </w:rPr>
        <w:footnoteReference w:id="1"/>
      </w:r>
      <w:r>
        <w:t xml:space="preserve"> produced by scientists, practitioners, and citizens continues to increase rapidly, yet too often remains compartmentalized and sees limited reuse, failing to produce collective knowledge (Nelson, 2009, Nesic et al., 2011, Munafo et al., 2017, Balbi et al., 2022). This is </w:t>
      </w:r>
      <w:r w:rsidR="0040257A">
        <w:t>particularly true for</w:t>
      </w:r>
      <w:r>
        <w:t xml:space="preserve"> studies of ecosystem services (ES), which depend on the integration of knowledge from a range of disciplines to understand complex, linked human-natural systems (Rieb et al., 2017, Carmen et al., 2018, Schmidt and Seppelt, 2018). </w:t>
      </w:r>
      <w:r w:rsidR="00E22DA9">
        <w:t xml:space="preserve">Data used and produced in ES research are acquired and generated using </w:t>
      </w:r>
      <w:r w:rsidR="00575A59">
        <w:t>diverse</w:t>
      </w:r>
      <w:r w:rsidR="00E22DA9">
        <w:t xml:space="preserve"> </w:t>
      </w:r>
      <w:r w:rsidR="006B70FC">
        <w:t>approaches</w:t>
      </w:r>
      <w:r>
        <w:t>. This plurality reflects the interdisciplinary nature and richness of the field. At the same time, knowledge can only grow and evolve through</w:t>
      </w:r>
      <w:r w:rsidR="006B70FC">
        <w:t xml:space="preserve"> effective </w:t>
      </w:r>
      <w:r>
        <w:t>sharing and reuse.</w:t>
      </w:r>
      <w:r w:rsidR="00E63A4B">
        <w:t xml:space="preserve"> As scientific </w:t>
      </w:r>
      <w:r w:rsidR="00772001">
        <w:t xml:space="preserve">literature </w:t>
      </w:r>
      <w:r w:rsidR="006C1B33">
        <w:t>grows</w:t>
      </w:r>
      <w:r w:rsidR="00E63A4B">
        <w:t xml:space="preserve"> </w:t>
      </w:r>
      <w:r w:rsidR="00772001">
        <w:t>far faster</w:t>
      </w:r>
      <w:r w:rsidR="00E63A4B">
        <w:t xml:space="preserve"> than individual scientists can assimilate (Borycz and Carroll 2020) </w:t>
      </w:r>
      <w:r w:rsidR="00CA1EC1">
        <w:t xml:space="preserve">and </w:t>
      </w:r>
      <w:r w:rsidR="00E63A4B">
        <w:t xml:space="preserve">researchers </w:t>
      </w:r>
      <w:r w:rsidR="00CA0475">
        <w:t>seek to provide</w:t>
      </w:r>
      <w:r w:rsidR="00E63A4B">
        <w:t xml:space="preserve"> </w:t>
      </w:r>
      <w:r w:rsidR="00C46F0A">
        <w:t xml:space="preserve">timely, accurate, decision-relevant </w:t>
      </w:r>
      <w:r w:rsidR="00E63A4B">
        <w:t xml:space="preserve">ES </w:t>
      </w:r>
      <w:r w:rsidR="00C46F0A">
        <w:t>monitoring</w:t>
      </w:r>
      <w:r w:rsidR="00E63A4B">
        <w:t xml:space="preserve"> (</w:t>
      </w:r>
      <w:r w:rsidR="00C364FA">
        <w:rPr>
          <w:color w:val="000000"/>
        </w:rPr>
        <w:t>Vaz et al., 2021, Balvanera et al., 2022, Gonzalez et al., 2023a</w:t>
      </w:r>
      <w:r w:rsidR="00E63A4B">
        <w:t xml:space="preserve">), solutions </w:t>
      </w:r>
      <w:r w:rsidR="009E1F72">
        <w:t xml:space="preserve">to </w:t>
      </w:r>
      <w:r w:rsidR="00E63A4B">
        <w:t>effectively integrat</w:t>
      </w:r>
      <w:r w:rsidR="009E1F72">
        <w:t>e</w:t>
      </w:r>
      <w:r w:rsidR="00E63A4B">
        <w:t xml:space="preserve"> and reus</w:t>
      </w:r>
      <w:r w:rsidR="009E1F72">
        <w:t>e</w:t>
      </w:r>
      <w:r w:rsidR="00E63A4B">
        <w:t xml:space="preserve"> </w:t>
      </w:r>
      <w:r w:rsidR="00772001">
        <w:t xml:space="preserve">knowledge </w:t>
      </w:r>
      <w:r w:rsidR="00E63A4B">
        <w:t>are needed.</w:t>
      </w:r>
    </w:p>
    <w:p w14:paraId="1EA55723" w14:textId="5E6FABF0" w:rsidR="00863F27" w:rsidRDefault="00853DC9" w:rsidP="000B12BC">
      <w:pPr>
        <w:spacing w:before="240" w:after="240" w:line="480" w:lineRule="auto"/>
      </w:pPr>
      <w:r>
        <w:lastRenderedPageBreak/>
        <w:t>The FAIR Principles (Wilkinson et al., 2016, 2018; Lamprecht et al., 2020, Barker et al., 2022; see Box 1 for acronym definitions</w:t>
      </w:r>
      <w:r w:rsidR="002D6909">
        <w:t xml:space="preserve"> and Box 2 for definitions</w:t>
      </w:r>
      <w:r>
        <w:t>) mandate that modern scientific data, models, and software be Findable, Accessible, Interoperable, and Reusable to both human users and machines. These principles have gained increasing recognition and application as a useful reformulation of long-standing open science goals support</w:t>
      </w:r>
      <w:r w:rsidR="0091521A">
        <w:t>ing</w:t>
      </w:r>
      <w:r>
        <w:t xml:space="preserve"> trust and reproducibility (Powers and Hampton, 2019). Specifically, the FAIR Principles call for data, models, and software that are </w:t>
      </w:r>
      <w:r>
        <w:rPr>
          <w:i/>
        </w:rPr>
        <w:t>findable</w:t>
      </w:r>
      <w:r>
        <w:t xml:space="preserve"> and </w:t>
      </w:r>
      <w:r>
        <w:rPr>
          <w:i/>
        </w:rPr>
        <w:t>accessible</w:t>
      </w:r>
      <w:r>
        <w:t xml:space="preserve"> on the internet, integrated with other independently produced knowledge seamlessly and without compatibility issues (</w:t>
      </w:r>
      <w:r>
        <w:rPr>
          <w:i/>
        </w:rPr>
        <w:t>interoperable</w:t>
      </w:r>
      <w:r w:rsidR="00481A7C">
        <w:rPr>
          <w:i/>
        </w:rPr>
        <w:t xml:space="preserve">, </w:t>
      </w:r>
      <w:r w:rsidR="00481A7C" w:rsidRPr="00B878F3">
        <w:rPr>
          <w:rFonts w:asciiTheme="majorHAnsi" w:hAnsiTheme="majorHAnsi" w:cstheme="majorHAnsi"/>
          <w:shd w:val="clear" w:color="auto" w:fill="FFFFFF"/>
        </w:rPr>
        <w:t xml:space="preserve">see Section </w:t>
      </w:r>
      <w:r w:rsidR="00B878F3">
        <w:rPr>
          <w:rFonts w:asciiTheme="majorHAnsi" w:hAnsiTheme="majorHAnsi" w:cstheme="majorHAnsi"/>
          <w:shd w:val="clear" w:color="auto" w:fill="FFFFFF"/>
        </w:rPr>
        <w:t>2</w:t>
      </w:r>
      <w:r>
        <w:t>), and effectively recombined or replicated in new applications (</w:t>
      </w:r>
      <w:r>
        <w:rPr>
          <w:i/>
        </w:rPr>
        <w:t>reusable</w:t>
      </w:r>
      <w:r>
        <w:t xml:space="preserve">). Critically, scientific knowledge </w:t>
      </w:r>
      <w:r w:rsidR="001F1D11">
        <w:t xml:space="preserve">is not dualistically </w:t>
      </w:r>
      <w:r>
        <w:t xml:space="preserve">classified as FAIR </w:t>
      </w:r>
      <w:r w:rsidR="00225AB2">
        <w:t xml:space="preserve">versus </w:t>
      </w:r>
      <w:r>
        <w:t xml:space="preserve">not FAIR. Rather, knowledge can be more or less FAIR, and any improvements in FAIR science </w:t>
      </w:r>
      <w:r w:rsidR="00160C86">
        <w:t>are</w:t>
      </w:r>
      <w:r>
        <w:t xml:space="preserve"> beneficial.</w:t>
      </w:r>
      <w:r w:rsidR="003E5FF3" w:rsidRPr="003E5FF3">
        <w:rPr>
          <w:vertAlign w:val="superscript"/>
        </w:rPr>
        <w:t xml:space="preserve"> </w:t>
      </w:r>
      <w:r w:rsidR="003E5FF3">
        <w:rPr>
          <w:vertAlign w:val="superscript"/>
        </w:rPr>
        <w:footnoteReference w:id="2"/>
      </w:r>
      <w:r>
        <w:t xml:space="preserve"> </w:t>
      </w:r>
    </w:p>
    <w:p w14:paraId="76B87009" w14:textId="18DDA6CA" w:rsidR="00552094" w:rsidRDefault="00863F27" w:rsidP="000B12BC">
      <w:pPr>
        <w:spacing w:before="240" w:after="240" w:line="480" w:lineRule="auto"/>
      </w:pPr>
      <w:r>
        <w:t xml:space="preserve">It is important to precisely define interoperability, since multiple definitions exist (IEEE, 1990, Heiler, 1995, Wang et al., 2009, Lamprecht et al., 2020). In this paper, we use definitions from Heiler (1995), who distinguishes between </w:t>
      </w:r>
      <w:r w:rsidRPr="003026CC">
        <w:rPr>
          <w:i/>
          <w:iCs/>
        </w:rPr>
        <w:t>syntactic interoperability</w:t>
      </w:r>
      <w:r>
        <w:t xml:space="preserve"> – the use of compatible data formats and digital communication protocols – and higher-level </w:t>
      </w:r>
      <w:r w:rsidRPr="003026CC">
        <w:rPr>
          <w:i/>
          <w:iCs/>
        </w:rPr>
        <w:t>semantic interoperability</w:t>
      </w:r>
      <w:r>
        <w:t xml:space="preserve"> – data transfers where a receiving system correctly </w:t>
      </w:r>
      <w:r w:rsidR="00C6357A">
        <w:t xml:space="preserve">identifies </w:t>
      </w:r>
      <w:r>
        <w:t>the meaning of exchanged data, reusing it appropriately (see also Guizzardi</w:t>
      </w:r>
      <w:r w:rsidR="00017C18">
        <w:t>,</w:t>
      </w:r>
      <w:r>
        <w:t xml:space="preserve"> 2020). </w:t>
      </w:r>
    </w:p>
    <w:p w14:paraId="3AEB83D2" w14:textId="3D8968B9" w:rsidR="006C1B33" w:rsidRPr="006C1B33" w:rsidRDefault="00552094" w:rsidP="000B12BC">
      <w:pPr>
        <w:spacing w:before="240" w:after="240" w:line="480" w:lineRule="auto"/>
        <w:rPr>
          <w:shd w:val="clear" w:color="auto" w:fill="FFFFFF"/>
        </w:rPr>
      </w:pPr>
      <w:r>
        <w:t>M</w:t>
      </w:r>
      <w:r w:rsidR="00863F27">
        <w:t>odern data and code repositories typically support findability and accessibility, but interoperability and reusability – particularly for machines – cannot be reached solely through the adoption of repositories (Borycz and Carroll, 2020, Papoutsoglou et al</w:t>
      </w:r>
      <w:r w:rsidR="00017C18">
        <w:t>.</w:t>
      </w:r>
      <w:r w:rsidR="00863F27">
        <w:t>, 2023).</w:t>
      </w:r>
      <w:r>
        <w:t xml:space="preserve"> </w:t>
      </w:r>
      <w:r w:rsidR="006C1B33" w:rsidRPr="006C1B33">
        <w:t xml:space="preserve">For example, </w:t>
      </w:r>
      <w:r w:rsidR="006C1B33" w:rsidRPr="006C1B33">
        <w:rPr>
          <w:shd w:val="clear" w:color="auto" w:fill="FFFFFF"/>
        </w:rPr>
        <w:t xml:space="preserve">a recent IPBES global model intercomparison quantifying past and future changes in biodiversity and ES (Kim et al. 2018, Rosa </w:t>
      </w:r>
      <w:r w:rsidR="006C1B33" w:rsidRPr="006C1B33">
        <w:rPr>
          <w:shd w:val="clear" w:color="auto" w:fill="FFFFFF"/>
        </w:rPr>
        <w:lastRenderedPageBreak/>
        <w:t xml:space="preserve">et al. 2020, Pereira et al. 2024) illustrates current best </w:t>
      </w:r>
      <w:r w:rsidR="006C1A82">
        <w:rPr>
          <w:shd w:val="clear" w:color="auto" w:fill="FFFFFF"/>
        </w:rPr>
        <w:t xml:space="preserve">open-science </w:t>
      </w:r>
      <w:r w:rsidR="006C1B33" w:rsidRPr="006C1B33">
        <w:rPr>
          <w:shd w:val="clear" w:color="auto" w:fill="FFFFFF"/>
        </w:rPr>
        <w:t xml:space="preserve">practices. This extensive effort </w:t>
      </w:r>
      <w:r w:rsidR="0085739A">
        <w:rPr>
          <w:shd w:val="clear" w:color="auto" w:fill="FFFFFF"/>
        </w:rPr>
        <w:t>used</w:t>
      </w:r>
      <w:r w:rsidR="006C1B33" w:rsidRPr="006C1B33">
        <w:rPr>
          <w:shd w:val="clear" w:color="auto" w:fill="FFFFFF"/>
        </w:rPr>
        <w:t xml:space="preserve"> public code and data repositories (GEO BON</w:t>
      </w:r>
      <w:r w:rsidR="00A37421">
        <w:rPr>
          <w:shd w:val="clear" w:color="auto" w:fill="FFFFFF"/>
        </w:rPr>
        <w:t>,</w:t>
      </w:r>
      <w:r w:rsidR="006C1B33" w:rsidRPr="006C1B33">
        <w:rPr>
          <w:shd w:val="clear" w:color="auto" w:fill="FFFFFF"/>
        </w:rPr>
        <w:t xml:space="preserve"> 2024a) and community-developed metadata (GEO BON</w:t>
      </w:r>
      <w:r w:rsidR="00A37421">
        <w:rPr>
          <w:shd w:val="clear" w:color="auto" w:fill="FFFFFF"/>
        </w:rPr>
        <w:t>,</w:t>
      </w:r>
      <w:r w:rsidR="006C1B33" w:rsidRPr="006C1B33">
        <w:rPr>
          <w:shd w:val="clear" w:color="auto" w:fill="FFFFFF"/>
        </w:rPr>
        <w:t xml:space="preserve"> 2024b), </w:t>
      </w:r>
      <w:r w:rsidR="0085739A">
        <w:rPr>
          <w:shd w:val="clear" w:color="auto" w:fill="FFFFFF"/>
        </w:rPr>
        <w:t>greatly improving its</w:t>
      </w:r>
      <w:r w:rsidR="006C1B33" w:rsidRPr="006C1B33">
        <w:rPr>
          <w:shd w:val="clear" w:color="auto" w:fill="FFFFFF"/>
        </w:rPr>
        <w:t xml:space="preserve"> </w:t>
      </w:r>
      <w:r w:rsidR="006C1B33">
        <w:rPr>
          <w:shd w:val="clear" w:color="auto" w:fill="FFFFFF"/>
        </w:rPr>
        <w:t xml:space="preserve">compliance with the FAIR Principles. However, </w:t>
      </w:r>
      <w:r w:rsidR="00481A7C">
        <w:rPr>
          <w:shd w:val="clear" w:color="auto" w:fill="FFFFFF"/>
        </w:rPr>
        <w:t xml:space="preserve">the integration of this work with other independently produced ES data and models remains a highly technical, time-consuming </w:t>
      </w:r>
      <w:r w:rsidR="00CA0475">
        <w:rPr>
          <w:shd w:val="clear" w:color="auto" w:fill="FFFFFF"/>
        </w:rPr>
        <w:t>endeavor</w:t>
      </w:r>
      <w:r w:rsidR="00481A7C">
        <w:rPr>
          <w:shd w:val="clear" w:color="auto" w:fill="FFFFFF"/>
        </w:rPr>
        <w:t>, illustrating</w:t>
      </w:r>
      <w:r w:rsidR="0085739A">
        <w:rPr>
          <w:shd w:val="clear" w:color="auto" w:fill="FFFFFF"/>
        </w:rPr>
        <w:t xml:space="preserve"> </w:t>
      </w:r>
      <w:r w:rsidR="00481A7C">
        <w:rPr>
          <w:shd w:val="clear" w:color="auto" w:fill="FFFFFF"/>
        </w:rPr>
        <w:t>incomplete achievement of high-level interoperability (</w:t>
      </w:r>
      <w:r w:rsidR="00481A7C" w:rsidRPr="00496A91">
        <w:rPr>
          <w:shd w:val="clear" w:color="auto" w:fill="FFFFFF"/>
        </w:rPr>
        <w:t xml:space="preserve">see </w:t>
      </w:r>
      <w:r w:rsidR="00DB4C3A" w:rsidRPr="00496A91">
        <w:rPr>
          <w:shd w:val="clear" w:color="auto" w:fill="FFFFFF"/>
        </w:rPr>
        <w:t>s</w:t>
      </w:r>
      <w:r w:rsidR="00481A7C" w:rsidRPr="00496A91">
        <w:rPr>
          <w:shd w:val="clear" w:color="auto" w:fill="FFFFFF"/>
        </w:rPr>
        <w:t xml:space="preserve">ection </w:t>
      </w:r>
      <w:r w:rsidR="00496A91">
        <w:rPr>
          <w:shd w:val="clear" w:color="auto" w:fill="FFFFFF"/>
        </w:rPr>
        <w:t>2</w:t>
      </w:r>
      <w:r w:rsidR="00481A7C">
        <w:rPr>
          <w:shd w:val="clear" w:color="auto" w:fill="FFFFFF"/>
        </w:rPr>
        <w:t>).</w:t>
      </w:r>
    </w:p>
    <w:p w14:paraId="36F6618E" w14:textId="1D41EFFE" w:rsidR="00E63A4B" w:rsidRDefault="006B1E65" w:rsidP="000B12BC">
      <w:pPr>
        <w:spacing w:before="240" w:line="480" w:lineRule="auto"/>
      </w:pPr>
      <w:r>
        <w:t>T</w:t>
      </w:r>
      <w:r w:rsidR="00E63A4B">
        <w:t>he high</w:t>
      </w:r>
      <w:r w:rsidR="00AB7D1D">
        <w:t xml:space="preserve"> disciplinary and methodological diversity</w:t>
      </w:r>
      <w:r>
        <w:t xml:space="preserve"> of ES poses </w:t>
      </w:r>
      <w:proofErr w:type="gramStart"/>
      <w:r>
        <w:t>particular challenges</w:t>
      </w:r>
      <w:proofErr w:type="gramEnd"/>
      <w:r>
        <w:t xml:space="preserve"> for achieving interoperability</w:t>
      </w:r>
      <w:r w:rsidR="00E63A4B">
        <w:t xml:space="preserve">. This makes the FAIR Principles’ calls for community standards challenging. Disciplinary diversity </w:t>
      </w:r>
      <w:r w:rsidR="004E488C">
        <w:t>means that</w:t>
      </w:r>
      <w:r w:rsidR="00E63A4B">
        <w:t xml:space="preserve"> data types and the concept of “data” itself varies between fields. The contribution of social sciences, particularly through participatory methods (Krasny et al., 2014, Ramirez-Gomez et al., 2015, Ausseil et al., 2022), has advanced the ES field considerably, but </w:t>
      </w:r>
      <w:r w:rsidR="004E488C">
        <w:t xml:space="preserve">often </w:t>
      </w:r>
      <w:r w:rsidR="00E63A4B">
        <w:t xml:space="preserve">produces qualitative data for which metadata standards remain elusive. Additionally, including diverse indigenous perspectives, </w:t>
      </w:r>
      <w:r w:rsidR="00D5395E">
        <w:t xml:space="preserve">which is both scientifically essential </w:t>
      </w:r>
      <w:r w:rsidR="00EE5F7E">
        <w:t xml:space="preserve">(Stoeckl et al., 2021, Kobluk et al., 2024) </w:t>
      </w:r>
      <w:r w:rsidR="00E63A4B">
        <w:t xml:space="preserve">and required by international conservation agreements (CBD, 2022a), requires reevaluation of what constitutes data (Walter and Suina, 2019). Such cases </w:t>
      </w:r>
      <w:r w:rsidR="00EE5F7E">
        <w:t xml:space="preserve">pose </w:t>
      </w:r>
      <w:r w:rsidR="00E63A4B">
        <w:t xml:space="preserve">particularly difficult challenges in achieving community standards aligned with the FAIR Principles. </w:t>
      </w:r>
    </w:p>
    <w:p w14:paraId="5C6155EE" w14:textId="2FF93DA2" w:rsidR="00E63A4B" w:rsidRDefault="00E63A4B" w:rsidP="000B12BC">
      <w:pPr>
        <w:autoSpaceDE w:val="0"/>
        <w:autoSpaceDN w:val="0"/>
        <w:adjustRightInd w:val="0"/>
        <w:spacing w:after="0" w:line="480" w:lineRule="auto"/>
      </w:pPr>
      <w:r w:rsidRPr="00E63A4B">
        <w:t>Further</w:t>
      </w:r>
      <w:r>
        <w:rPr>
          <w:i/>
          <w:iCs/>
        </w:rPr>
        <w:t xml:space="preserve">, </w:t>
      </w:r>
      <w:r>
        <w:t xml:space="preserve">there are cases where conceptually flexible definitions </w:t>
      </w:r>
      <w:r w:rsidR="0085739A">
        <w:t>of ES concepts</w:t>
      </w:r>
      <w:r>
        <w:t xml:space="preserve"> </w:t>
      </w:r>
      <w:r w:rsidR="007B39EA">
        <w:t>can be</w:t>
      </w:r>
      <w:r>
        <w:t xml:space="preserve"> considered beneficial, rather than a challenge to be overcome. </w:t>
      </w:r>
      <w:r w:rsidRPr="00A81B8E">
        <w:t xml:space="preserve">Steger et al. (2018) </w:t>
      </w:r>
      <w:r>
        <w:t xml:space="preserve">elaborate on the benefits and drawbacks of making ES more standardized versus intentionally vague and flexible. We believe that the application of precise and rigorous </w:t>
      </w:r>
      <w:r w:rsidRPr="00FD1EB6">
        <w:rPr>
          <w:i/>
          <w:iCs/>
        </w:rPr>
        <w:t>semantics</w:t>
      </w:r>
      <w:r w:rsidR="00643CC8">
        <w:t xml:space="preserve">, </w:t>
      </w:r>
      <w:r w:rsidR="00FD1EB6">
        <w:t xml:space="preserve">which </w:t>
      </w:r>
      <w:r w:rsidR="00643CC8">
        <w:t>formalize meanings</w:t>
      </w:r>
      <w:r w:rsidR="00FD1EB6">
        <w:t xml:space="preserve"> using logic</w:t>
      </w:r>
      <w:r w:rsidR="00643CC8">
        <w:t>,</w:t>
      </w:r>
      <w:r>
        <w:t xml:space="preserve"> for </w:t>
      </w:r>
      <w:r w:rsidRPr="0059761F">
        <w:rPr>
          <w:i/>
          <w:iCs/>
        </w:rPr>
        <w:t>quantitative ES assessment</w:t>
      </w:r>
      <w:r>
        <w:t xml:space="preserve"> </w:t>
      </w:r>
      <w:r w:rsidR="0085739A">
        <w:t xml:space="preserve">(see </w:t>
      </w:r>
      <w:r w:rsidR="00DB4C3A">
        <w:t>s</w:t>
      </w:r>
      <w:r w:rsidR="0085739A">
        <w:t xml:space="preserve">ection 1.2) </w:t>
      </w:r>
      <w:r>
        <w:t xml:space="preserve">can coexist alongside </w:t>
      </w:r>
      <w:r w:rsidR="008131CA" w:rsidRPr="0059761F">
        <w:rPr>
          <w:i/>
          <w:iCs/>
        </w:rPr>
        <w:t>pluralistic definitions</w:t>
      </w:r>
      <w:r w:rsidR="008131CA">
        <w:t xml:space="preserve"> </w:t>
      </w:r>
      <w:r>
        <w:t>for contested aspects of “ES value”</w:t>
      </w:r>
      <w:r w:rsidR="00930551">
        <w:t xml:space="preserve"> (Wallace and Jago, 2017, </w:t>
      </w:r>
      <w:r w:rsidR="008131CA">
        <w:t xml:space="preserve">Jax et al., 2018, </w:t>
      </w:r>
      <w:r w:rsidR="00930551">
        <w:t>Wallace et al., 2020),</w:t>
      </w:r>
      <w:r>
        <w:t xml:space="preserve"> particularly by recognizing non-western worldviews (e.g., indigenous and other local perceptions of ES), </w:t>
      </w:r>
      <w:r w:rsidR="0040257A">
        <w:t>which can improve</w:t>
      </w:r>
      <w:r>
        <w:t xml:space="preserve"> representation, equity, and comprehensiveness </w:t>
      </w:r>
      <w:r w:rsidR="00F757C2">
        <w:t xml:space="preserve">in ES assessments </w:t>
      </w:r>
      <w:r>
        <w:t xml:space="preserve">(de Valck et al. 2023). </w:t>
      </w:r>
    </w:p>
    <w:p w14:paraId="5C12C8B4" w14:textId="77777777" w:rsidR="00B65C68" w:rsidRDefault="00B65C68" w:rsidP="000B12BC">
      <w:pPr>
        <w:autoSpaceDE w:val="0"/>
        <w:autoSpaceDN w:val="0"/>
        <w:adjustRightInd w:val="0"/>
        <w:spacing w:after="0" w:line="480" w:lineRule="auto"/>
      </w:pPr>
    </w:p>
    <w:p w14:paraId="3F477353" w14:textId="6D9174BF" w:rsidR="00B65C68" w:rsidRDefault="00B65C68" w:rsidP="000B12BC">
      <w:pPr>
        <w:spacing w:after="0" w:line="480" w:lineRule="auto"/>
      </w:pPr>
      <w:r>
        <w:t xml:space="preserve">Wider understanding, consensus, and application of interoperability to ES offers numerous benefits (see </w:t>
      </w:r>
      <w:r w:rsidR="00DB4C3A" w:rsidRPr="00753003">
        <w:t>s</w:t>
      </w:r>
      <w:r w:rsidRPr="00753003">
        <w:t>ection</w:t>
      </w:r>
      <w:r w:rsidR="00753003" w:rsidRPr="00753003">
        <w:t>s</w:t>
      </w:r>
      <w:r w:rsidR="00766E6F" w:rsidRPr="00753003">
        <w:t xml:space="preserve"> </w:t>
      </w:r>
      <w:r w:rsidR="00753003" w:rsidRPr="00753003">
        <w:t xml:space="preserve">3.5 and </w:t>
      </w:r>
      <w:r w:rsidR="00766E6F" w:rsidRPr="00753003">
        <w:t>5.3</w:t>
      </w:r>
      <w:r>
        <w:t xml:space="preserve">). Interoperability is essential for addressing </w:t>
      </w:r>
      <w:r w:rsidR="00BF3DDD">
        <w:t xml:space="preserve">complex </w:t>
      </w:r>
      <w:r w:rsidR="008E0EF2">
        <w:t>multiscale challenges</w:t>
      </w:r>
      <w:r>
        <w:t xml:space="preserve">, where multiscale scientific knowledge is needed to inform coherent decisions </w:t>
      </w:r>
      <w:r w:rsidR="009D5D2F">
        <w:t xml:space="preserve">by </w:t>
      </w:r>
      <w:r>
        <w:t xml:space="preserve">nested governance levels. </w:t>
      </w:r>
      <w:r w:rsidRPr="00442618">
        <w:t>Today’s sustainability challenges require timely, versatile, and easy-to-produce knowledge to support global targets and policy goals (Balbi et al., 2022, COP28, 2023).</w:t>
      </w:r>
      <w:r>
        <w:t xml:space="preserve"> Interoperability is thus an important prerequisite to mainstreaming the production of ES information to inform policy at all levels of decision making. Solutions to the interoperability problem </w:t>
      </w:r>
      <w:r w:rsidR="006C36CE">
        <w:t xml:space="preserve">need to </w:t>
      </w:r>
      <w:r>
        <w:t>be developed, endorsed, and applied by the broad research community; doing so enables the field to advance in ways that isolated individuals and research groups cannot. Widespread achievement of interoperability in ES will likely require the efforts of a dedicated and representative community of practice, making greater awareness of the topic timely.</w:t>
      </w:r>
    </w:p>
    <w:p w14:paraId="62EC8A58" w14:textId="77777777" w:rsidR="00B65C68" w:rsidRDefault="00B65C68" w:rsidP="000B12BC">
      <w:pPr>
        <w:autoSpaceDE w:val="0"/>
        <w:autoSpaceDN w:val="0"/>
        <w:adjustRightInd w:val="0"/>
        <w:spacing w:after="0" w:line="480" w:lineRule="auto"/>
      </w:pPr>
    </w:p>
    <w:p w14:paraId="5BCBB0AF" w14:textId="110EA2C4" w:rsidR="005B23C0" w:rsidRPr="005B23C0" w:rsidRDefault="005B23C0" w:rsidP="000B12BC">
      <w:pPr>
        <w:spacing w:before="240" w:line="480" w:lineRule="auto"/>
      </w:pPr>
      <w:r>
        <w:rPr>
          <w:i/>
          <w:iCs/>
        </w:rPr>
        <w:t>1.</w:t>
      </w:r>
      <w:r w:rsidR="006C1B33">
        <w:rPr>
          <w:i/>
          <w:iCs/>
        </w:rPr>
        <w:t xml:space="preserve">2 </w:t>
      </w:r>
      <w:r>
        <w:rPr>
          <w:i/>
          <w:iCs/>
        </w:rPr>
        <w:t xml:space="preserve">The semantics </w:t>
      </w:r>
      <w:r w:rsidR="002C42D5">
        <w:rPr>
          <w:i/>
          <w:iCs/>
        </w:rPr>
        <w:t>challenge</w:t>
      </w:r>
    </w:p>
    <w:p w14:paraId="704536C9" w14:textId="16D270B2" w:rsidR="001D58B6" w:rsidRDefault="00CC66D5" w:rsidP="000B12BC">
      <w:pPr>
        <w:spacing w:after="0" w:line="480" w:lineRule="auto"/>
      </w:pPr>
      <w:r>
        <w:t xml:space="preserve">Interoperability for ES requires </w:t>
      </w:r>
      <w:r w:rsidR="00592726">
        <w:t xml:space="preserve">(1) </w:t>
      </w:r>
      <w:r>
        <w:t>the consistent use of approaches enabl</w:t>
      </w:r>
      <w:r w:rsidR="002433D8">
        <w:t>ing</w:t>
      </w:r>
      <w:r>
        <w:t xml:space="preserve"> software to seamlessly exchange data, </w:t>
      </w:r>
      <w:r w:rsidR="004E0596">
        <w:t>e.g</w:t>
      </w:r>
      <w:r>
        <w:t xml:space="preserve">., using open and cloud-optimized file formats and well-documented and community-endorsed </w:t>
      </w:r>
      <w:r w:rsidR="00733F80">
        <w:t>application programming interfaces (</w:t>
      </w:r>
      <w:r>
        <w:t>APIs</w:t>
      </w:r>
      <w:r w:rsidR="00733F80">
        <w:t>)</w:t>
      </w:r>
      <w:r>
        <w:t xml:space="preserve"> </w:t>
      </w:r>
      <w:r w:rsidR="00796FF7">
        <w:t>(</w:t>
      </w:r>
      <w:r w:rsidR="00796FF7" w:rsidRPr="00E322AC">
        <w:t xml:space="preserve">see </w:t>
      </w:r>
      <w:r w:rsidR="00DB4C3A" w:rsidRPr="00E322AC">
        <w:t>s</w:t>
      </w:r>
      <w:r w:rsidR="00796FF7" w:rsidRPr="00E322AC">
        <w:t xml:space="preserve">ection </w:t>
      </w:r>
      <w:r w:rsidR="00E322AC">
        <w:t>2</w:t>
      </w:r>
      <w:r w:rsidR="00796FF7">
        <w:t xml:space="preserve">) </w:t>
      </w:r>
      <w:r>
        <w:t xml:space="preserve">and (2) consistent semantics </w:t>
      </w:r>
      <w:r w:rsidR="00844A4E">
        <w:t>to</w:t>
      </w:r>
      <w:r w:rsidR="00796FF7">
        <w:t xml:space="preserve"> describe scientific data and models </w:t>
      </w:r>
      <w:r w:rsidR="0007158F">
        <w:t>so</w:t>
      </w:r>
      <w:r w:rsidR="007A1A57">
        <w:t xml:space="preserve"> </w:t>
      </w:r>
      <w:r w:rsidR="00796FF7">
        <w:t xml:space="preserve">that </w:t>
      </w:r>
      <w:r w:rsidR="007A1A57">
        <w:t xml:space="preserve">they </w:t>
      </w:r>
      <w:r w:rsidR="00796FF7">
        <w:t xml:space="preserve">can </w:t>
      </w:r>
      <w:r w:rsidR="00BA6DB4">
        <w:t xml:space="preserve">be </w:t>
      </w:r>
      <w:r w:rsidR="00796FF7">
        <w:t>understood by both people and machines (</w:t>
      </w:r>
      <w:r w:rsidR="00796FF7" w:rsidRPr="00DB4C3A">
        <w:t xml:space="preserve">see </w:t>
      </w:r>
      <w:r w:rsidR="00DB4C3A" w:rsidRPr="00DB4C3A">
        <w:t>s</w:t>
      </w:r>
      <w:r w:rsidR="00796FF7" w:rsidRPr="00DB4C3A">
        <w:t xml:space="preserve">ection </w:t>
      </w:r>
      <w:r w:rsidR="00DB4C3A">
        <w:t>2.1</w:t>
      </w:r>
      <w:r w:rsidR="00796FF7">
        <w:t xml:space="preserve">). </w:t>
      </w:r>
      <w:r w:rsidR="007A1A57">
        <w:t>The semantics challenge is</w:t>
      </w:r>
      <w:r w:rsidR="00796FF7">
        <w:t xml:space="preserve"> greater </w:t>
      </w:r>
      <w:r w:rsidR="007A1A57">
        <w:t xml:space="preserve">for </w:t>
      </w:r>
      <w:r w:rsidR="00796FF7">
        <w:t>a disciplinarily and conceptually diverse field like ES</w:t>
      </w:r>
      <w:r w:rsidR="001D58B6">
        <w:t>.</w:t>
      </w:r>
    </w:p>
    <w:p w14:paraId="65302898" w14:textId="77777777" w:rsidR="001D58B6" w:rsidRDefault="001D58B6" w:rsidP="000B12BC">
      <w:pPr>
        <w:spacing w:after="0" w:line="480" w:lineRule="auto"/>
      </w:pPr>
    </w:p>
    <w:p w14:paraId="3223F03C" w14:textId="697DE4AA" w:rsidR="00CD64F3" w:rsidRDefault="00CD64F3" w:rsidP="000B12BC">
      <w:pPr>
        <w:spacing w:before="240" w:line="480" w:lineRule="auto"/>
        <w:jc w:val="center"/>
      </w:pPr>
      <w:bookmarkStart w:id="1" w:name="_30j0zll" w:colFirst="0" w:colLast="0"/>
      <w:bookmarkEnd w:id="1"/>
      <w:r>
        <w:t>(Box 1 about here)</w:t>
      </w:r>
    </w:p>
    <w:p w14:paraId="0D8C7B3D" w14:textId="6A758596" w:rsidR="002D6909" w:rsidRDefault="002D6909" w:rsidP="000B12BC">
      <w:pPr>
        <w:spacing w:before="240" w:line="480" w:lineRule="auto"/>
        <w:jc w:val="center"/>
      </w:pPr>
      <w:r>
        <w:t>(Box 2 about here)</w:t>
      </w:r>
    </w:p>
    <w:p w14:paraId="4F5BEA37" w14:textId="4671B3B7" w:rsidR="004701C6" w:rsidRDefault="004701C6" w:rsidP="000B12BC">
      <w:pPr>
        <w:spacing w:before="240" w:line="480" w:lineRule="auto"/>
      </w:pPr>
      <w:bookmarkStart w:id="2" w:name="_1fob9te" w:colFirst="0" w:colLast="0"/>
      <w:bookmarkEnd w:id="2"/>
      <w:r>
        <w:lastRenderedPageBreak/>
        <w:t>Prominent historical cases where scientific terms and meanings were standardized include the introduction of the periodic table, which identified chemical elements and their relationships by families, and Linnaean taxonomy, which identified species and their interrelationships through higher-level taxa. These systems replaced inconsistent worldviews in chemistry and biology, giving scientists standardized language and predictive models to further test and refine. New discoveries conformed to an agreed terminological and logical structure</w:t>
      </w:r>
      <w:r>
        <w:rPr>
          <w:i/>
        </w:rPr>
        <w:t xml:space="preserve"> – </w:t>
      </w:r>
      <w:r>
        <w:t xml:space="preserve">standardized concepts for chemical elements and species and the relationships between them. </w:t>
      </w:r>
    </w:p>
    <w:p w14:paraId="66573C75" w14:textId="6C679DD0" w:rsidR="00844A4E" w:rsidRDefault="00C36E3F" w:rsidP="000B12BC">
      <w:pPr>
        <w:spacing w:before="240" w:line="480" w:lineRule="auto"/>
      </w:pPr>
      <w:r>
        <w:t>More recently, s</w:t>
      </w:r>
      <w:r w:rsidR="00917053">
        <w:t>ubstantial</w:t>
      </w:r>
      <w:r>
        <w:t xml:space="preserve"> efforts toward interoperability have been critical </w:t>
      </w:r>
      <w:r w:rsidR="00917053">
        <w:t>for</w:t>
      </w:r>
      <w:r>
        <w:t xml:space="preserve"> supporting intercomparison of climate (Edwards, 2011) and agricultural models (AgMIP, 2024), and are also needed to support geospatial mapping and modeling (Fischer et al., 2023, Strobl et al., 2024). Other fields of science, most notably genetics (Gene Ontology Consortium, 2019) and biomedicine (Jackson et al., 2021), but more recently the geosciences (Gil et al., 2019, Zhang et al., 2019, Tucker et al., 2022), </w:t>
      </w:r>
      <w:r w:rsidR="00930551">
        <w:t>have made substantial</w:t>
      </w:r>
      <w:r>
        <w:t xml:space="preserve"> advances toward more widespread interoperability and reuse. </w:t>
      </w:r>
      <w:r w:rsidR="00844A4E">
        <w:t xml:space="preserve">For example, the use of common file formats, scientific repositories, metadata standards, including common ontologies and controlled vocabularies, and informatics tools and pipelines, have enabled vast, synthetic advances in the field of </w:t>
      </w:r>
      <w:r w:rsidR="00844A4E" w:rsidRPr="00844A4E">
        <w:t>genomics (</w:t>
      </w:r>
      <w:r w:rsidR="00844A4E" w:rsidRPr="00844A4E">
        <w:rPr>
          <w:color w:val="222222"/>
          <w:shd w:val="clear" w:color="auto" w:fill="FFFFFF"/>
        </w:rPr>
        <w:t>ICGC/TCGA Pan-Cancer Analysis of Whole Genomes Consortium, 2020</w:t>
      </w:r>
      <w:r w:rsidR="00844A4E" w:rsidRPr="00844A4E">
        <w:t xml:space="preserve">). </w:t>
      </w:r>
      <w:r w:rsidR="004701C6">
        <w:t xml:space="preserve">Bada et al. (2004) note that seven </w:t>
      </w:r>
      <w:r w:rsidR="00303B11">
        <w:t>characteristics</w:t>
      </w:r>
      <w:r w:rsidR="004701C6">
        <w:t xml:space="preserve"> contributed to the successful application of semantics in the genomics community: </w:t>
      </w:r>
      <w:bookmarkStart w:id="3" w:name="_Hlk181092920"/>
      <w:r w:rsidR="004701C6" w:rsidRPr="004701C6">
        <w:rPr>
          <w:rFonts w:asciiTheme="majorHAnsi" w:hAnsiTheme="majorHAnsi" w:cstheme="majorHAnsi"/>
        </w:rPr>
        <w:t>“</w:t>
      </w:r>
      <w:r w:rsidR="004701C6" w:rsidRPr="004701C6">
        <w:rPr>
          <w:rStyle w:val="cf01"/>
          <w:rFonts w:asciiTheme="majorHAnsi" w:hAnsiTheme="majorHAnsi" w:cstheme="majorHAnsi"/>
          <w:sz w:val="22"/>
          <w:szCs w:val="22"/>
        </w:rPr>
        <w:t>community involvement; clear goals; limited scope; simple, intuitive structure; continuous evolution; active curation; and early use.”</w:t>
      </w:r>
      <w:r w:rsidR="004701C6">
        <w:t xml:space="preserve"> </w:t>
      </w:r>
      <w:r w:rsidR="00844A4E" w:rsidRPr="00844A4E">
        <w:t xml:space="preserve"> </w:t>
      </w:r>
      <w:bookmarkEnd w:id="3"/>
    </w:p>
    <w:p w14:paraId="711C75E3" w14:textId="224CD8F9" w:rsidR="00102269" w:rsidRPr="00844A4E" w:rsidRDefault="00BC6D5F" w:rsidP="000B12BC">
      <w:pPr>
        <w:spacing w:before="240" w:line="480" w:lineRule="auto"/>
      </w:pPr>
      <w:r>
        <w:t>The</w:t>
      </w:r>
      <w:r w:rsidR="003C169D">
        <w:t xml:space="preserve"> above</w:t>
      </w:r>
      <w:r>
        <w:t xml:space="preserve"> </w:t>
      </w:r>
      <w:r w:rsidR="00102269">
        <w:t>subjects</w:t>
      </w:r>
      <w:r w:rsidR="00102269" w:rsidRPr="00687E86">
        <w:rPr>
          <w:rStyle w:val="cf01"/>
          <w:rFonts w:asciiTheme="majorHAnsi" w:hAnsiTheme="majorHAnsi" w:cstheme="majorHAnsi"/>
          <w:sz w:val="22"/>
          <w:szCs w:val="22"/>
        </w:rPr>
        <w:t xml:space="preserve"> entail fewer disciplines and system parameters</w:t>
      </w:r>
      <w:r>
        <w:rPr>
          <w:rStyle w:val="cf01"/>
          <w:rFonts w:asciiTheme="majorHAnsi" w:hAnsiTheme="majorHAnsi" w:cstheme="majorHAnsi"/>
          <w:sz w:val="22"/>
          <w:szCs w:val="22"/>
        </w:rPr>
        <w:t xml:space="preserve"> than the ES field</w:t>
      </w:r>
      <w:r w:rsidR="00102269" w:rsidRPr="00687E86">
        <w:rPr>
          <w:rStyle w:val="cf01"/>
          <w:rFonts w:asciiTheme="majorHAnsi" w:hAnsiTheme="majorHAnsi" w:cstheme="majorHAnsi"/>
          <w:sz w:val="22"/>
          <w:szCs w:val="22"/>
        </w:rPr>
        <w:t xml:space="preserve">. Despite these differences, </w:t>
      </w:r>
      <w:r w:rsidR="00612CB1">
        <w:rPr>
          <w:rStyle w:val="cf01"/>
          <w:rFonts w:asciiTheme="majorHAnsi" w:hAnsiTheme="majorHAnsi" w:cstheme="majorHAnsi"/>
          <w:sz w:val="22"/>
          <w:szCs w:val="22"/>
        </w:rPr>
        <w:t>improved</w:t>
      </w:r>
      <w:r w:rsidR="00102269">
        <w:rPr>
          <w:rStyle w:val="cf01"/>
          <w:rFonts w:asciiTheme="majorHAnsi" w:hAnsiTheme="majorHAnsi" w:cstheme="majorHAnsi"/>
          <w:sz w:val="22"/>
          <w:szCs w:val="22"/>
        </w:rPr>
        <w:t xml:space="preserve"> </w:t>
      </w:r>
      <w:r w:rsidR="00102269" w:rsidRPr="00687E86">
        <w:rPr>
          <w:rStyle w:val="cf01"/>
          <w:rFonts w:asciiTheme="majorHAnsi" w:hAnsiTheme="majorHAnsi" w:cstheme="majorHAnsi"/>
          <w:sz w:val="22"/>
          <w:szCs w:val="22"/>
        </w:rPr>
        <w:t xml:space="preserve">standardization </w:t>
      </w:r>
      <w:r w:rsidR="00102269">
        <w:rPr>
          <w:rStyle w:val="cf01"/>
          <w:rFonts w:asciiTheme="majorHAnsi" w:hAnsiTheme="majorHAnsi" w:cstheme="majorHAnsi"/>
          <w:sz w:val="22"/>
          <w:szCs w:val="22"/>
        </w:rPr>
        <w:t xml:space="preserve">for quantitative </w:t>
      </w:r>
      <w:r w:rsidR="003C169D">
        <w:rPr>
          <w:rStyle w:val="cf01"/>
          <w:rFonts w:asciiTheme="majorHAnsi" w:hAnsiTheme="majorHAnsi" w:cstheme="majorHAnsi"/>
          <w:sz w:val="22"/>
          <w:szCs w:val="22"/>
        </w:rPr>
        <w:t xml:space="preserve">ES </w:t>
      </w:r>
      <w:r w:rsidR="00102269">
        <w:rPr>
          <w:rStyle w:val="cf01"/>
          <w:rFonts w:asciiTheme="majorHAnsi" w:hAnsiTheme="majorHAnsi" w:cstheme="majorHAnsi"/>
          <w:sz w:val="22"/>
          <w:szCs w:val="22"/>
        </w:rPr>
        <w:t xml:space="preserve">assessments </w:t>
      </w:r>
      <w:r w:rsidR="003C169D">
        <w:rPr>
          <w:rStyle w:val="cf01"/>
          <w:rFonts w:asciiTheme="majorHAnsi" w:hAnsiTheme="majorHAnsi" w:cstheme="majorHAnsi"/>
          <w:sz w:val="22"/>
          <w:szCs w:val="22"/>
        </w:rPr>
        <w:t xml:space="preserve">could </w:t>
      </w:r>
      <w:r w:rsidR="00102269">
        <w:rPr>
          <w:rStyle w:val="cf01"/>
          <w:rFonts w:asciiTheme="majorHAnsi" w:hAnsiTheme="majorHAnsi" w:cstheme="majorHAnsi"/>
          <w:sz w:val="22"/>
          <w:szCs w:val="22"/>
        </w:rPr>
        <w:t>produce more</w:t>
      </w:r>
      <w:r w:rsidR="00102269" w:rsidRPr="00687E86">
        <w:rPr>
          <w:rStyle w:val="cf01"/>
          <w:rFonts w:asciiTheme="majorHAnsi" w:hAnsiTheme="majorHAnsi" w:cstheme="majorHAnsi"/>
          <w:sz w:val="22"/>
          <w:szCs w:val="22"/>
        </w:rPr>
        <w:t xml:space="preserve"> interconnected, efficient, and effective</w:t>
      </w:r>
      <w:r w:rsidR="00102269">
        <w:rPr>
          <w:rStyle w:val="cf01"/>
          <w:rFonts w:asciiTheme="majorHAnsi" w:hAnsiTheme="majorHAnsi" w:cstheme="majorHAnsi"/>
          <w:sz w:val="22"/>
          <w:szCs w:val="22"/>
        </w:rPr>
        <w:t xml:space="preserve"> science</w:t>
      </w:r>
      <w:r w:rsidR="00102269" w:rsidRPr="00687E86">
        <w:rPr>
          <w:rStyle w:val="cf01"/>
          <w:rFonts w:asciiTheme="majorHAnsi" w:hAnsiTheme="majorHAnsi" w:cstheme="majorHAnsi"/>
          <w:sz w:val="22"/>
          <w:szCs w:val="22"/>
        </w:rPr>
        <w:t>.</w:t>
      </w:r>
      <w:r w:rsidR="00102269">
        <w:rPr>
          <w:rStyle w:val="cf01"/>
          <w:rFonts w:asciiTheme="majorHAnsi" w:hAnsiTheme="majorHAnsi" w:cstheme="majorHAnsi"/>
          <w:sz w:val="22"/>
          <w:szCs w:val="22"/>
        </w:rPr>
        <w:t xml:space="preserve"> </w:t>
      </w:r>
      <w:r w:rsidR="00102269">
        <w:t xml:space="preserve">ES </w:t>
      </w:r>
      <w:r w:rsidR="00F931BC">
        <w:t>researchers have</w:t>
      </w:r>
      <w:r w:rsidR="00102269">
        <w:t xml:space="preserve"> recognized </w:t>
      </w:r>
      <w:r w:rsidR="00F931BC">
        <w:t xml:space="preserve">the </w:t>
      </w:r>
      <w:r w:rsidR="00102269">
        <w:t>need for metadata standards (Crossman et al., 2013), spatial data repositor</w:t>
      </w:r>
      <w:r w:rsidR="00F931BC">
        <w:t>ies</w:t>
      </w:r>
      <w:r w:rsidR="00102269">
        <w:t xml:space="preserve"> (Drakou et al., 2015)</w:t>
      </w:r>
      <w:r w:rsidR="00ED2E8D">
        <w:t>,</w:t>
      </w:r>
      <w:r w:rsidR="00102269">
        <w:t xml:space="preserve"> and open science-</w:t>
      </w:r>
      <w:r w:rsidR="00102269">
        <w:lastRenderedPageBreak/>
        <w:t>focused publishing outlet</w:t>
      </w:r>
      <w:r w:rsidR="00F931BC">
        <w:t>s</w:t>
      </w:r>
      <w:r w:rsidR="00102269">
        <w:t xml:space="preserve"> (Burkhard et al., 2016). </w:t>
      </w:r>
      <w:r w:rsidR="003C169D">
        <w:t xml:space="preserve">Beyond </w:t>
      </w:r>
      <w:r w:rsidR="00102269">
        <w:t>these early efforts, the field has generally lagged in the implementation of standards that could support interoperability</w:t>
      </w:r>
      <w:r w:rsidR="003C169D">
        <w:t>, though</w:t>
      </w:r>
      <w:r w:rsidR="000F2A2E">
        <w:t xml:space="preserve"> </w:t>
      </w:r>
      <w:r w:rsidR="00102269">
        <w:t xml:space="preserve">some </w:t>
      </w:r>
      <w:r w:rsidR="00F931BC">
        <w:t xml:space="preserve">recent </w:t>
      </w:r>
      <w:r w:rsidR="00102269">
        <w:t>overview papers have recognized the problem (Schmidt and Seppelt, 2018, Drakou et al., 2019, Finisdore et al., 2020).</w:t>
      </w:r>
    </w:p>
    <w:p w14:paraId="622250DE" w14:textId="35C8FD04" w:rsidR="00C55C27" w:rsidRDefault="00154CAC" w:rsidP="000B12BC">
      <w:pPr>
        <w:spacing w:before="240" w:line="480" w:lineRule="auto"/>
      </w:pPr>
      <w:r>
        <w:t xml:space="preserve">This paper addresses the </w:t>
      </w:r>
      <w:r w:rsidR="008B246C">
        <w:t xml:space="preserve">semantics challenge, including </w:t>
      </w:r>
      <w:r>
        <w:t>“why, how, who, and for whom” questions of interoperability for ES</w:t>
      </w:r>
      <w:r w:rsidR="000E7982">
        <w:t xml:space="preserve"> </w:t>
      </w:r>
      <w:r>
        <w:t xml:space="preserve">– why does interoperability matter, how can it be achieved, whose involvement is needed, and who benefits from its widespread </w:t>
      </w:r>
      <w:r w:rsidR="00DF0B85">
        <w:t>implementation</w:t>
      </w:r>
      <w:r>
        <w:t xml:space="preserve">? We focus on quantitative </w:t>
      </w:r>
      <w:r w:rsidR="00DF0B85">
        <w:t xml:space="preserve">ES </w:t>
      </w:r>
      <w:r>
        <w:t>assessments</w:t>
      </w:r>
      <w:r w:rsidR="00B41ABA">
        <w:rPr>
          <w:rStyle w:val="FootnoteReference"/>
        </w:rPr>
        <w:footnoteReference w:id="3"/>
      </w:r>
      <w:r>
        <w:t xml:space="preserve"> </w:t>
      </w:r>
      <w:r w:rsidR="00DF0B85">
        <w:t>using primary data or computational modeling to produce</w:t>
      </w:r>
      <w:r>
        <w:t xml:space="preserve"> biophysical and/or monetary </w:t>
      </w:r>
      <w:r w:rsidR="00DF0B85">
        <w:t>estimates</w:t>
      </w:r>
      <w:r>
        <w:t xml:space="preserve">, although interoperability may also be relevant for semi-quantitative data and models. </w:t>
      </w:r>
      <w:r w:rsidR="00102269">
        <w:t>We discuss progress and potential for</w:t>
      </w:r>
      <w:r w:rsidR="00102269" w:rsidRPr="00737B1D">
        <w:t xml:space="preserve"> interoperability through the lenses of three major </w:t>
      </w:r>
      <w:r w:rsidR="00102269">
        <w:t xml:space="preserve">international ES-relevant </w:t>
      </w:r>
      <w:r w:rsidR="00102269" w:rsidRPr="00737B1D">
        <w:t>initiatives – IPBES (IPBES</w:t>
      </w:r>
      <w:r w:rsidR="00102269">
        <w:t>,</w:t>
      </w:r>
      <w:r w:rsidR="00102269" w:rsidRPr="00737B1D">
        <w:t xml:space="preserve"> 202</w:t>
      </w:r>
      <w:r w:rsidR="00102269">
        <w:t>2</w:t>
      </w:r>
      <w:r w:rsidR="001C7239">
        <w:t>a</w:t>
      </w:r>
      <w:r w:rsidR="00102269" w:rsidRPr="00737B1D">
        <w:t>), SEEA (U.N. et al.</w:t>
      </w:r>
      <w:r w:rsidR="00102269">
        <w:t>,</w:t>
      </w:r>
      <w:r w:rsidR="00102269" w:rsidRPr="00737B1D">
        <w:t xml:space="preserve"> 2014, 2021), and GEO BON</w:t>
      </w:r>
      <w:r w:rsidR="00102269">
        <w:t xml:space="preserve"> (</w:t>
      </w:r>
      <w:r w:rsidR="00102269" w:rsidRPr="00737B1D">
        <w:t>Vaz et al.</w:t>
      </w:r>
      <w:r w:rsidR="00102269">
        <w:t>,</w:t>
      </w:r>
      <w:r w:rsidR="00102269" w:rsidRPr="00737B1D">
        <w:t xml:space="preserve"> 2021, Balvanera et al.</w:t>
      </w:r>
      <w:r w:rsidR="00102269">
        <w:t>,</w:t>
      </w:r>
      <w:r w:rsidR="00102269" w:rsidRPr="00737B1D">
        <w:t xml:space="preserve"> 2022)</w:t>
      </w:r>
      <w:r w:rsidR="00102269">
        <w:t xml:space="preserve"> and for more localized ES assessments.</w:t>
      </w:r>
      <w:r w:rsidR="00102269" w:rsidRPr="00737B1D">
        <w:t xml:space="preserve"> </w:t>
      </w:r>
      <w:r w:rsidR="00DF0B85">
        <w:t xml:space="preserve">We also recognize the importance of addressing interoperability in adjacent fields </w:t>
      </w:r>
      <w:r w:rsidR="00CC66D5">
        <w:t xml:space="preserve">such as </w:t>
      </w:r>
      <w:r w:rsidR="00DF0B85">
        <w:t>Earth observation and sustainability science (Balbi et al., 2022, Mazzetti et al., 2022, COP28, 2023).</w:t>
      </w:r>
      <w:r>
        <w:t xml:space="preserve"> </w:t>
      </w:r>
    </w:p>
    <w:p w14:paraId="4134F4E5" w14:textId="77777777" w:rsidR="00002B08" w:rsidRDefault="00002B08" w:rsidP="000B12BC">
      <w:pPr>
        <w:spacing w:before="240" w:line="480" w:lineRule="auto"/>
      </w:pPr>
    </w:p>
    <w:p w14:paraId="5985365B" w14:textId="77777777" w:rsidR="00C55C27" w:rsidRDefault="00154CAC" w:rsidP="000B12BC">
      <w:pPr>
        <w:spacing w:before="240" w:after="240" w:line="480" w:lineRule="auto"/>
        <w:rPr>
          <w:b/>
        </w:rPr>
      </w:pPr>
      <w:r>
        <w:rPr>
          <w:b/>
        </w:rPr>
        <w:t>2. Interoperability basics for ecosystem services</w:t>
      </w:r>
    </w:p>
    <w:p w14:paraId="66831580" w14:textId="09645D2F" w:rsidR="00C55C27" w:rsidRPr="00701444" w:rsidRDefault="00154CAC" w:rsidP="000B12BC">
      <w:pPr>
        <w:spacing w:before="240" w:after="240" w:line="480" w:lineRule="auto"/>
        <w:rPr>
          <w:bCs/>
        </w:rPr>
      </w:pPr>
      <w:r w:rsidRPr="00701444">
        <w:rPr>
          <w:bCs/>
        </w:rPr>
        <w:t xml:space="preserve">Since ancient times, humans have adopted strategies to organize and structure knowledge. </w:t>
      </w:r>
      <w:r w:rsidR="00F84B5C">
        <w:rPr>
          <w:bCs/>
        </w:rPr>
        <w:t>These include</w:t>
      </w:r>
      <w:r w:rsidRPr="00701444">
        <w:rPr>
          <w:bCs/>
        </w:rPr>
        <w:t xml:space="preserve"> systems of categories and classifications (i.e.</w:t>
      </w:r>
      <w:r w:rsidR="00F84B5C">
        <w:rPr>
          <w:bCs/>
        </w:rPr>
        <w:t>,</w:t>
      </w:r>
      <w:r w:rsidRPr="00701444">
        <w:rPr>
          <w:bCs/>
        </w:rPr>
        <w:t xml:space="preserve"> lists of general entities</w:t>
      </w:r>
      <w:r w:rsidR="00F84B5C">
        <w:rPr>
          <w:bCs/>
        </w:rPr>
        <w:t xml:space="preserve">, </w:t>
      </w:r>
      <w:r w:rsidRPr="00701444">
        <w:rPr>
          <w:bCs/>
        </w:rPr>
        <w:t>kinds</w:t>
      </w:r>
      <w:r w:rsidR="00F84B5C">
        <w:rPr>
          <w:bCs/>
        </w:rPr>
        <w:t xml:space="preserve">, or </w:t>
      </w:r>
      <w:r w:rsidRPr="00701444">
        <w:rPr>
          <w:bCs/>
        </w:rPr>
        <w:t xml:space="preserve">classes </w:t>
      </w:r>
      <w:r w:rsidR="00F84B5C">
        <w:rPr>
          <w:bCs/>
        </w:rPr>
        <w:t>representing</w:t>
      </w:r>
      <w:r w:rsidRPr="00701444">
        <w:rPr>
          <w:bCs/>
        </w:rPr>
        <w:t xml:space="preserve"> aspects of the world </w:t>
      </w:r>
      <w:r w:rsidR="00F84B5C">
        <w:rPr>
          <w:bCs/>
        </w:rPr>
        <w:t>(Thomasson, 2022)</w:t>
      </w:r>
      <w:r w:rsidR="006F3EDB">
        <w:rPr>
          <w:bCs/>
        </w:rPr>
        <w:t>)</w:t>
      </w:r>
      <w:r w:rsidRPr="00701444">
        <w:rPr>
          <w:bCs/>
        </w:rPr>
        <w:t xml:space="preserve">, which </w:t>
      </w:r>
      <w:r w:rsidR="00F84B5C">
        <w:rPr>
          <w:bCs/>
        </w:rPr>
        <w:t>can</w:t>
      </w:r>
      <w:r w:rsidRPr="00701444">
        <w:rPr>
          <w:bCs/>
        </w:rPr>
        <w:t xml:space="preserve"> serve as conceptual tools for </w:t>
      </w:r>
      <w:r w:rsidR="00F84B5C">
        <w:rPr>
          <w:bCs/>
        </w:rPr>
        <w:t>defining</w:t>
      </w:r>
      <w:r w:rsidRPr="00701444">
        <w:rPr>
          <w:bCs/>
        </w:rPr>
        <w:t xml:space="preserve"> </w:t>
      </w:r>
      <w:r w:rsidRPr="00701444">
        <w:rPr>
          <w:bCs/>
        </w:rPr>
        <w:lastRenderedPageBreak/>
        <w:t xml:space="preserve">terms and concepts with </w:t>
      </w:r>
      <w:r w:rsidR="00F84B5C">
        <w:rPr>
          <w:bCs/>
        </w:rPr>
        <w:t>precise</w:t>
      </w:r>
      <w:r w:rsidRPr="00701444">
        <w:rPr>
          <w:bCs/>
        </w:rPr>
        <w:t xml:space="preserve"> meanings.</w:t>
      </w:r>
      <w:r w:rsidRPr="00701444">
        <w:rPr>
          <w:bCs/>
          <w:vertAlign w:val="superscript"/>
        </w:rPr>
        <w:footnoteReference w:id="4"/>
      </w:r>
      <w:r w:rsidR="00B05912" w:rsidRPr="00B05912">
        <w:rPr>
          <w:bCs/>
          <w:vertAlign w:val="superscript"/>
        </w:rPr>
        <w:t>,</w:t>
      </w:r>
      <w:r w:rsidR="00B05912">
        <w:rPr>
          <w:rStyle w:val="FootnoteReference"/>
          <w:bCs/>
        </w:rPr>
        <w:footnoteReference w:id="5"/>
      </w:r>
      <w:r w:rsidRPr="00701444">
        <w:rPr>
          <w:bCs/>
        </w:rPr>
        <w:t xml:space="preserve"> Aristotle's categories and metaphysics </w:t>
      </w:r>
      <w:r w:rsidR="00F84B5C">
        <w:rPr>
          <w:bCs/>
        </w:rPr>
        <w:t>(Thomasson, 2022)</w:t>
      </w:r>
      <w:r w:rsidRPr="00701444">
        <w:rPr>
          <w:bCs/>
        </w:rPr>
        <w:t xml:space="preserve"> </w:t>
      </w:r>
      <w:r w:rsidR="00F84B5C">
        <w:rPr>
          <w:bCs/>
        </w:rPr>
        <w:t>have</w:t>
      </w:r>
      <w:r w:rsidRPr="00701444">
        <w:rPr>
          <w:bCs/>
        </w:rPr>
        <w:t xml:space="preserve"> inspired many more recent knowledge architectures</w:t>
      </w:r>
      <w:r w:rsidR="00B513AF">
        <w:rPr>
          <w:bCs/>
        </w:rPr>
        <w:t xml:space="preserve"> (Smith, 2023)</w:t>
      </w:r>
      <w:r w:rsidRPr="00701444">
        <w:rPr>
          <w:bCs/>
        </w:rPr>
        <w:t xml:space="preserve">. As scientific disciplines have evolved and intertwined over the years, </w:t>
      </w:r>
      <w:r w:rsidR="0009744F">
        <w:rPr>
          <w:bCs/>
        </w:rPr>
        <w:t>multiple</w:t>
      </w:r>
      <w:r w:rsidRPr="00701444">
        <w:rPr>
          <w:bCs/>
        </w:rPr>
        <w:t xml:space="preserve"> frameworks and interpretations have been created to support analysis and understanding, a trend that is also evident in the ES field. Despite the </w:t>
      </w:r>
      <w:r w:rsidR="0009744F">
        <w:rPr>
          <w:bCs/>
        </w:rPr>
        <w:t>benefits that multiple perspectives can bring to</w:t>
      </w:r>
      <w:r w:rsidRPr="00701444">
        <w:rPr>
          <w:bCs/>
        </w:rPr>
        <w:t xml:space="preserve"> scientific interpretations, </w:t>
      </w:r>
      <w:r w:rsidR="0009744F">
        <w:rPr>
          <w:bCs/>
        </w:rPr>
        <w:t>such plurality</w:t>
      </w:r>
      <w:r w:rsidRPr="00701444">
        <w:rPr>
          <w:bCs/>
        </w:rPr>
        <w:t xml:space="preserve"> poses challenges, for instance</w:t>
      </w:r>
      <w:r w:rsidR="0009744F">
        <w:rPr>
          <w:bCs/>
        </w:rPr>
        <w:t>, in</w:t>
      </w:r>
      <w:r w:rsidRPr="00701444">
        <w:rPr>
          <w:bCs/>
        </w:rPr>
        <w:t xml:space="preserve"> tracking differences and similarities among frameworks, terminologies, definitions, and conceptualizations </w:t>
      </w:r>
      <w:r w:rsidR="0009744F">
        <w:rPr>
          <w:bCs/>
        </w:rPr>
        <w:t>(Adamo and Willis, 2022).</w:t>
      </w:r>
      <w:r w:rsidRPr="00701444">
        <w:rPr>
          <w:bCs/>
        </w:rPr>
        <w:t xml:space="preserve"> </w:t>
      </w:r>
      <w:r w:rsidR="0009744F">
        <w:rPr>
          <w:bCs/>
        </w:rPr>
        <w:t>I</w:t>
      </w:r>
      <w:r w:rsidRPr="00701444">
        <w:rPr>
          <w:bCs/>
        </w:rPr>
        <w:t>nterdisciplinary fields</w:t>
      </w:r>
      <w:r w:rsidR="0009744F">
        <w:rPr>
          <w:bCs/>
        </w:rPr>
        <w:t xml:space="preserve"> in particular</w:t>
      </w:r>
      <w:r w:rsidR="00D328DB">
        <w:rPr>
          <w:bCs/>
        </w:rPr>
        <w:t xml:space="preserve"> </w:t>
      </w:r>
      <w:r w:rsidRPr="00701444">
        <w:rPr>
          <w:bCs/>
        </w:rPr>
        <w:t xml:space="preserve">are exposed to the </w:t>
      </w:r>
      <w:r w:rsidR="0009744F">
        <w:rPr>
          <w:bCs/>
        </w:rPr>
        <w:t>use</w:t>
      </w:r>
      <w:r w:rsidRPr="00701444">
        <w:rPr>
          <w:bCs/>
        </w:rPr>
        <w:t xml:space="preserve"> of ambiguous semantics, such as using different words to describe the same concept or the same word to describe different concepts (Dini et al., 2011, Laniak et al., 2013, Bull et al., 2016). </w:t>
      </w:r>
      <w:r w:rsidR="001527EA">
        <w:rPr>
          <w:bCs/>
        </w:rPr>
        <w:t>Such semantic ambiguity</w:t>
      </w:r>
      <w:r w:rsidRPr="00701444">
        <w:rPr>
          <w:bCs/>
        </w:rPr>
        <w:t xml:space="preserve"> complicates the achievement of interoperability and reusability.</w:t>
      </w:r>
    </w:p>
    <w:p w14:paraId="4DDCC48A" w14:textId="21E2FDDD" w:rsidR="00C55C27" w:rsidRDefault="00154CAC" w:rsidP="000B12BC">
      <w:pPr>
        <w:spacing w:before="240" w:line="480" w:lineRule="auto"/>
      </w:pPr>
      <w:r>
        <w:t xml:space="preserve">Some of these issues can be addressed through </w:t>
      </w:r>
      <w:r w:rsidR="00DD4B7A">
        <w:t xml:space="preserve">use of </w:t>
      </w:r>
      <w:r w:rsidR="00D328DB">
        <w:t>community-endorsed</w:t>
      </w:r>
      <w:r w:rsidR="00DD4B7A">
        <w:t>, standardized vocabularies to define</w:t>
      </w:r>
      <w:r w:rsidR="00D328DB">
        <w:t xml:space="preserve"> </w:t>
      </w:r>
      <w:r>
        <w:t xml:space="preserve">metadata </w:t>
      </w:r>
      <w:r w:rsidR="00DD4B7A">
        <w:t>(see FAIR Principles I2, I3, R1.3, Wilkinson et al. 2016)</w:t>
      </w:r>
      <w:r>
        <w:t xml:space="preserve">. </w:t>
      </w:r>
      <w:r w:rsidR="00A26540">
        <w:t xml:space="preserve">This enables multiple researchers contributing compatible data or models to ensure they are describing the same entities, supporting their correct reuse </w:t>
      </w:r>
      <w:r w:rsidR="009F3E13">
        <w:t xml:space="preserve">by people </w:t>
      </w:r>
      <w:r w:rsidR="00E25D9C">
        <w:t xml:space="preserve">or machines </w:t>
      </w:r>
      <w:r w:rsidR="00A26540">
        <w:t xml:space="preserve">(e.g., NLM, 2019 for health data). </w:t>
      </w:r>
    </w:p>
    <w:p w14:paraId="6FF033F7" w14:textId="089ED045" w:rsidR="00930551" w:rsidRDefault="00E61072" w:rsidP="000B12BC">
      <w:pPr>
        <w:spacing w:before="240" w:line="480" w:lineRule="auto"/>
      </w:pPr>
      <w:r>
        <w:t>Along with</w:t>
      </w:r>
      <w:r w:rsidR="00930551">
        <w:t xml:space="preserve"> the more significant “semantics challenge,</w:t>
      </w:r>
      <w:r>
        <w:t>” for which widespread consensus does not yet exist,</w:t>
      </w:r>
      <w:r w:rsidR="00930551">
        <w:t xml:space="preserve"> various technical prerequisites are needed</w:t>
      </w:r>
      <w:r>
        <w:t xml:space="preserve"> to support interoperability</w:t>
      </w:r>
      <w:r w:rsidR="00930551">
        <w:t xml:space="preserve"> for ES</w:t>
      </w:r>
      <w:r>
        <w:t xml:space="preserve">. </w:t>
      </w:r>
      <w:r w:rsidR="00CC5FAF">
        <w:t>Prerequisites</w:t>
      </w:r>
      <w:r>
        <w:t xml:space="preserve"> include the use of standardized, well-documented protocols for information exchange (i.e., APIs), open, machine-actionable file formats (e.g.,</w:t>
      </w:r>
      <w:r w:rsidR="007A4EFF">
        <w:t xml:space="preserve"> STAC, 2024</w:t>
      </w:r>
      <w:r>
        <w:t xml:space="preserve">), and appropriate licensing for data and </w:t>
      </w:r>
      <w:r>
        <w:lastRenderedPageBreak/>
        <w:t xml:space="preserve">software/model code. Although the importance of these </w:t>
      </w:r>
      <w:r w:rsidR="00CC5FAF">
        <w:t xml:space="preserve">prerequisites </w:t>
      </w:r>
      <w:r>
        <w:t xml:space="preserve">is well-recognized by open-science advocates (Wilkinson et al., 2016, Lamprecht et al., 2020, Barker et al., 2022), </w:t>
      </w:r>
      <w:r w:rsidR="0017518C">
        <w:t xml:space="preserve">further </w:t>
      </w:r>
      <w:r w:rsidR="00346468">
        <w:t>work</w:t>
      </w:r>
      <w:r w:rsidR="0017518C">
        <w:t xml:space="preserve"> is needed to improve their adoption in the ES community</w:t>
      </w:r>
      <w:r w:rsidR="00F46C98">
        <w:t xml:space="preserve"> since their application is not yet universal</w:t>
      </w:r>
      <w:r w:rsidR="0017518C">
        <w:t>.</w:t>
      </w:r>
      <w:r w:rsidR="00BC3FE0">
        <w:t xml:space="preserve"> In this section, we describe basic principles needed to support interoperability in an interdisciplinary field like ES, starting with </w:t>
      </w:r>
      <w:r w:rsidR="00BC3FE0" w:rsidRPr="0013117A">
        <w:rPr>
          <w:iCs/>
        </w:rPr>
        <w:t>semantics</w:t>
      </w:r>
      <w:r w:rsidR="00BC3FE0">
        <w:t xml:space="preserve"> (see further detail elsewhere (Gruber, 1993, Smith et al., 2007, Guarino et al., 2009, Antoniou et al., 2012, Janowicz et al., 2015, Guizzardi, 2020)).</w:t>
      </w:r>
    </w:p>
    <w:p w14:paraId="13B33BE8" w14:textId="62DD0DB0" w:rsidR="00C55C27" w:rsidRDefault="00154CAC" w:rsidP="000B12BC">
      <w:pPr>
        <w:spacing w:before="240" w:after="240" w:line="480" w:lineRule="auto"/>
        <w:rPr>
          <w:i/>
        </w:rPr>
      </w:pPr>
      <w:r>
        <w:rPr>
          <w:i/>
        </w:rPr>
        <w:t xml:space="preserve">2.1 </w:t>
      </w:r>
      <w:r w:rsidR="0017518C">
        <w:rPr>
          <w:i/>
        </w:rPr>
        <w:t>Semantics: f</w:t>
      </w:r>
      <w:r>
        <w:rPr>
          <w:i/>
        </w:rPr>
        <w:t xml:space="preserve">rom </w:t>
      </w:r>
      <w:r w:rsidR="0017518C">
        <w:rPr>
          <w:i/>
        </w:rPr>
        <w:t xml:space="preserve">consistent </w:t>
      </w:r>
      <w:r w:rsidR="00A571B1">
        <w:rPr>
          <w:i/>
        </w:rPr>
        <w:t>concept definition</w:t>
      </w:r>
      <w:r w:rsidR="00566E86">
        <w:rPr>
          <w:i/>
        </w:rPr>
        <w:t>s</w:t>
      </w:r>
      <w:r w:rsidR="00A571B1">
        <w:rPr>
          <w:i/>
        </w:rPr>
        <w:t xml:space="preserve"> </w:t>
      </w:r>
      <w:r>
        <w:rPr>
          <w:i/>
        </w:rPr>
        <w:t>to machine-readable knowledge</w:t>
      </w:r>
    </w:p>
    <w:p w14:paraId="58237D96" w14:textId="0E95D762" w:rsidR="00C55C27" w:rsidRDefault="006F3EDB" w:rsidP="000B12BC">
      <w:pPr>
        <w:tabs>
          <w:tab w:val="left" w:pos="3330"/>
        </w:tabs>
        <w:spacing w:before="240" w:line="480" w:lineRule="auto"/>
      </w:pPr>
      <w:bookmarkStart w:id="4" w:name="_2et92p0" w:colFirst="0" w:colLast="0"/>
      <w:bookmarkEnd w:id="4"/>
      <w:r>
        <w:t xml:space="preserve">As </w:t>
      </w:r>
      <w:r w:rsidR="00CC5FAF">
        <w:t xml:space="preserve">previously </w:t>
      </w:r>
      <w:r>
        <w:t xml:space="preserve">noted, semantics </w:t>
      </w:r>
      <w:r w:rsidR="00653D43">
        <w:t>representing</w:t>
      </w:r>
      <w:r>
        <w:t xml:space="preserve"> scientific knowledge begin with clear, unambiguous definitions of concepts. Certain concepts can be organized into </w:t>
      </w:r>
      <w:r w:rsidRPr="003902B5">
        <w:rPr>
          <w:i/>
          <w:iCs/>
        </w:rPr>
        <w:t>classifications</w:t>
      </w:r>
      <w:r>
        <w:t xml:space="preserve"> or </w:t>
      </w:r>
      <w:r w:rsidRPr="003902B5">
        <w:rPr>
          <w:i/>
          <w:iCs/>
        </w:rPr>
        <w:t>typologies</w:t>
      </w:r>
      <w:r>
        <w:t xml:space="preserve"> – specialized lists that </w:t>
      </w:r>
      <w:r w:rsidR="00A571B1">
        <w:t xml:space="preserve">must be </w:t>
      </w:r>
      <w:r>
        <w:t>exhaustive and mutually exclusive</w:t>
      </w:r>
      <w:r w:rsidR="003902B5">
        <w:t xml:space="preserve"> (e.g., La Notte and Rhodes, 2020)</w:t>
      </w:r>
      <w:r>
        <w:t xml:space="preserve">. Concepts can also be aggregated into </w:t>
      </w:r>
      <w:r w:rsidRPr="003902B5">
        <w:rPr>
          <w:i/>
          <w:iCs/>
        </w:rPr>
        <w:t>glossaries</w:t>
      </w:r>
      <w:r>
        <w:t xml:space="preserve"> or</w:t>
      </w:r>
      <w:r w:rsidR="00D96CE3">
        <w:t xml:space="preserve"> more structured</w:t>
      </w:r>
      <w:r>
        <w:t xml:space="preserve"> </w:t>
      </w:r>
      <w:r w:rsidRPr="003902B5">
        <w:rPr>
          <w:i/>
          <w:iCs/>
        </w:rPr>
        <w:t>controlled vocabularies</w:t>
      </w:r>
      <w:r>
        <w:t xml:space="preserve">, which </w:t>
      </w:r>
      <w:r w:rsidR="00536481">
        <w:t>collate</w:t>
      </w:r>
      <w:r>
        <w:t xml:space="preserve"> standardized terms, and are often developed by individual scientific disciplines</w:t>
      </w:r>
      <w:r w:rsidR="00A571B1">
        <w:t xml:space="preserve"> (e.g., Potschin-Young et al. 2018)</w:t>
      </w:r>
      <w:r>
        <w:t xml:space="preserve">. Controlled vocabularies can enable efficient searching, information retrieval, and interconnection of data and models (Davies, 2010). </w:t>
      </w:r>
      <w:r w:rsidR="00A571B1">
        <w:t xml:space="preserve">They </w:t>
      </w:r>
      <w:r w:rsidR="004A36E9">
        <w:t>support</w:t>
      </w:r>
      <w:r w:rsidR="00A571B1">
        <w:t xml:space="preserve">, for example </w:t>
      </w:r>
      <w:r w:rsidR="003902B5">
        <w:t xml:space="preserve">biodiversity science and monitoring (Wieczorek et al., 2012, Guralnick et al., 2017) and </w:t>
      </w:r>
      <w:r w:rsidR="004A36E9">
        <w:t xml:space="preserve">model integration </w:t>
      </w:r>
      <w:r w:rsidR="003902B5">
        <w:t>within</w:t>
      </w:r>
      <w:r w:rsidR="00A571B1">
        <w:t xml:space="preserve"> large collaborative </w:t>
      </w:r>
      <w:r w:rsidR="003902B5">
        <w:t xml:space="preserve">Earth science </w:t>
      </w:r>
      <w:r w:rsidR="00A571B1">
        <w:t xml:space="preserve">projects (Zhang et al., 2019, </w:t>
      </w:r>
      <w:r>
        <w:t xml:space="preserve">Tucker et al., 2022). </w:t>
      </w:r>
      <w:r>
        <w:rPr>
          <w:i/>
        </w:rPr>
        <w:t>Thesauri</w:t>
      </w:r>
      <w:r>
        <w:t xml:space="preserve"> can </w:t>
      </w:r>
      <w:r w:rsidR="004A36E9">
        <w:t>supply</w:t>
      </w:r>
      <w:r>
        <w:t xml:space="preserve"> synonyms and translations between different vocabularies</w:t>
      </w:r>
      <w:r w:rsidR="003902B5">
        <w:t xml:space="preserve">, </w:t>
      </w:r>
      <w:r w:rsidR="00CC5FAF">
        <w:t>and</w:t>
      </w:r>
      <w:r w:rsidR="003902B5">
        <w:t xml:space="preserve"> </w:t>
      </w:r>
      <w:r w:rsidR="003902B5" w:rsidRPr="003902B5">
        <w:rPr>
          <w:i/>
          <w:iCs/>
        </w:rPr>
        <w:t>crosswalks</w:t>
      </w:r>
      <w:r w:rsidR="003902B5">
        <w:t xml:space="preserve"> can </w:t>
      </w:r>
      <w:r w:rsidR="004A36E9">
        <w:t>enable translations</w:t>
      </w:r>
      <w:r w:rsidR="003902B5">
        <w:t xml:space="preserve"> across</w:t>
      </w:r>
      <w:r>
        <w:t xml:space="preserve"> different classification systems</w:t>
      </w:r>
      <w:r w:rsidR="003902B5">
        <w:t xml:space="preserve"> (e.g., U.N., 2021)</w:t>
      </w:r>
      <w:r>
        <w:t>.</w:t>
      </w:r>
    </w:p>
    <w:p w14:paraId="7DFDDE7F" w14:textId="0F34090B" w:rsidR="00EE0C14" w:rsidRDefault="00B513B2" w:rsidP="000B12BC">
      <w:pPr>
        <w:spacing w:before="240" w:line="480" w:lineRule="auto"/>
      </w:pPr>
      <w:bookmarkStart w:id="5" w:name="_tyjcwt" w:colFirst="0" w:colLast="0"/>
      <w:bookmarkEnd w:id="5"/>
      <w:r>
        <w:t>Beyond</w:t>
      </w:r>
      <w:r w:rsidR="00154CAC">
        <w:t xml:space="preserve"> controlled vocabularies, </w:t>
      </w:r>
      <w:r w:rsidR="00403F27" w:rsidRPr="00D527D3">
        <w:rPr>
          <w:i/>
          <w:iCs/>
        </w:rPr>
        <w:t>ontologies</w:t>
      </w:r>
      <w:r w:rsidR="00403F27">
        <w:t xml:space="preserve"> (Gruber, 1993, Guarino et al., 2009) </w:t>
      </w:r>
      <w:r w:rsidR="00D527D3">
        <w:t>add</w:t>
      </w:r>
      <w:r w:rsidR="00141217">
        <w:t xml:space="preserve"> formal logic</w:t>
      </w:r>
      <w:r w:rsidR="00D527D3">
        <w:t>al structure</w:t>
      </w:r>
      <w:r w:rsidR="00141217">
        <w:t xml:space="preserve"> to systematically and completely </w:t>
      </w:r>
      <w:r w:rsidR="000F65F1">
        <w:t xml:space="preserve">describe </w:t>
      </w:r>
      <w:r w:rsidR="00D527D3">
        <w:t xml:space="preserve">relevant </w:t>
      </w:r>
      <w:r w:rsidR="00154CAC">
        <w:t xml:space="preserve">relationships, rules, and restrictions between concepts, facilitating deeper information interpretation. </w:t>
      </w:r>
      <w:r w:rsidR="000340F6">
        <w:t>C</w:t>
      </w:r>
      <w:r w:rsidR="00141217">
        <w:t>ommon example</w:t>
      </w:r>
      <w:r w:rsidR="000340F6">
        <w:t>s</w:t>
      </w:r>
      <w:r w:rsidR="00141217">
        <w:t xml:space="preserve"> describe hierarchical relationships like parent-child classes and logical restrictions that associate properties with </w:t>
      </w:r>
      <w:r w:rsidR="00141217">
        <w:lastRenderedPageBreak/>
        <w:t xml:space="preserve">concepts. </w:t>
      </w:r>
      <w:r w:rsidR="0017518C">
        <w:t>For</w:t>
      </w:r>
      <w:r w:rsidR="00141217">
        <w:t xml:space="preserve"> example, the </w:t>
      </w:r>
      <w:r w:rsidR="0017518C">
        <w:t xml:space="preserve">thesaurus definition of a </w:t>
      </w:r>
      <w:r w:rsidR="00141217">
        <w:t xml:space="preserve">“natural hazard” </w:t>
      </w:r>
      <w:r w:rsidR="0017518C">
        <w:t>concept</w:t>
      </w:r>
      <w:r w:rsidR="00141217">
        <w:t xml:space="preserve"> (UNESCO, 2022) </w:t>
      </w:r>
      <w:r w:rsidR="0017518C">
        <w:t xml:space="preserve">could </w:t>
      </w:r>
      <w:r w:rsidR="00141217">
        <w:t xml:space="preserve">include a range of related concepts (e.g., “disaster,” “flood,” and “damage”). By contrast, a formal ontology can express that “fluvial flooding” and “drought” are disjoint child classes of “natural hazard” and that “fluvial flooding” is caused by “precipitation” “exceeding” “soil infiltration capacity.” </w:t>
      </w:r>
    </w:p>
    <w:p w14:paraId="6495B9CF" w14:textId="0E4B2B5F" w:rsidR="00C55C27" w:rsidRDefault="00154CAC" w:rsidP="000B12BC">
      <w:pPr>
        <w:spacing w:before="240" w:line="480" w:lineRule="auto"/>
        <w:rPr>
          <w:color w:val="000000"/>
        </w:rPr>
      </w:pPr>
      <w:r>
        <w:t xml:space="preserve">Ontologies </w:t>
      </w:r>
      <w:r w:rsidR="000F65F1">
        <w:t>are ideally</w:t>
      </w:r>
      <w:r>
        <w:t xml:space="preserve"> shared </w:t>
      </w:r>
      <w:r w:rsidR="000F65F1">
        <w:t>by the research community, as the product of consensus (</w:t>
      </w:r>
      <w:r>
        <w:t>Studer et al.</w:t>
      </w:r>
      <w:r w:rsidR="000F65F1">
        <w:t>,</w:t>
      </w:r>
      <w:r>
        <w:t xml:space="preserve"> 1998</w:t>
      </w:r>
      <w:r w:rsidR="000F65F1">
        <w:t>,</w:t>
      </w:r>
      <w:r>
        <w:t xml:space="preserve"> Neuhaus and Hastings</w:t>
      </w:r>
      <w:r w:rsidR="000F65F1">
        <w:t>,</w:t>
      </w:r>
      <w:r w:rsidR="003F022E">
        <w:t xml:space="preserve"> </w:t>
      </w:r>
      <w:r>
        <w:t xml:space="preserve">2022). </w:t>
      </w:r>
      <w:r w:rsidR="00EF26DE">
        <w:t>This is usually easier to achieve in small,</w:t>
      </w:r>
      <w:r>
        <w:t xml:space="preserve"> </w:t>
      </w:r>
      <w:r w:rsidR="00EF26DE">
        <w:t xml:space="preserve">single-discipline </w:t>
      </w:r>
      <w:r>
        <w:t>research communities</w:t>
      </w:r>
      <w:r w:rsidR="00EF26DE">
        <w:t xml:space="preserve"> (e.g., Gene Ontology Consortium, 2019, Taylor et al., 2019)</w:t>
      </w:r>
      <w:r>
        <w:rPr>
          <w:color w:val="000000"/>
        </w:rPr>
        <w:t xml:space="preserve">. </w:t>
      </w:r>
      <w:r w:rsidR="00EF26DE">
        <w:rPr>
          <w:color w:val="000000"/>
        </w:rPr>
        <w:t>In a</w:t>
      </w:r>
      <w:r w:rsidR="00EC2AA3">
        <w:rPr>
          <w:color w:val="000000"/>
        </w:rPr>
        <w:t>n interdisciplinary</w:t>
      </w:r>
      <w:r w:rsidR="00EF26DE">
        <w:rPr>
          <w:color w:val="000000"/>
        </w:rPr>
        <w:t xml:space="preserve"> field like ES</w:t>
      </w:r>
      <w:r>
        <w:rPr>
          <w:color w:val="000000"/>
        </w:rPr>
        <w:t xml:space="preserve">, a more realistic goal </w:t>
      </w:r>
      <w:r w:rsidR="00EF26DE">
        <w:rPr>
          <w:color w:val="000000"/>
        </w:rPr>
        <w:t xml:space="preserve">may be </w:t>
      </w:r>
      <w:r>
        <w:rPr>
          <w:color w:val="000000"/>
        </w:rPr>
        <w:t xml:space="preserve">to find practical and consistent definitions that are still recognizable by the community. Doing so requires collaboration between a diverse range of stakeholders, including disciplinary scientists, policy makers, community members, </w:t>
      </w:r>
      <w:r>
        <w:rPr>
          <w:i/>
          <w:color w:val="000000"/>
        </w:rPr>
        <w:t>knowledge engineers</w:t>
      </w:r>
      <w:r>
        <w:rPr>
          <w:color w:val="000000"/>
        </w:rPr>
        <w:t xml:space="preserve"> who are experts in semantics and knowledge representation</w:t>
      </w:r>
      <w:r w:rsidR="001E1B63">
        <w:rPr>
          <w:rStyle w:val="FootnoteReference"/>
          <w:color w:val="000000"/>
        </w:rPr>
        <w:footnoteReference w:id="6"/>
      </w:r>
      <w:r>
        <w:rPr>
          <w:color w:val="000000"/>
        </w:rPr>
        <w:t xml:space="preserve">, </w:t>
      </w:r>
      <w:r w:rsidR="00EF26DE">
        <w:rPr>
          <w:color w:val="000000"/>
        </w:rPr>
        <w:t>a</w:t>
      </w:r>
      <w:r w:rsidR="00C61FE9">
        <w:rPr>
          <w:color w:val="000000"/>
        </w:rPr>
        <w:t>nd</w:t>
      </w:r>
      <w:r>
        <w:rPr>
          <w:color w:val="000000"/>
        </w:rPr>
        <w:t xml:space="preserve"> facilitators. </w:t>
      </w:r>
    </w:p>
    <w:p w14:paraId="24FC10EA" w14:textId="789BF04A" w:rsidR="00EE0C14" w:rsidRPr="00EE0C14" w:rsidRDefault="00EE0C14" w:rsidP="000B12BC">
      <w:pPr>
        <w:autoSpaceDE w:val="0"/>
        <w:autoSpaceDN w:val="0"/>
        <w:adjustRightInd w:val="0"/>
        <w:spacing w:after="0" w:line="480" w:lineRule="auto"/>
        <w:rPr>
          <w:rFonts w:asciiTheme="minorHAnsi" w:hAnsiTheme="minorHAnsi" w:cstheme="minorHAnsi"/>
          <w:sz w:val="18"/>
          <w:szCs w:val="18"/>
        </w:rPr>
      </w:pPr>
      <w:r>
        <w:t xml:space="preserve">To improve efficiency and trust, ontologies ideally reuse knowledge from preexisting, community-endorsed </w:t>
      </w:r>
      <w:r w:rsidRPr="00EE0C14">
        <w:rPr>
          <w:rFonts w:asciiTheme="majorHAnsi" w:hAnsiTheme="majorHAnsi" w:cstheme="majorHAnsi"/>
        </w:rPr>
        <w:t xml:space="preserve">ontologies. </w:t>
      </w:r>
      <w:bookmarkStart w:id="6" w:name="_Hlk180486611"/>
      <w:r w:rsidR="007E1ADA">
        <w:rPr>
          <w:rStyle w:val="cf01"/>
          <w:rFonts w:asciiTheme="majorHAnsi" w:hAnsiTheme="majorHAnsi" w:cstheme="majorHAnsi"/>
          <w:sz w:val="22"/>
          <w:szCs w:val="22"/>
        </w:rPr>
        <w:t>However, o</w:t>
      </w:r>
      <w:r w:rsidR="0040267F" w:rsidRPr="00EE0C14">
        <w:rPr>
          <w:rStyle w:val="cf01"/>
          <w:rFonts w:asciiTheme="majorHAnsi" w:hAnsiTheme="majorHAnsi" w:cstheme="majorHAnsi"/>
          <w:sz w:val="22"/>
          <w:szCs w:val="22"/>
        </w:rPr>
        <w:t xml:space="preserve">ntologies encode </w:t>
      </w:r>
      <w:r w:rsidR="0040267F">
        <w:rPr>
          <w:rStyle w:val="cf01"/>
          <w:rFonts w:asciiTheme="majorHAnsi" w:hAnsiTheme="majorHAnsi" w:cstheme="majorHAnsi"/>
          <w:sz w:val="22"/>
          <w:szCs w:val="22"/>
        </w:rPr>
        <w:t xml:space="preserve">assumptions about their view of the world </w:t>
      </w:r>
      <w:r w:rsidR="0040267F" w:rsidRPr="00EE0C14">
        <w:rPr>
          <w:rStyle w:val="cf01"/>
          <w:rFonts w:asciiTheme="majorHAnsi" w:hAnsiTheme="majorHAnsi" w:cstheme="majorHAnsi"/>
          <w:sz w:val="22"/>
          <w:szCs w:val="22"/>
        </w:rPr>
        <w:t xml:space="preserve">using formal logic, and logical inconsistencies can pose serious problems for their use by machines. </w:t>
      </w:r>
      <w:r w:rsidR="00EF3554">
        <w:t xml:space="preserve">It is also valuable to keep </w:t>
      </w:r>
      <w:r w:rsidR="00687FF1">
        <w:t xml:space="preserve">ontologies parsimonious, by only including necessary elements, </w:t>
      </w:r>
      <w:r w:rsidR="00EF3554">
        <w:t xml:space="preserve">since </w:t>
      </w:r>
      <w:r w:rsidR="00687FF1">
        <w:t xml:space="preserve">larger, more complex ontologies are harder to maintain and reuse. </w:t>
      </w:r>
      <w:r w:rsidR="0040267F">
        <w:rPr>
          <w:rStyle w:val="cf01"/>
          <w:rFonts w:asciiTheme="majorHAnsi" w:hAnsiTheme="majorHAnsi" w:cstheme="majorHAnsi"/>
          <w:sz w:val="22"/>
          <w:szCs w:val="22"/>
        </w:rPr>
        <w:t xml:space="preserve">In practice, </w:t>
      </w:r>
      <w:r w:rsidR="005229C6">
        <w:rPr>
          <w:rStyle w:val="cf01"/>
          <w:rFonts w:asciiTheme="majorHAnsi" w:hAnsiTheme="majorHAnsi" w:cstheme="majorHAnsi"/>
          <w:sz w:val="22"/>
          <w:szCs w:val="22"/>
        </w:rPr>
        <w:t>in order to</w:t>
      </w:r>
      <w:r w:rsidR="003066F4">
        <w:rPr>
          <w:rStyle w:val="cf01"/>
          <w:rFonts w:asciiTheme="majorHAnsi" w:hAnsiTheme="majorHAnsi" w:cstheme="majorHAnsi"/>
          <w:sz w:val="22"/>
          <w:szCs w:val="22"/>
        </w:rPr>
        <w:t xml:space="preserve"> </w:t>
      </w:r>
      <w:r w:rsidR="0026364A">
        <w:rPr>
          <w:rStyle w:val="cf01"/>
          <w:rFonts w:asciiTheme="majorHAnsi" w:hAnsiTheme="majorHAnsi" w:cstheme="majorHAnsi"/>
          <w:sz w:val="22"/>
          <w:szCs w:val="22"/>
        </w:rPr>
        <w:t xml:space="preserve">maintain </w:t>
      </w:r>
      <w:r w:rsidR="00D458CD">
        <w:rPr>
          <w:rStyle w:val="cf01"/>
          <w:rFonts w:asciiTheme="majorHAnsi" w:hAnsiTheme="majorHAnsi" w:cstheme="majorHAnsi"/>
          <w:sz w:val="22"/>
          <w:szCs w:val="22"/>
        </w:rPr>
        <w:t xml:space="preserve">logical </w:t>
      </w:r>
      <w:r w:rsidR="0026364A">
        <w:rPr>
          <w:rStyle w:val="cf01"/>
          <w:rFonts w:asciiTheme="majorHAnsi" w:hAnsiTheme="majorHAnsi" w:cstheme="majorHAnsi"/>
          <w:sz w:val="22"/>
          <w:szCs w:val="22"/>
        </w:rPr>
        <w:t xml:space="preserve">consistency and parsimony while ensuring availability of needed concepts, </w:t>
      </w:r>
      <w:r w:rsidR="001E062E">
        <w:rPr>
          <w:rStyle w:val="cf01"/>
          <w:rFonts w:asciiTheme="majorHAnsi" w:hAnsiTheme="majorHAnsi" w:cstheme="majorHAnsi"/>
          <w:sz w:val="22"/>
          <w:szCs w:val="22"/>
        </w:rPr>
        <w:t>existing ontologies are often reworked rather than directly reused</w:t>
      </w:r>
      <w:r w:rsidR="005229C6">
        <w:rPr>
          <w:rStyle w:val="cf01"/>
          <w:rFonts w:asciiTheme="majorHAnsi" w:hAnsiTheme="majorHAnsi" w:cstheme="majorHAnsi"/>
          <w:sz w:val="22"/>
          <w:szCs w:val="22"/>
        </w:rPr>
        <w:t xml:space="preserve"> (</w:t>
      </w:r>
      <w:r w:rsidR="00D458CD">
        <w:rPr>
          <w:rStyle w:val="cf01"/>
          <w:rFonts w:asciiTheme="majorHAnsi" w:hAnsiTheme="majorHAnsi" w:cstheme="majorHAnsi"/>
          <w:sz w:val="22"/>
          <w:szCs w:val="22"/>
        </w:rPr>
        <w:t xml:space="preserve">best practices exist for doing so; </w:t>
      </w:r>
      <w:r w:rsidR="005229C6" w:rsidRPr="008725B0">
        <w:rPr>
          <w:rStyle w:val="cf01"/>
          <w:rFonts w:asciiTheme="majorHAnsi" w:hAnsiTheme="majorHAnsi" w:cstheme="majorHAnsi"/>
          <w:sz w:val="22"/>
          <w:szCs w:val="22"/>
        </w:rPr>
        <w:t>Fernández-López</w:t>
      </w:r>
      <w:r w:rsidR="005229C6" w:rsidRPr="00EE0C14" w:rsidDel="008725B0">
        <w:rPr>
          <w:rStyle w:val="HTMLCode"/>
          <w:rFonts w:asciiTheme="majorHAnsi" w:eastAsia="Calibri" w:hAnsiTheme="majorHAnsi" w:cstheme="majorHAnsi"/>
          <w:sz w:val="22"/>
          <w:szCs w:val="22"/>
        </w:rPr>
        <w:t xml:space="preserve"> </w:t>
      </w:r>
      <w:r w:rsidR="005229C6" w:rsidRPr="00EE0C14">
        <w:rPr>
          <w:rStyle w:val="cf01"/>
          <w:rFonts w:asciiTheme="majorHAnsi" w:hAnsiTheme="majorHAnsi" w:cstheme="majorHAnsi"/>
          <w:sz w:val="22"/>
          <w:szCs w:val="22"/>
        </w:rPr>
        <w:t>et al.</w:t>
      </w:r>
      <w:r w:rsidR="005229C6">
        <w:rPr>
          <w:rStyle w:val="cf01"/>
          <w:rFonts w:asciiTheme="majorHAnsi" w:hAnsiTheme="majorHAnsi" w:cstheme="majorHAnsi"/>
          <w:sz w:val="22"/>
          <w:szCs w:val="22"/>
        </w:rPr>
        <w:t>,</w:t>
      </w:r>
      <w:r w:rsidR="005229C6" w:rsidRPr="00EE0C14">
        <w:rPr>
          <w:rStyle w:val="cf01"/>
          <w:rFonts w:asciiTheme="majorHAnsi" w:hAnsiTheme="majorHAnsi" w:cstheme="majorHAnsi"/>
          <w:sz w:val="22"/>
          <w:szCs w:val="22"/>
        </w:rPr>
        <w:t xml:space="preserve"> 2019, Haller and Polleres</w:t>
      </w:r>
      <w:r w:rsidR="005229C6">
        <w:rPr>
          <w:rStyle w:val="cf01"/>
          <w:rFonts w:asciiTheme="majorHAnsi" w:hAnsiTheme="majorHAnsi" w:cstheme="majorHAnsi"/>
          <w:sz w:val="22"/>
          <w:szCs w:val="22"/>
        </w:rPr>
        <w:t>,</w:t>
      </w:r>
      <w:r w:rsidR="005229C6" w:rsidRPr="00EE0C14">
        <w:rPr>
          <w:rStyle w:val="cf01"/>
          <w:rFonts w:asciiTheme="majorHAnsi" w:hAnsiTheme="majorHAnsi" w:cstheme="majorHAnsi"/>
          <w:sz w:val="22"/>
          <w:szCs w:val="22"/>
        </w:rPr>
        <w:t xml:space="preserve"> 2020</w:t>
      </w:r>
      <w:r w:rsidR="005229C6">
        <w:rPr>
          <w:rStyle w:val="cf01"/>
          <w:rFonts w:asciiTheme="majorHAnsi" w:hAnsiTheme="majorHAnsi" w:cstheme="majorHAnsi"/>
          <w:sz w:val="22"/>
          <w:szCs w:val="22"/>
        </w:rPr>
        <w:t>).</w:t>
      </w:r>
      <w:r w:rsidR="001E062E">
        <w:rPr>
          <w:rStyle w:val="cf01"/>
          <w:rFonts w:asciiTheme="majorHAnsi" w:hAnsiTheme="majorHAnsi" w:cstheme="majorHAnsi"/>
          <w:sz w:val="22"/>
          <w:szCs w:val="22"/>
        </w:rPr>
        <w:t xml:space="preserve"> </w:t>
      </w:r>
      <w:r w:rsidR="00F600C5">
        <w:rPr>
          <w:rStyle w:val="cf01"/>
          <w:rFonts w:asciiTheme="majorHAnsi" w:hAnsiTheme="majorHAnsi" w:cstheme="majorHAnsi"/>
          <w:sz w:val="22"/>
          <w:szCs w:val="22"/>
        </w:rPr>
        <w:t>These challenges suggest</w:t>
      </w:r>
      <w:r w:rsidRPr="00EE0C14">
        <w:rPr>
          <w:rStyle w:val="cf01"/>
          <w:rFonts w:asciiTheme="majorHAnsi" w:hAnsiTheme="majorHAnsi" w:cstheme="majorHAnsi"/>
          <w:sz w:val="22"/>
          <w:szCs w:val="22"/>
        </w:rPr>
        <w:t xml:space="preserve"> the need for coordination across the ES community to come to consensus on and use </w:t>
      </w:r>
      <w:r w:rsidR="009940E3">
        <w:rPr>
          <w:rStyle w:val="cf01"/>
          <w:rFonts w:asciiTheme="majorHAnsi" w:hAnsiTheme="majorHAnsi" w:cstheme="majorHAnsi"/>
          <w:sz w:val="22"/>
          <w:szCs w:val="22"/>
        </w:rPr>
        <w:t>o</w:t>
      </w:r>
      <w:r w:rsidR="00C61FE9">
        <w:rPr>
          <w:rStyle w:val="cf01"/>
          <w:rFonts w:asciiTheme="majorHAnsi" w:hAnsiTheme="majorHAnsi" w:cstheme="majorHAnsi"/>
          <w:sz w:val="22"/>
          <w:szCs w:val="22"/>
        </w:rPr>
        <w:t xml:space="preserve">f </w:t>
      </w:r>
      <w:r w:rsidRPr="00EE0C14">
        <w:rPr>
          <w:rStyle w:val="cf01"/>
          <w:rFonts w:asciiTheme="majorHAnsi" w:hAnsiTheme="majorHAnsi" w:cstheme="majorHAnsi"/>
          <w:sz w:val="22"/>
          <w:szCs w:val="22"/>
        </w:rPr>
        <w:t>shared semantics, rather than having multiple “competing</w:t>
      </w:r>
      <w:r w:rsidR="0082473B">
        <w:rPr>
          <w:rStyle w:val="cf01"/>
          <w:rFonts w:asciiTheme="majorHAnsi" w:hAnsiTheme="majorHAnsi" w:cstheme="majorHAnsi"/>
          <w:sz w:val="22"/>
          <w:szCs w:val="22"/>
        </w:rPr>
        <w:t xml:space="preserve"> </w:t>
      </w:r>
      <w:r w:rsidRPr="00EE0C14">
        <w:rPr>
          <w:rStyle w:val="cf01"/>
          <w:rFonts w:asciiTheme="majorHAnsi" w:hAnsiTheme="majorHAnsi" w:cstheme="majorHAnsi"/>
          <w:sz w:val="22"/>
          <w:szCs w:val="22"/>
        </w:rPr>
        <w:t>standards” emerge, which would undermine interoperability goals.</w:t>
      </w:r>
      <w:bookmarkEnd w:id="6"/>
    </w:p>
    <w:p w14:paraId="4E91929B" w14:textId="27456DDB" w:rsidR="00E70BF2" w:rsidRDefault="00E70BF2" w:rsidP="000B12BC">
      <w:pPr>
        <w:spacing w:before="240" w:after="240" w:line="480" w:lineRule="auto"/>
      </w:pPr>
      <w:bookmarkStart w:id="7" w:name="_3dy6vkm" w:colFirst="0" w:colLast="0"/>
      <w:bookmarkEnd w:id="7"/>
      <w:r>
        <w:lastRenderedPageBreak/>
        <w:t>Effective metadata describe both the entity under consideration and its measurement characteristics (e.g., continuous or categorical, ranking or measurement, measurement units; Crossman et al 2013). Th</w:t>
      </w:r>
      <w:r w:rsidR="00C61FE9">
        <w:t>ese details</w:t>
      </w:r>
      <w:r>
        <w:t xml:space="preserve"> typically require </w:t>
      </w:r>
      <w:r w:rsidR="009C5598">
        <w:t xml:space="preserve">alignment </w:t>
      </w:r>
      <w:r>
        <w:t xml:space="preserve">of </w:t>
      </w:r>
      <w:r>
        <w:rPr>
          <w:i/>
        </w:rPr>
        <w:t>domain ontologies</w:t>
      </w:r>
      <w:r>
        <w:t xml:space="preserve"> (for specific disciplines, e.g., economics or hydrology) with </w:t>
      </w:r>
      <w:r>
        <w:rPr>
          <w:i/>
        </w:rPr>
        <w:t xml:space="preserve">upper-level </w:t>
      </w:r>
      <w:r>
        <w:t>or</w:t>
      </w:r>
      <w:r>
        <w:rPr>
          <w:i/>
        </w:rPr>
        <w:t xml:space="preserve"> core ontologies</w:t>
      </w:r>
      <w:r>
        <w:t xml:space="preserve"> that describe domain-independent aspects of scientific entities (Fritzsche et al., 2017; Figure 1), such as BFO (</w:t>
      </w:r>
      <w:proofErr w:type="spellStart"/>
      <w:r>
        <w:t>Otte</w:t>
      </w:r>
      <w:proofErr w:type="spellEnd"/>
      <w:r>
        <w:t xml:space="preserve"> et al., 2022) or DOLCE (Borgo et al., 2022). As an interdisciplinary science, ES researchers must use semantic resources capable of navigating across disciplines (Figure 1, see </w:t>
      </w:r>
      <w:r w:rsidR="00C422F4">
        <w:t>s</w:t>
      </w:r>
      <w:r w:rsidRPr="00DB4C3A">
        <w:t>ection 3.1</w:t>
      </w:r>
      <w:r>
        <w:t xml:space="preserve">). While detailed, standardized metadata describing the content of ES data and models are essential, so is consensus on what the “entity under consideration” is, </w:t>
      </w:r>
      <w:r w:rsidR="00F179A1">
        <w:t>which</w:t>
      </w:r>
      <w:r>
        <w:t xml:space="preserve"> terms describe the entity, and critical evaluation of whether commonly used representations (indicators) describe what is meant by the concept (i.e., “indicator-indicandum fit</w:t>
      </w:r>
      <w:r w:rsidR="00F179A1">
        <w:t>,</w:t>
      </w:r>
      <w:r>
        <w:t>”</w:t>
      </w:r>
      <w:r w:rsidR="00F179A1">
        <w:t xml:space="preserve"> without which error can readily arise,</w:t>
      </w:r>
      <w:r>
        <w:t xml:space="preserve"> Heink and Kowarik, 2010</w:t>
      </w:r>
      <w:r w:rsidR="008131CA">
        <w:t>, Wallace and Jago, 2017</w:t>
      </w:r>
      <w:r>
        <w:t>).</w:t>
      </w:r>
    </w:p>
    <w:p w14:paraId="3E9232A8" w14:textId="6C123023" w:rsidR="002556AA" w:rsidRDefault="002556AA" w:rsidP="000B12BC">
      <w:pPr>
        <w:spacing w:before="240" w:line="480" w:lineRule="auto"/>
      </w:pPr>
      <w:r>
        <w:t xml:space="preserve">The logical formalization of scientific concepts enables inference – i.e., using evidence to draw conclusions. People use logical inference constantly, for example by reading today’s weather forecast before deciding what to wear outdoors. Through </w:t>
      </w:r>
      <w:r>
        <w:rPr>
          <w:i/>
        </w:rPr>
        <w:t>machine reasoning</w:t>
      </w:r>
      <w:r>
        <w:t xml:space="preserve"> </w:t>
      </w:r>
      <w:r w:rsidR="00F57BFB">
        <w:t>(</w:t>
      </w:r>
      <w:r w:rsidR="00AD2A1A">
        <w:t>like</w:t>
      </w:r>
      <w:r w:rsidR="00CE7E28">
        <w:t xml:space="preserve"> ontologies and machine learning, </w:t>
      </w:r>
      <w:r w:rsidR="00F57BFB">
        <w:t>a subfield of artificial intelligence)</w:t>
      </w:r>
      <w:r w:rsidR="00F9622F">
        <w:t>,</w:t>
      </w:r>
      <w:r w:rsidR="00F57BFB">
        <w:t xml:space="preserve"> </w:t>
      </w:r>
      <w:r>
        <w:t>computers can logically infer relationships and flexibly connect information (Janowicz et al., 2015</w:t>
      </w:r>
      <w:r w:rsidR="00F9622F">
        <w:t xml:space="preserve">). This enables, </w:t>
      </w:r>
      <w:r>
        <w:t xml:space="preserve">for instance </w:t>
      </w:r>
      <w:r w:rsidR="00F9622F">
        <w:t>automated</w:t>
      </w:r>
      <w:r>
        <w:t xml:space="preserve"> coupl</w:t>
      </w:r>
      <w:r w:rsidR="00F9622F">
        <w:t>ing of</w:t>
      </w:r>
      <w:r>
        <w:t xml:space="preserve"> two models or substitut</w:t>
      </w:r>
      <w:r w:rsidR="00F9622F">
        <w:t>ion of</w:t>
      </w:r>
      <w:r>
        <w:t xml:space="preserve"> one dataset, model, or model parameterization for another. A computer system capable of machine reasoning can respond to scientific questions requiring the use of different data, models, and model parameterizations (Villa et al., 2009), rather than solely by retrieving facts. </w:t>
      </w:r>
      <w:r w:rsidR="003C169D">
        <w:t xml:space="preserve">This </w:t>
      </w:r>
      <w:r>
        <w:t>approach has transformative potential for using data and models to produce ES assessments.</w:t>
      </w:r>
    </w:p>
    <w:p w14:paraId="6A1E8532" w14:textId="77777777" w:rsidR="002556AA" w:rsidRDefault="002556AA" w:rsidP="000B12BC">
      <w:pPr>
        <w:spacing w:before="240" w:after="240" w:line="480" w:lineRule="auto"/>
      </w:pPr>
    </w:p>
    <w:p w14:paraId="49AAFDD4" w14:textId="689139ED" w:rsidR="00E70BF2" w:rsidRDefault="00E70BF2" w:rsidP="000B12BC">
      <w:pPr>
        <w:spacing w:before="240" w:after="240" w:line="480" w:lineRule="auto"/>
        <w:jc w:val="center"/>
        <w:rPr>
          <w:i/>
        </w:rPr>
      </w:pPr>
      <w:r>
        <w:t>(Figure 1 about here)</w:t>
      </w:r>
    </w:p>
    <w:p w14:paraId="72AB6A8C" w14:textId="77777777" w:rsidR="00002B08" w:rsidRDefault="00002B08" w:rsidP="000B12BC">
      <w:pPr>
        <w:spacing w:before="240" w:line="480" w:lineRule="auto"/>
      </w:pPr>
      <w:bookmarkStart w:id="8" w:name="_1t3h5sf" w:colFirst="0" w:colLast="0"/>
      <w:bookmarkStart w:id="9" w:name="_4d34og8" w:colFirst="0" w:colLast="0"/>
      <w:bookmarkEnd w:id="8"/>
      <w:bookmarkEnd w:id="9"/>
    </w:p>
    <w:p w14:paraId="474F87BA" w14:textId="3344A747" w:rsidR="00C55C27" w:rsidRDefault="00154CAC" w:rsidP="000B12BC">
      <w:pPr>
        <w:spacing w:before="240" w:after="240" w:line="480" w:lineRule="auto"/>
        <w:rPr>
          <w:b/>
        </w:rPr>
      </w:pPr>
      <w:r>
        <w:rPr>
          <w:b/>
        </w:rPr>
        <w:t xml:space="preserve">3. Current </w:t>
      </w:r>
      <w:r w:rsidR="007742AF">
        <w:rPr>
          <w:b/>
        </w:rPr>
        <w:t xml:space="preserve">and emerging solutions </w:t>
      </w:r>
      <w:r>
        <w:rPr>
          <w:b/>
        </w:rPr>
        <w:t>for interoperability in ecosystem services</w:t>
      </w:r>
    </w:p>
    <w:p w14:paraId="735CAC16" w14:textId="77777777" w:rsidR="00C55C27" w:rsidRDefault="00154CAC" w:rsidP="000B12BC">
      <w:pPr>
        <w:spacing w:before="240" w:after="240" w:line="480" w:lineRule="auto"/>
        <w:rPr>
          <w:i/>
        </w:rPr>
      </w:pPr>
      <w:r>
        <w:rPr>
          <w:i/>
        </w:rPr>
        <w:t>3.1 Relevant semantic resources</w:t>
      </w:r>
    </w:p>
    <w:p w14:paraId="65C1CC1F" w14:textId="43DFE2AE" w:rsidR="00BD4528" w:rsidRDefault="00BD4528" w:rsidP="000B12BC">
      <w:pPr>
        <w:spacing w:before="240" w:after="240" w:line="480" w:lineRule="auto"/>
      </w:pPr>
      <w:r>
        <w:t>The need for shared language and meanings to describe scientific data and models</w:t>
      </w:r>
      <w:r w:rsidR="00D202F5">
        <w:t xml:space="preserve"> </w:t>
      </w:r>
      <w:r w:rsidR="00C61FE9">
        <w:t>i</w:t>
      </w:r>
      <w:r>
        <w:t xml:space="preserve">s </w:t>
      </w:r>
      <w:r w:rsidR="00D202F5">
        <w:t xml:space="preserve">readily </w:t>
      </w:r>
      <w:r>
        <w:t xml:space="preserve">evident in any project involving large-scale data collection, interdisciplinary modeling, or knowledge synthesis (e.g., IPBES’ activities, </w:t>
      </w:r>
      <w:r w:rsidR="00DB4C3A">
        <w:t>s</w:t>
      </w:r>
      <w:r>
        <w:t xml:space="preserve">ection 4.1). </w:t>
      </w:r>
      <w:r w:rsidR="00E50F85">
        <w:t>For instance,</w:t>
      </w:r>
      <w:r>
        <w:t xml:space="preserve"> controlled vocabularies </w:t>
      </w:r>
      <w:r w:rsidR="00E50F85">
        <w:t xml:space="preserve">are used to support </w:t>
      </w:r>
      <w:r w:rsidR="004D7DD1">
        <w:t xml:space="preserve">syntactic interoperability for </w:t>
      </w:r>
      <w:r w:rsidR="00E50F85">
        <w:t>long-term ecological research</w:t>
      </w:r>
      <w:r>
        <w:t xml:space="preserve"> (Mirtl et al., 2018), </w:t>
      </w:r>
      <w:r w:rsidR="00E50F85">
        <w:t>cataloging of ES models</w:t>
      </w:r>
      <w:r>
        <w:t xml:space="preserve"> (USEPA, 2019), and </w:t>
      </w:r>
      <w:r w:rsidR="00CA363B">
        <w:t>Earth sciences model integration</w:t>
      </w:r>
      <w:r>
        <w:t xml:space="preserve"> (Tucker et al., 2022). </w:t>
      </w:r>
      <w:r w:rsidR="00C6785E">
        <w:t>However, s</w:t>
      </w:r>
      <w:r>
        <w:t xml:space="preserve">uch </w:t>
      </w:r>
      <w:r w:rsidR="004D7DD1">
        <w:t xml:space="preserve">approaches </w:t>
      </w:r>
      <w:r>
        <w:t>cannot support semantic interoperability, which requires use of ontologies that enable machine reasoning</w:t>
      </w:r>
      <w:r w:rsidR="00180C76">
        <w:t xml:space="preserve"> (Guizzardi, 2020)</w:t>
      </w:r>
      <w:r>
        <w:t xml:space="preserve">. </w:t>
      </w:r>
    </w:p>
    <w:p w14:paraId="4542C5F2" w14:textId="2DD445BE" w:rsidR="00C55C27" w:rsidRDefault="0078537E" w:rsidP="000B12BC">
      <w:pPr>
        <w:spacing w:before="240" w:after="240" w:line="480" w:lineRule="auto"/>
      </w:pPr>
      <w:r>
        <w:t>A range of biological and ecological</w:t>
      </w:r>
      <w:r w:rsidR="00154CAC">
        <w:t xml:space="preserve"> </w:t>
      </w:r>
      <w:r>
        <w:t xml:space="preserve">ontologies </w:t>
      </w:r>
      <w:r w:rsidR="00154CAC">
        <w:t xml:space="preserve">support interoperability (e.g., Ison et al., 2013, Lannom et al., 2020, Maganga et al., 2021). </w:t>
      </w:r>
      <w:r w:rsidR="00457155">
        <w:t xml:space="preserve">The </w:t>
      </w:r>
      <w:r w:rsidR="00DD6052">
        <w:t xml:space="preserve">BFO-grounded </w:t>
      </w:r>
      <w:r w:rsidR="00CA1A1E">
        <w:t>ENVO</w:t>
      </w:r>
      <w:r w:rsidR="00154CAC">
        <w:t xml:space="preserve"> </w:t>
      </w:r>
      <w:r w:rsidR="00457155">
        <w:t xml:space="preserve">ontology </w:t>
      </w:r>
      <w:r w:rsidR="00154CAC">
        <w:t xml:space="preserve">(Buttigieg et al., 2013) is </w:t>
      </w:r>
      <w:r w:rsidR="003E25F3">
        <w:t xml:space="preserve">often </w:t>
      </w:r>
      <w:r w:rsidR="00154CAC">
        <w:t xml:space="preserve">used to </w:t>
      </w:r>
      <w:r w:rsidR="003E212F">
        <w:t xml:space="preserve">represent </w:t>
      </w:r>
      <w:r w:rsidR="00154CAC">
        <w:t xml:space="preserve">ecological entities. </w:t>
      </w:r>
      <w:r w:rsidR="00C641B2">
        <w:t>S</w:t>
      </w:r>
      <w:r w:rsidR="007C3A22">
        <w:t>emantic resources for areas</w:t>
      </w:r>
      <w:r w:rsidR="00154CAC">
        <w:t xml:space="preserve"> related to ES </w:t>
      </w:r>
      <w:r w:rsidR="00C641B2">
        <w:t>address</w:t>
      </w:r>
      <w:r w:rsidR="00154CAC">
        <w:t xml:space="preserve"> social-ecological systems (van der Werf, 2009</w:t>
      </w:r>
      <w:r w:rsidR="0002761F">
        <w:t>, Adamo and Willis, 2022</w:t>
      </w:r>
      <w:r w:rsidR="00154CAC">
        <w:t xml:space="preserve">), agroecosystem services (Martin-Clouaire, 2018), land use (Fischer et al., 2023), and life-cycle assessment (Ghose et al., 2022). To our knowledge, these </w:t>
      </w:r>
      <w:r w:rsidR="00F04A52">
        <w:t xml:space="preserve">resources </w:t>
      </w:r>
      <w:r w:rsidR="00154CAC">
        <w:t xml:space="preserve">have seen limited use in supporting ES data and model interoperability. Lastly, the </w:t>
      </w:r>
      <w:proofErr w:type="spellStart"/>
      <w:r w:rsidR="00154CAC">
        <w:t>ESOnto</w:t>
      </w:r>
      <w:proofErr w:type="spellEnd"/>
      <w:r w:rsidR="00154CAC">
        <w:t xml:space="preserve"> </w:t>
      </w:r>
      <w:r w:rsidR="00160212">
        <w:t>(</w:t>
      </w:r>
      <w:proofErr w:type="spellStart"/>
      <w:r w:rsidR="00160212">
        <w:t>Ayuningsih</w:t>
      </w:r>
      <w:proofErr w:type="spellEnd"/>
      <w:r w:rsidR="00160212">
        <w:t xml:space="preserve">, 2019, </w:t>
      </w:r>
      <w:proofErr w:type="spellStart"/>
      <w:r w:rsidR="00160212">
        <w:t>Drakou</w:t>
      </w:r>
      <w:proofErr w:type="spellEnd"/>
      <w:r w:rsidR="00160212">
        <w:t xml:space="preserve"> et al., 2019) and ESMO</w:t>
      </w:r>
      <w:r w:rsidR="00133B58">
        <w:t xml:space="preserve"> </w:t>
      </w:r>
      <w:r w:rsidR="00FC3579">
        <w:t xml:space="preserve">ontologies </w:t>
      </w:r>
      <w:r w:rsidR="00133B58">
        <w:t>(</w:t>
      </w:r>
      <w:proofErr w:type="spellStart"/>
      <w:r w:rsidR="00133B58">
        <w:t>Affinito</w:t>
      </w:r>
      <w:proofErr w:type="spellEnd"/>
      <w:r w:rsidR="00133B58">
        <w:t xml:space="preserve"> et al., 2024) </w:t>
      </w:r>
      <w:r w:rsidR="00160212">
        <w:t>are</w:t>
      </w:r>
      <w:r w:rsidR="00154CAC">
        <w:t xml:space="preserve"> specific to ES (</w:t>
      </w:r>
      <w:r w:rsidR="00133B58">
        <w:t>see</w:t>
      </w:r>
      <w:r w:rsidR="00154CAC">
        <w:t xml:space="preserve"> section 4.3</w:t>
      </w:r>
      <w:r w:rsidR="00160212">
        <w:t>)</w:t>
      </w:r>
      <w:r w:rsidR="00154CAC">
        <w:t>.</w:t>
      </w:r>
    </w:p>
    <w:p w14:paraId="2DB0BBCB" w14:textId="4781621F" w:rsidR="00C55C27" w:rsidRDefault="00154CAC" w:rsidP="000B12BC">
      <w:pPr>
        <w:spacing w:before="240" w:after="240" w:line="480" w:lineRule="auto"/>
      </w:pPr>
      <w:r>
        <w:t>The I-ADOPT framework for biodiversity data (Maganga et al., 2021)</w:t>
      </w:r>
      <w:r w:rsidR="007F6193">
        <w:t>,</w:t>
      </w:r>
      <w:r>
        <w:t xml:space="preserve"> Scientific Variables Ontology (Stoica and Peckham, 2019), the Artificial Intelligence for Environment &amp; Sustainability (ARIES) project’s Ontology of Descriptions and Observations for Integrated Modelling (Villa</w:t>
      </w:r>
      <w:r w:rsidR="00A9357C">
        <w:t xml:space="preserve"> and Adamo</w:t>
      </w:r>
      <w:r>
        <w:t>,</w:t>
      </w:r>
      <w:r w:rsidR="00A9357C">
        <w:t xml:space="preserve"> 2024</w:t>
      </w:r>
      <w:r>
        <w:t xml:space="preserve">), and best </w:t>
      </w:r>
      <w:r>
        <w:lastRenderedPageBreak/>
        <w:t xml:space="preserve">practices proposed to support the European Union INSPIRE Directive (Leadbetter </w:t>
      </w:r>
      <w:r w:rsidRPr="00F72151">
        <w:t>and Vodden, 2015, INSPIRE, 2024)</w:t>
      </w:r>
      <w:r w:rsidR="007F6193">
        <w:t xml:space="preserve"> share substantial conceptual overlap</w:t>
      </w:r>
      <w:r w:rsidRPr="00F72151">
        <w:t xml:space="preserve">. </w:t>
      </w:r>
      <w:r w:rsidR="00F72151" w:rsidRPr="00F72151">
        <w:rPr>
          <w:color w:val="000000"/>
        </w:rPr>
        <w:t xml:space="preserve">Specifically, </w:t>
      </w:r>
      <w:r w:rsidR="002824E5">
        <w:rPr>
          <w:color w:val="000000"/>
        </w:rPr>
        <w:t>they</w:t>
      </w:r>
      <w:r w:rsidR="008D4CAB" w:rsidRPr="00F72151">
        <w:rPr>
          <w:color w:val="000000"/>
        </w:rPr>
        <w:t xml:space="preserve"> </w:t>
      </w:r>
      <w:r w:rsidR="00F72151" w:rsidRPr="00F72151">
        <w:rPr>
          <w:color w:val="000000"/>
        </w:rPr>
        <w:t>share four common characteristics</w:t>
      </w:r>
      <w:r w:rsidR="008D4CAB">
        <w:rPr>
          <w:color w:val="000000"/>
        </w:rPr>
        <w:t>:</w:t>
      </w:r>
      <w:r w:rsidR="00F72151" w:rsidRPr="00F72151">
        <w:rPr>
          <w:color w:val="000000"/>
        </w:rPr>
        <w:t xml:space="preserve"> (1) reliance on </w:t>
      </w:r>
      <w:r w:rsidR="002824E5">
        <w:rPr>
          <w:color w:val="000000"/>
        </w:rPr>
        <w:t xml:space="preserve">both </w:t>
      </w:r>
      <w:r w:rsidR="00F72151" w:rsidRPr="00F72151">
        <w:rPr>
          <w:color w:val="000000"/>
        </w:rPr>
        <w:t xml:space="preserve">discipline-specific domain ontologies and a core/upper level ontology </w:t>
      </w:r>
      <w:r w:rsidR="00C26D85">
        <w:rPr>
          <w:color w:val="000000"/>
        </w:rPr>
        <w:t>describing</w:t>
      </w:r>
      <w:r w:rsidR="00F72151" w:rsidRPr="00F72151">
        <w:rPr>
          <w:color w:val="000000"/>
        </w:rPr>
        <w:t xml:space="preserve"> scientific observations and measurements; (2) use of atomic concepts to build more complex ones; (3) the requirement that both a</w:t>
      </w:r>
      <w:r w:rsidR="006F5CFA">
        <w:rPr>
          <w:color w:val="000000"/>
        </w:rPr>
        <w:t>n</w:t>
      </w:r>
      <w:r w:rsidR="00F72151" w:rsidRPr="00F72151">
        <w:rPr>
          <w:color w:val="000000"/>
        </w:rPr>
        <w:t xml:space="preserve"> entity and a property being measured must be combined to produce a complete scientific observation (e.g., not just “</w:t>
      </w:r>
      <w:r w:rsidR="006F5CFA">
        <w:rPr>
          <w:color w:val="000000"/>
        </w:rPr>
        <w:t>land surface</w:t>
      </w:r>
      <w:r w:rsidR="00F72151" w:rsidRPr="00F72151">
        <w:rPr>
          <w:color w:val="000000"/>
        </w:rPr>
        <w:t xml:space="preserve">” but “land surface temperature in °C”); and (4) the </w:t>
      </w:r>
      <w:r w:rsidR="00C26D85">
        <w:rPr>
          <w:color w:val="000000"/>
        </w:rPr>
        <w:t>ability</w:t>
      </w:r>
      <w:r w:rsidR="00C26D85" w:rsidRPr="00F72151">
        <w:rPr>
          <w:color w:val="000000"/>
        </w:rPr>
        <w:t xml:space="preserve"> </w:t>
      </w:r>
      <w:r w:rsidR="00F72151" w:rsidRPr="00F72151">
        <w:rPr>
          <w:color w:val="000000"/>
        </w:rPr>
        <w:t xml:space="preserve">to describe roles, measurement methods, and matrices or realms in which measurements took place. </w:t>
      </w:r>
      <w:r w:rsidRPr="00F72151">
        <w:t>These</w:t>
      </w:r>
      <w:r>
        <w:t xml:space="preserve"> </w:t>
      </w:r>
      <w:r w:rsidR="00646612">
        <w:t xml:space="preserve">characteristics </w:t>
      </w:r>
      <w:r w:rsidR="00E438A0">
        <w:t xml:space="preserve">suggest a path </w:t>
      </w:r>
      <w:r w:rsidR="0041012C">
        <w:t>toward</w:t>
      </w:r>
      <w:r>
        <w:t xml:space="preserve"> support</w:t>
      </w:r>
      <w:r w:rsidR="0041012C">
        <w:t>ing</w:t>
      </w:r>
      <w:r>
        <w:t xml:space="preserve"> </w:t>
      </w:r>
      <w:r w:rsidR="00560C75">
        <w:t>inter</w:t>
      </w:r>
      <w:r w:rsidR="00AF27ED">
        <w:t xml:space="preserve">disciplinary semantic interoperability </w:t>
      </w:r>
      <w:r w:rsidR="00BE599F">
        <w:t xml:space="preserve">through </w:t>
      </w:r>
      <w:r>
        <w:t xml:space="preserve">full expressivity, logical consistency, parsimony, and reuse of existing semantic resources. </w:t>
      </w:r>
    </w:p>
    <w:p w14:paraId="70211D48" w14:textId="0EEC5222" w:rsidR="00C55C27" w:rsidRDefault="00154CAC" w:rsidP="000B12BC">
      <w:pPr>
        <w:spacing w:before="240" w:after="240" w:line="480" w:lineRule="auto"/>
        <w:rPr>
          <w:i/>
        </w:rPr>
      </w:pPr>
      <w:r>
        <w:rPr>
          <w:i/>
        </w:rPr>
        <w:t xml:space="preserve">3.2 Interoperability and ecosystem services </w:t>
      </w:r>
      <w:r w:rsidR="00D012B9">
        <w:rPr>
          <w:i/>
        </w:rPr>
        <w:t>models and software</w:t>
      </w:r>
    </w:p>
    <w:p w14:paraId="67C2FB2B" w14:textId="2BACE8D1" w:rsidR="00D012B9" w:rsidRDefault="00647E34" w:rsidP="000B12BC">
      <w:pPr>
        <w:spacing w:before="240" w:after="240" w:line="480" w:lineRule="auto"/>
      </w:pPr>
      <w:r>
        <w:t>Scientific m</w:t>
      </w:r>
      <w:r w:rsidR="00D328DB">
        <w:t xml:space="preserve">odels and </w:t>
      </w:r>
      <w:r>
        <w:t>computational</w:t>
      </w:r>
      <w:r w:rsidR="00D328DB">
        <w:t xml:space="preserve"> workflows should support interoperability (Goble et al., 2020)</w:t>
      </w:r>
      <w:r w:rsidR="00C645A9">
        <w:t xml:space="preserve"> and, like most fields, the boundary between modern ES models and software is blurry</w:t>
      </w:r>
      <w:r w:rsidR="00D328DB">
        <w:t xml:space="preserve">. </w:t>
      </w:r>
      <w:r w:rsidR="00C645A9">
        <w:t xml:space="preserve">ES models range </w:t>
      </w:r>
      <w:r w:rsidR="00D012B9">
        <w:t>from qualitative to quantitative and from one-off, bespoke methods to repeatedly applied approaches (Palomo et al., 2017). The path to interoperability and the benefits of achieving it differ for such approaches. Repeatedly used quantitative models (e.g., ESTIMAP, Zulian et al., 2018, InVEST, Natural Capital Project, 2024) may be suitable for improved reusability and interoperability, if model</w:t>
      </w:r>
      <w:r w:rsidR="00C645A9">
        <w:t>ers</w:t>
      </w:r>
      <w:r w:rsidR="00D012B9">
        <w:t xml:space="preserve"> make underlying data, models, and model parameterizations machine actionable, semantically annotated, and/or specify appropriate conditions for reuse (see </w:t>
      </w:r>
      <w:r w:rsidR="00D012B9" w:rsidRPr="002F46A0">
        <w:t xml:space="preserve">section </w:t>
      </w:r>
      <w:r w:rsidR="00F17963" w:rsidRPr="002F46A0">
        <w:t>3</w:t>
      </w:r>
      <w:r w:rsidR="00D012B9" w:rsidRPr="002F46A0">
        <w:t>.</w:t>
      </w:r>
      <w:r w:rsidR="002F46A0">
        <w:t>4</w:t>
      </w:r>
      <w:r w:rsidR="00D012B9">
        <w:t>).</w:t>
      </w:r>
    </w:p>
    <w:p w14:paraId="0334FE2B" w14:textId="6475B61A" w:rsidR="00D012B9" w:rsidRDefault="00C645A9" w:rsidP="000B12BC">
      <w:pPr>
        <w:spacing w:before="240" w:after="240" w:line="480" w:lineRule="auto"/>
      </w:pPr>
      <w:r>
        <w:t>R</w:t>
      </w:r>
      <w:r w:rsidR="00D012B9">
        <w:t xml:space="preserve">euse of knowledge from semi-quantitative approaches using public, stakeholder, or expert judgment (e.g., Semmens et al., 2019, Campagne et al., 2020) may be possible with great care. </w:t>
      </w:r>
      <w:r w:rsidR="00F04A52">
        <w:t>Such reuse</w:t>
      </w:r>
      <w:r w:rsidR="00D012B9">
        <w:t xml:space="preserve"> requires careful attention to the ecological and socioeconomic context of past studies and their data, methods, </w:t>
      </w:r>
      <w:r w:rsidR="00D012B9">
        <w:lastRenderedPageBreak/>
        <w:t xml:space="preserve">and surveyed populations. </w:t>
      </w:r>
      <w:r w:rsidR="00AB5231">
        <w:t>Knowledge reuse</w:t>
      </w:r>
      <w:r w:rsidR="00D012B9">
        <w:t xml:space="preserve"> from such studies may provide a useful starting point for </w:t>
      </w:r>
      <w:r w:rsidR="00AB5231">
        <w:t xml:space="preserve">stakeholder </w:t>
      </w:r>
      <w:r w:rsidR="00D012B9">
        <w:t>deliberation</w:t>
      </w:r>
      <w:r w:rsidR="00AB5231">
        <w:t>s</w:t>
      </w:r>
      <w:r w:rsidR="00D012B9">
        <w:t xml:space="preserve"> in new context</w:t>
      </w:r>
      <w:r w:rsidR="00AB5231">
        <w:t>s</w:t>
      </w:r>
      <w:r w:rsidR="00D012B9">
        <w:t xml:space="preserve">, rather than </w:t>
      </w:r>
      <w:r w:rsidR="00284CD3">
        <w:t>a</w:t>
      </w:r>
      <w:r w:rsidR="00D012B9">
        <w:t xml:space="preserve"> final answer to questions in new setting</w:t>
      </w:r>
      <w:r w:rsidR="00B04DAE">
        <w:t>s</w:t>
      </w:r>
      <w:r w:rsidR="00D012B9">
        <w:t>. By contrast, qualitative ES data are likely to be more difficult to reuse. Place-based</w:t>
      </w:r>
      <w:r w:rsidR="00284CD3">
        <w:t xml:space="preserve"> </w:t>
      </w:r>
      <w:r w:rsidR="00CD55EA">
        <w:t xml:space="preserve">and </w:t>
      </w:r>
      <w:r w:rsidR="00D012B9">
        <w:t>qualitative assessments can be highly useful for supporting participatory processes and providing inputs to decision making</w:t>
      </w:r>
      <w:r w:rsidR="00CD55EA">
        <w:t xml:space="preserve"> (</w:t>
      </w:r>
      <w:r w:rsidR="009800EC">
        <w:t>Potschin and Haines-Young, 2013</w:t>
      </w:r>
      <w:r w:rsidR="00CD55EA">
        <w:t>)</w:t>
      </w:r>
      <w:r w:rsidR="00D012B9">
        <w:t>. However, highly tailored assessments built using public, indigenous, and/or expert knowledge may simply not be transferrable to other contexts, particularly when reflect</w:t>
      </w:r>
      <w:r w:rsidR="00D83F39">
        <w:t>ing</w:t>
      </w:r>
      <w:r w:rsidR="00D012B9">
        <w:t xml:space="preserve"> unique individual or community values.</w:t>
      </w:r>
    </w:p>
    <w:p w14:paraId="100B4BAC" w14:textId="54EBAEDA" w:rsidR="00D328DB" w:rsidRDefault="00D328DB" w:rsidP="000B12BC">
      <w:pPr>
        <w:spacing w:before="240" w:after="240" w:line="480" w:lineRule="auto"/>
      </w:pPr>
      <w:r>
        <w:t xml:space="preserve">Software interoperability is complex, </w:t>
      </w:r>
      <w:r w:rsidR="00F04A52">
        <w:t>as</w:t>
      </w:r>
      <w:r>
        <w:t xml:space="preserve"> </w:t>
      </w:r>
      <w:r w:rsidR="00320E37">
        <w:t xml:space="preserve">it </w:t>
      </w:r>
      <w:r>
        <w:t xml:space="preserve">must interact with other software, data, and computational environments. </w:t>
      </w:r>
      <w:r w:rsidR="00647E34">
        <w:t xml:space="preserve">FAIR </w:t>
      </w:r>
      <w:r w:rsidR="0039721E">
        <w:t xml:space="preserve">Principles for </w:t>
      </w:r>
      <w:r w:rsidR="00B248F5">
        <w:t xml:space="preserve">research </w:t>
      </w:r>
      <w:r w:rsidR="00647E34">
        <w:t xml:space="preserve">software thus </w:t>
      </w:r>
      <w:r w:rsidR="0039721E">
        <w:t>reflect</w:t>
      </w:r>
      <w:r w:rsidR="00C957C4">
        <w:t xml:space="preserve"> </w:t>
      </w:r>
      <w:r w:rsidR="00647E34">
        <w:t xml:space="preserve">needs to ingest, operate on, exchange, and output FAIR data (Lamprecht et al., 2020, Barker et al., 2022). </w:t>
      </w:r>
      <w:r w:rsidR="00F04A52">
        <w:t>U</w:t>
      </w:r>
      <w:r w:rsidR="00EE0C14">
        <w:t>se of</w:t>
      </w:r>
      <w:r>
        <w:t xml:space="preserve"> standardized protocols for information exchange (i.e., APIs, data formats, libraries</w:t>
      </w:r>
      <w:r w:rsidR="00647E34">
        <w:t>, and software registries</w:t>
      </w:r>
      <w:r w:rsidR="00EE0C14">
        <w:t xml:space="preserve">) </w:t>
      </w:r>
      <w:r w:rsidR="00647E34">
        <w:t>can contribute to</w:t>
      </w:r>
      <w:r w:rsidR="00EE0C14">
        <w:t xml:space="preserve"> software interoperability (</w:t>
      </w:r>
      <w:r>
        <w:t>Lamprecht et al., 2020, their Fig. 1).</w:t>
      </w:r>
      <w:r w:rsidR="00D012B9">
        <w:t xml:space="preserve"> While data can be made more FAIR at the end of its production process, there are advantages </w:t>
      </w:r>
      <w:r w:rsidR="000C32AA">
        <w:t xml:space="preserve">to </w:t>
      </w:r>
      <w:r w:rsidR="00D012B9">
        <w:t>working toward FAIR software from the beginning – for example, it can be more efficiently reused by others even while in development (Barker et al. 2022).</w:t>
      </w:r>
    </w:p>
    <w:p w14:paraId="1618F0BB" w14:textId="31D5AB1B" w:rsidR="00C55C27" w:rsidRDefault="00647E34" w:rsidP="000B12BC">
      <w:pPr>
        <w:spacing w:before="240" w:after="240" w:line="480" w:lineRule="auto"/>
      </w:pPr>
      <w:r>
        <w:t xml:space="preserve">Buchhorn et al. (2022) </w:t>
      </w:r>
      <w:r w:rsidR="00F04A52">
        <w:t>show</w:t>
      </w:r>
      <w:r w:rsidR="00B51B2F">
        <w:t xml:space="preserve"> how to assess adherence of ES software to the FAIR Principles, based on</w:t>
      </w:r>
      <w:r>
        <w:t xml:space="preserve"> the </w:t>
      </w:r>
      <w:r w:rsidRPr="006D1F2A">
        <w:t>INCA</w:t>
      </w:r>
      <w:r>
        <w:t xml:space="preserve"> ecosystem accounting tool. Creation of </w:t>
      </w:r>
      <w:r w:rsidR="00B51B2F">
        <w:t>this</w:t>
      </w:r>
      <w:r w:rsidR="00937505">
        <w:t xml:space="preserve"> </w:t>
      </w:r>
      <w:r>
        <w:t>tool entailed harmonization and recoding of the European Union Joint Research Centre’s ES models (Zulian et al., 2018), their pairing with analysis-ready data, automation of geospatial operations, and metadata enrichment. At the time, the INCA tool fully met eight of 15 FAIR Principles for software and six of 15 FAIR Principles for data</w:t>
      </w:r>
      <w:r w:rsidR="00D012B9">
        <w:t>, with interoperability being the least well-</w:t>
      </w:r>
      <w:r w:rsidR="00090501">
        <w:t xml:space="preserve">attained </w:t>
      </w:r>
      <w:r w:rsidR="00D012B9">
        <w:t>principle</w:t>
      </w:r>
      <w:r>
        <w:t xml:space="preserve">. Recently, substantial progress has been made in making the INCA tool interoperable with ARIES, which operates on and produces FAIR input and output data, an important consideration for FAIR software (see </w:t>
      </w:r>
      <w:r w:rsidR="0098633B">
        <w:t>Box 3</w:t>
      </w:r>
      <w:r>
        <w:t>).</w:t>
      </w:r>
    </w:p>
    <w:p w14:paraId="3A085CFA" w14:textId="13BD2404" w:rsidR="0064166E" w:rsidRDefault="0064166E" w:rsidP="000B12BC">
      <w:pPr>
        <w:spacing w:before="240" w:after="240" w:line="480" w:lineRule="auto"/>
        <w:rPr>
          <w:i/>
          <w:iCs/>
        </w:rPr>
      </w:pPr>
      <w:r>
        <w:lastRenderedPageBreak/>
        <w:t xml:space="preserve">3.3 </w:t>
      </w:r>
      <w:r w:rsidRPr="0060661A">
        <w:rPr>
          <w:i/>
          <w:iCs/>
        </w:rPr>
        <w:t>Navigating data/model reuse through “guardrails”</w:t>
      </w:r>
    </w:p>
    <w:p w14:paraId="6DE3AFC5" w14:textId="77777777" w:rsidR="0064166E" w:rsidRDefault="0064166E" w:rsidP="000B12BC">
      <w:pPr>
        <w:spacing w:before="240" w:after="240" w:line="480" w:lineRule="auto"/>
      </w:pPr>
      <w:r>
        <w:t xml:space="preserve">A shared </w:t>
      </w:r>
      <w:r w:rsidRPr="0060661A">
        <w:rPr>
          <w:i/>
          <w:iCs/>
        </w:rPr>
        <w:t>knowledge base</w:t>
      </w:r>
      <w:r>
        <w:rPr>
          <w:i/>
          <w:iCs/>
        </w:rPr>
        <w:t xml:space="preserve"> </w:t>
      </w:r>
      <w:r w:rsidRPr="0060661A">
        <w:t>for ES c</w:t>
      </w:r>
      <w:r>
        <w:t xml:space="preserve">an grow through the contribution of new FAIR datasets and models, but also through machine-readable </w:t>
      </w:r>
      <w:r>
        <w:rPr>
          <w:i/>
        </w:rPr>
        <w:t>decision rules</w:t>
      </w:r>
      <w:r>
        <w:t xml:space="preserve"> about where and how to reuse them (Moon et al., 2017, Spake et al., 2019; FAIR Principle R1). Such decision rules can describe fitness for purpose of data and models, building guardrails against their improper reuse, particularly in automated workflows. Fitness for purpose descriptions are typically found in literature reviews and the discussion sections of papers describing data or models. </w:t>
      </w:r>
    </w:p>
    <w:p w14:paraId="52DB074F" w14:textId="05ABAF63" w:rsidR="0064166E" w:rsidRDefault="0064166E" w:rsidP="000B12BC">
      <w:pPr>
        <w:spacing w:before="240" w:line="480" w:lineRule="auto"/>
      </w:pPr>
      <w:r>
        <w:t>For example, a researcher could use well-defined, shared semantics to specify that a particular model, dataset, or parameterization is appropriate to reapply in a particular context – i.e., for a given ecoregion or climatic zone</w:t>
      </w:r>
      <w:r w:rsidRPr="00FE1177">
        <w:rPr>
          <w:rStyle w:val="FootnoteReference"/>
        </w:rPr>
        <w:t xml:space="preserve"> </w:t>
      </w:r>
      <w:r>
        <w:rPr>
          <w:rStyle w:val="FootnoteReference"/>
        </w:rPr>
        <w:footnoteReference w:id="7"/>
      </w:r>
      <w:r>
        <w:t>, in urban ES assessments for cities of a given size or socioeconomic status, or for assessments taking place at a particular spatiotemporal scale (Benavidez et al., 2018, Leyk et al., 2019, Martinez-Lopez et al., 2019). Such decision rules can be perused by algorithms to choose the most appropriate knowledge to address a problem in a specific context. Full descriptions to support proper reuse may also include information about instrumentation, observation conditions, data collection protocols, data processing, provenance, and original research purpose (Gregory et al., 2019; FAIR Principles R1/R1.2). Further research is needed into how to more systematically describe data and models’ fitness for purpose using semantics.</w:t>
      </w:r>
    </w:p>
    <w:p w14:paraId="14D71075" w14:textId="16CB9060" w:rsidR="0060661A" w:rsidRPr="0060661A" w:rsidRDefault="00687FF1" w:rsidP="000B12BC">
      <w:pPr>
        <w:spacing w:line="480" w:lineRule="auto"/>
        <w:rPr>
          <w:i/>
          <w:iCs/>
        </w:rPr>
      </w:pPr>
      <w:r w:rsidRPr="0060661A">
        <w:rPr>
          <w:i/>
          <w:iCs/>
        </w:rPr>
        <w:lastRenderedPageBreak/>
        <w:t>3.</w:t>
      </w:r>
      <w:r w:rsidR="0064166E">
        <w:rPr>
          <w:i/>
          <w:iCs/>
        </w:rPr>
        <w:t>4</w:t>
      </w:r>
      <w:r w:rsidR="0064166E" w:rsidRPr="0060661A">
        <w:rPr>
          <w:i/>
          <w:iCs/>
        </w:rPr>
        <w:t xml:space="preserve"> </w:t>
      </w:r>
      <w:r w:rsidR="0060661A" w:rsidRPr="0060661A">
        <w:rPr>
          <w:i/>
          <w:iCs/>
        </w:rPr>
        <w:t xml:space="preserve">Reducing heterogeneity in ES definitions – from taxonomies to logic-driven semantics </w:t>
      </w:r>
    </w:p>
    <w:p w14:paraId="19F76A6C" w14:textId="0E45C733" w:rsidR="004D3B35" w:rsidRDefault="004F1A81" w:rsidP="000B12BC">
      <w:pPr>
        <w:spacing w:before="240" w:line="480" w:lineRule="auto"/>
      </w:pPr>
      <w:r>
        <w:t>Substantial</w:t>
      </w:r>
      <w:r w:rsidR="00687FF1">
        <w:t xml:space="preserve"> semantic debate </w:t>
      </w:r>
      <w:r>
        <w:t>has focused on</w:t>
      </w:r>
      <w:r w:rsidR="00687FF1">
        <w:t xml:space="preserve"> the question of “what should we call ES?</w:t>
      </w:r>
      <w:r>
        <w:t>,</w:t>
      </w:r>
      <w:r w:rsidR="00687FF1">
        <w:t>” through distinct classifications (e.g., MEA, 2005, La Notte and Rhodes, 2020), which has more recently evolved into the question of “how can we conceptualize diverse human-nature relationships?” (Chan et al., 2016, Pascual et al., 2017, van Riper et al., 2017, Saxena et al., 2018).</w:t>
      </w:r>
      <w:r w:rsidR="00687FF1">
        <w:rPr>
          <w:vertAlign w:val="superscript"/>
        </w:rPr>
        <w:footnoteReference w:id="8"/>
      </w:r>
      <w:r w:rsidR="00687FF1">
        <w:t xml:space="preserve"> Earlier calls for increased interoperability in ES </w:t>
      </w:r>
      <w:r w:rsidR="00041014">
        <w:t>largely addressed</w:t>
      </w:r>
      <w:r w:rsidR="00687FF1">
        <w:t xml:space="preserve"> </w:t>
      </w:r>
      <w:r w:rsidR="00A32B08">
        <w:t xml:space="preserve">these </w:t>
      </w:r>
      <w:r w:rsidR="00687FF1">
        <w:t xml:space="preserve">classification </w:t>
      </w:r>
      <w:r w:rsidR="00430E5F">
        <w:t xml:space="preserve">questions </w:t>
      </w:r>
      <w:r w:rsidR="00687FF1">
        <w:t>(Drakou et al., 2015, Palomo et al., 2018, Ayuningsih, 2019</w:t>
      </w:r>
      <w:r w:rsidR="00C17885">
        <w:t xml:space="preserve">), </w:t>
      </w:r>
      <w:r w:rsidR="006D20D9">
        <w:t xml:space="preserve">with less focus on </w:t>
      </w:r>
      <w:r w:rsidR="00687FF1">
        <w:t xml:space="preserve">the application of semantics to support data and model interoperability. </w:t>
      </w:r>
      <w:r w:rsidR="0021636B">
        <w:t>However</w:t>
      </w:r>
      <w:r w:rsidR="004D3B35">
        <w:t xml:space="preserve">, </w:t>
      </w:r>
      <w:r w:rsidR="009A5769">
        <w:t xml:space="preserve">ontologies can </w:t>
      </w:r>
      <w:r w:rsidR="00A01FEA">
        <w:t>go beyond crosswalking approaches (</w:t>
      </w:r>
      <w:r w:rsidR="00A32B08">
        <w:t xml:space="preserve">e.g., </w:t>
      </w:r>
      <w:r w:rsidR="00FF0345">
        <w:t>U.N., 2021</w:t>
      </w:r>
      <w:r w:rsidR="00A01FEA">
        <w:t xml:space="preserve">) to </w:t>
      </w:r>
      <w:r w:rsidR="009A5769">
        <w:t xml:space="preserve">address </w:t>
      </w:r>
      <w:r w:rsidR="00203E4D">
        <w:t xml:space="preserve">longstanding ES classification challenges, </w:t>
      </w:r>
      <w:r w:rsidR="00143AF0">
        <w:t>more precisely defining ES to</w:t>
      </w:r>
      <w:r w:rsidR="00203E4D">
        <w:t xml:space="preserve"> </w:t>
      </w:r>
      <w:r w:rsidR="00143AF0">
        <w:t>minimize</w:t>
      </w:r>
      <w:r w:rsidR="0080553C">
        <w:t xml:space="preserve"> category mistakes</w:t>
      </w:r>
      <w:r w:rsidR="00143AF0">
        <w:t xml:space="preserve"> (Wallace and Jago, 2017)</w:t>
      </w:r>
      <w:r w:rsidR="00A01FEA">
        <w:t>.</w:t>
      </w:r>
    </w:p>
    <w:p w14:paraId="17EDF7CF" w14:textId="06D0DCEC" w:rsidR="00687FF1" w:rsidRPr="006C1B33" w:rsidRDefault="00687FF1" w:rsidP="000B12BC">
      <w:pPr>
        <w:autoSpaceDE w:val="0"/>
        <w:autoSpaceDN w:val="0"/>
        <w:adjustRightInd w:val="0"/>
        <w:spacing w:after="0" w:line="480" w:lineRule="auto"/>
        <w:rPr>
          <w:rFonts w:asciiTheme="majorHAnsi" w:hAnsiTheme="majorHAnsi" w:cstheme="majorHAnsi"/>
          <w:color w:val="000000"/>
        </w:rPr>
      </w:pPr>
      <w:r>
        <w:rPr>
          <w:rFonts w:asciiTheme="majorHAnsi" w:hAnsiTheme="majorHAnsi" w:cstheme="majorHAnsi"/>
          <w:color w:val="000000"/>
        </w:rPr>
        <w:t>For example,</w:t>
      </w:r>
      <w:r w:rsidRPr="006C1B33">
        <w:rPr>
          <w:rFonts w:asciiTheme="majorHAnsi" w:hAnsiTheme="majorHAnsi" w:cstheme="majorHAnsi"/>
          <w:color w:val="000000"/>
        </w:rPr>
        <w:t xml:space="preserve"> </w:t>
      </w:r>
      <w:r w:rsidR="00C264FD">
        <w:rPr>
          <w:rFonts w:asciiTheme="majorHAnsi" w:hAnsiTheme="majorHAnsi" w:cstheme="majorHAnsi"/>
          <w:color w:val="000000"/>
        </w:rPr>
        <w:t xml:space="preserve">certain </w:t>
      </w:r>
      <w:r>
        <w:rPr>
          <w:rFonts w:asciiTheme="majorHAnsi" w:hAnsiTheme="majorHAnsi" w:cstheme="majorHAnsi"/>
          <w:color w:val="000000"/>
        </w:rPr>
        <w:t xml:space="preserve">models define “pollination services” differently, precluding direct comparison (Rosa et al., 2020). </w:t>
      </w:r>
      <w:r w:rsidR="001375B4">
        <w:rPr>
          <w:rFonts w:asciiTheme="majorHAnsi" w:hAnsiTheme="majorHAnsi" w:cstheme="majorHAnsi"/>
          <w:color w:val="000000"/>
        </w:rPr>
        <w:t>These authors noted that</w:t>
      </w:r>
      <w:r>
        <w:rPr>
          <w:rFonts w:asciiTheme="majorHAnsi" w:hAnsiTheme="majorHAnsi" w:cstheme="majorHAnsi"/>
          <w:color w:val="000000"/>
        </w:rPr>
        <w:t xml:space="preserve"> </w:t>
      </w:r>
      <w:r w:rsidRPr="006C1B33">
        <w:rPr>
          <w:rFonts w:asciiTheme="majorHAnsi" w:hAnsiTheme="majorHAnsi" w:cstheme="majorHAnsi"/>
          <w:color w:val="000000"/>
        </w:rPr>
        <w:t xml:space="preserve">“while GLOBIO-ES… defines pollination services as </w:t>
      </w:r>
      <w:r w:rsidR="00B539DA">
        <w:rPr>
          <w:rFonts w:asciiTheme="majorHAnsi" w:hAnsiTheme="majorHAnsi" w:cstheme="majorHAnsi"/>
          <w:color w:val="000000"/>
        </w:rPr>
        <w:t>‘</w:t>
      </w:r>
      <w:r w:rsidR="00B539DA" w:rsidRPr="006C1B33">
        <w:rPr>
          <w:rFonts w:asciiTheme="majorHAnsi" w:hAnsiTheme="majorHAnsi" w:cstheme="majorHAnsi"/>
          <w:color w:val="000000"/>
        </w:rPr>
        <w:t xml:space="preserve">the </w:t>
      </w:r>
      <w:r w:rsidRPr="00481A7C">
        <w:rPr>
          <w:rFonts w:asciiTheme="majorHAnsi" w:hAnsiTheme="majorHAnsi" w:cstheme="majorHAnsi"/>
          <w:color w:val="000000"/>
        </w:rPr>
        <w:t>fraction of cropland potentially pollinated, relative to all available cropland</w:t>
      </w:r>
      <w:r w:rsidR="00B539DA">
        <w:rPr>
          <w:rFonts w:asciiTheme="majorHAnsi" w:hAnsiTheme="majorHAnsi" w:cstheme="majorHAnsi"/>
          <w:color w:val="000000"/>
        </w:rPr>
        <w:t>’</w:t>
      </w:r>
      <w:r w:rsidR="00B539DA" w:rsidRPr="006C1B33">
        <w:rPr>
          <w:rFonts w:asciiTheme="majorHAnsi" w:hAnsiTheme="majorHAnsi" w:cstheme="majorHAnsi"/>
          <w:color w:val="000000"/>
        </w:rPr>
        <w:t xml:space="preserve">, </w:t>
      </w:r>
      <w:r w:rsidRPr="006C1B33">
        <w:rPr>
          <w:rFonts w:asciiTheme="majorHAnsi" w:hAnsiTheme="majorHAnsi" w:cstheme="majorHAnsi"/>
          <w:color w:val="000000"/>
        </w:rPr>
        <w:t xml:space="preserve">InVEST defines it as </w:t>
      </w:r>
      <w:r w:rsidR="00B539DA">
        <w:rPr>
          <w:rFonts w:asciiTheme="majorHAnsi" w:hAnsiTheme="majorHAnsi" w:cstheme="majorHAnsi"/>
          <w:color w:val="000000"/>
        </w:rPr>
        <w:t>‘</w:t>
      </w:r>
      <w:r w:rsidRPr="006C1B33">
        <w:rPr>
          <w:rFonts w:asciiTheme="majorHAnsi" w:hAnsiTheme="majorHAnsi" w:cstheme="majorHAnsi"/>
          <w:color w:val="000000"/>
        </w:rPr>
        <w:t xml:space="preserve">the </w:t>
      </w:r>
      <w:r w:rsidRPr="00481A7C">
        <w:rPr>
          <w:rFonts w:asciiTheme="majorHAnsi" w:hAnsiTheme="majorHAnsi" w:cstheme="majorHAnsi"/>
          <w:color w:val="000000"/>
        </w:rPr>
        <w:t>proportion of agricultural lands whose pollination needs are met</w:t>
      </w:r>
      <w:r w:rsidR="00B539DA">
        <w:rPr>
          <w:rFonts w:asciiTheme="majorHAnsi" w:hAnsiTheme="majorHAnsi" w:cstheme="majorHAnsi"/>
          <w:color w:val="000000"/>
        </w:rPr>
        <w:t>’</w:t>
      </w:r>
      <w:r w:rsidR="006725B1">
        <w:rPr>
          <w:rFonts w:asciiTheme="majorHAnsi" w:hAnsiTheme="majorHAnsi" w:cstheme="majorHAnsi"/>
          <w:color w:val="000000"/>
        </w:rPr>
        <w:t>…</w:t>
      </w:r>
      <w:r w:rsidR="006725B1" w:rsidRPr="006C1B33">
        <w:rPr>
          <w:rFonts w:asciiTheme="majorHAnsi" w:hAnsiTheme="majorHAnsi" w:cstheme="majorHAnsi"/>
          <w:color w:val="000000"/>
        </w:rPr>
        <w:t xml:space="preserve"> </w:t>
      </w:r>
      <w:r w:rsidRPr="006C1B33">
        <w:rPr>
          <w:rFonts w:asciiTheme="majorHAnsi" w:hAnsiTheme="majorHAnsi" w:cstheme="majorHAnsi"/>
          <w:color w:val="000000"/>
        </w:rPr>
        <w:t>although similar in definition, mathematically these were calculated very differently</w:t>
      </w:r>
      <w:r>
        <w:rPr>
          <w:rFonts w:asciiTheme="majorHAnsi" w:hAnsiTheme="majorHAnsi" w:cstheme="majorHAnsi"/>
          <w:color w:val="000000"/>
        </w:rPr>
        <w:t>…</w:t>
      </w:r>
      <w:r w:rsidRPr="006C1B33">
        <w:rPr>
          <w:rFonts w:asciiTheme="majorHAnsi" w:hAnsiTheme="majorHAnsi" w:cstheme="majorHAnsi"/>
          <w:color w:val="000000"/>
        </w:rPr>
        <w:t xml:space="preserve"> making their direct comparison unfeasible.” Rosa et al. (2020) </w:t>
      </w:r>
      <w:r w:rsidR="00743A04">
        <w:rPr>
          <w:rFonts w:asciiTheme="majorHAnsi" w:hAnsiTheme="majorHAnsi" w:cstheme="majorHAnsi"/>
          <w:color w:val="000000"/>
        </w:rPr>
        <w:t>manually harmonized</w:t>
      </w:r>
      <w:r w:rsidRPr="006C1B33">
        <w:rPr>
          <w:rFonts w:asciiTheme="majorHAnsi" w:hAnsiTheme="majorHAnsi" w:cstheme="majorHAnsi"/>
          <w:color w:val="000000"/>
        </w:rPr>
        <w:t xml:space="preserve"> these metrics and </w:t>
      </w:r>
      <w:r w:rsidR="00743A04">
        <w:rPr>
          <w:rFonts w:asciiTheme="majorHAnsi" w:hAnsiTheme="majorHAnsi" w:cstheme="majorHAnsi"/>
          <w:color w:val="000000"/>
        </w:rPr>
        <w:t>compared</w:t>
      </w:r>
      <w:r w:rsidRPr="006C1B33">
        <w:rPr>
          <w:rFonts w:asciiTheme="majorHAnsi" w:hAnsiTheme="majorHAnsi" w:cstheme="majorHAnsi"/>
          <w:color w:val="000000"/>
        </w:rPr>
        <w:t xml:space="preserve"> their proportional changes across studies, but could such a process be automated?</w:t>
      </w:r>
      <w:r>
        <w:rPr>
          <w:rFonts w:asciiTheme="majorHAnsi" w:hAnsiTheme="majorHAnsi" w:cstheme="majorHAnsi"/>
          <w:color w:val="000000"/>
        </w:rPr>
        <w:t xml:space="preserve"> By encoding these definitions in a machine-</w:t>
      </w:r>
      <w:r w:rsidR="009842B0">
        <w:rPr>
          <w:rFonts w:asciiTheme="majorHAnsi" w:hAnsiTheme="majorHAnsi" w:cstheme="majorHAnsi"/>
          <w:color w:val="000000"/>
        </w:rPr>
        <w:t xml:space="preserve"> and human-</w:t>
      </w:r>
      <w:r>
        <w:rPr>
          <w:rFonts w:asciiTheme="majorHAnsi" w:hAnsiTheme="majorHAnsi" w:cstheme="majorHAnsi"/>
          <w:color w:val="000000"/>
        </w:rPr>
        <w:t xml:space="preserve">readable manner, we can lay the foundation for </w:t>
      </w:r>
      <w:r w:rsidR="00C264FD">
        <w:rPr>
          <w:rFonts w:asciiTheme="majorHAnsi" w:hAnsiTheme="majorHAnsi" w:cstheme="majorHAnsi"/>
          <w:color w:val="000000"/>
        </w:rPr>
        <w:t>improved</w:t>
      </w:r>
      <w:r>
        <w:rPr>
          <w:rFonts w:asciiTheme="majorHAnsi" w:hAnsiTheme="majorHAnsi" w:cstheme="majorHAnsi"/>
          <w:color w:val="000000"/>
        </w:rPr>
        <w:t xml:space="preserve"> intercomparison of model results by machines.</w:t>
      </w:r>
      <w:r w:rsidR="00743A04">
        <w:rPr>
          <w:rFonts w:asciiTheme="majorHAnsi" w:hAnsiTheme="majorHAnsi" w:cstheme="majorHAnsi"/>
          <w:color w:val="000000"/>
        </w:rPr>
        <w:t xml:space="preserve"> For </w:t>
      </w:r>
      <w:r w:rsidR="00743A04">
        <w:rPr>
          <w:rFonts w:asciiTheme="majorHAnsi" w:hAnsiTheme="majorHAnsi" w:cstheme="majorHAnsi"/>
          <w:color w:val="000000"/>
        </w:rPr>
        <w:lastRenderedPageBreak/>
        <w:t>example</w:t>
      </w:r>
      <w:r w:rsidR="004B2B58">
        <w:rPr>
          <w:rFonts w:asciiTheme="majorHAnsi" w:hAnsiTheme="majorHAnsi" w:cstheme="majorHAnsi"/>
          <w:color w:val="000000"/>
        </w:rPr>
        <w:t xml:space="preserve">, </w:t>
      </w:r>
      <w:r w:rsidR="00531C39">
        <w:rPr>
          <w:rFonts w:asciiTheme="majorHAnsi" w:hAnsiTheme="majorHAnsi" w:cstheme="majorHAnsi"/>
          <w:color w:val="000000"/>
        </w:rPr>
        <w:t xml:space="preserve">using the atomic concepts found in ARIES’ ontologies, the GLOBIO-ES </w:t>
      </w:r>
      <w:r w:rsidR="006775FE">
        <w:rPr>
          <w:rFonts w:asciiTheme="majorHAnsi" w:hAnsiTheme="majorHAnsi" w:cstheme="majorHAnsi"/>
          <w:color w:val="000000"/>
        </w:rPr>
        <w:t xml:space="preserve">(1) </w:t>
      </w:r>
      <w:r w:rsidR="00531C39">
        <w:rPr>
          <w:rFonts w:asciiTheme="majorHAnsi" w:hAnsiTheme="majorHAnsi" w:cstheme="majorHAnsi"/>
          <w:color w:val="000000"/>
        </w:rPr>
        <w:t xml:space="preserve">and InVEST </w:t>
      </w:r>
      <w:r w:rsidR="006775FE">
        <w:rPr>
          <w:rFonts w:asciiTheme="majorHAnsi" w:hAnsiTheme="majorHAnsi" w:cstheme="majorHAnsi"/>
          <w:color w:val="000000"/>
        </w:rPr>
        <w:t>(2) pollination services can be defined in a human- and machine-readable manner as follows</w:t>
      </w:r>
      <w:r w:rsidR="00743A04">
        <w:rPr>
          <w:rFonts w:asciiTheme="majorHAnsi" w:hAnsiTheme="majorHAnsi" w:cstheme="majorHAnsi"/>
          <w:color w:val="000000"/>
        </w:rPr>
        <w:t>:</w:t>
      </w:r>
    </w:p>
    <w:p w14:paraId="1F48795F" w14:textId="77777777" w:rsidR="00687FF1" w:rsidRPr="006C1B33" w:rsidRDefault="00687FF1" w:rsidP="000B12BC">
      <w:pPr>
        <w:autoSpaceDE w:val="0"/>
        <w:autoSpaceDN w:val="0"/>
        <w:adjustRightInd w:val="0"/>
        <w:spacing w:after="0" w:line="480" w:lineRule="auto"/>
        <w:rPr>
          <w:rFonts w:asciiTheme="majorHAnsi" w:hAnsiTheme="majorHAnsi" w:cstheme="majorHAnsi"/>
          <w:color w:val="000000"/>
        </w:rPr>
      </w:pPr>
    </w:p>
    <w:p w14:paraId="3A64FBB1" w14:textId="0514C105" w:rsidR="00687FF1" w:rsidRPr="006C1B33" w:rsidRDefault="006775FE" w:rsidP="000B12BC">
      <w:pPr>
        <w:autoSpaceDE w:val="0"/>
        <w:autoSpaceDN w:val="0"/>
        <w:adjustRightInd w:val="0"/>
        <w:spacing w:after="0" w:line="480" w:lineRule="auto"/>
        <w:rPr>
          <w:rFonts w:asciiTheme="majorHAnsi" w:hAnsiTheme="majorHAnsi" w:cstheme="majorHAnsi"/>
          <w:color w:val="000000"/>
        </w:rPr>
      </w:pPr>
      <w:r>
        <w:rPr>
          <w:rFonts w:asciiTheme="majorHAnsi" w:hAnsiTheme="majorHAnsi" w:cstheme="majorHAnsi"/>
          <w:color w:val="000000"/>
        </w:rPr>
        <w:t xml:space="preserve">(1) </w:t>
      </w:r>
      <w:r w:rsidR="00687FF1" w:rsidRPr="006C1B33">
        <w:rPr>
          <w:rFonts w:asciiTheme="majorHAnsi" w:hAnsiTheme="majorHAnsi" w:cstheme="majorHAnsi"/>
          <w:color w:val="000000"/>
        </w:rPr>
        <w:t>i</w:t>
      </w:r>
      <w:r w:rsidR="000231BF" w:rsidRPr="000231BF">
        <w:rPr>
          <w:rFonts w:asciiTheme="majorHAnsi" w:hAnsiTheme="majorHAnsi" w:cstheme="majorHAnsi"/>
        </w:rPr>
        <w:t>m:Proportion</w:t>
      </w:r>
      <w:r w:rsidR="00687FF1" w:rsidRPr="006C1B33">
        <w:rPr>
          <w:rFonts w:asciiTheme="majorHAnsi" w:hAnsiTheme="majorHAnsi" w:cstheme="majorHAnsi"/>
          <w:color w:val="000000"/>
        </w:rPr>
        <w:t xml:space="preserve"> of im:Potential agriculture:Pollinated landcover:Cropland</w:t>
      </w:r>
    </w:p>
    <w:p w14:paraId="4F188865" w14:textId="094C6D29" w:rsidR="00687FF1" w:rsidRDefault="006775FE" w:rsidP="000B12BC">
      <w:pPr>
        <w:autoSpaceDE w:val="0"/>
        <w:autoSpaceDN w:val="0"/>
        <w:adjustRightInd w:val="0"/>
        <w:spacing w:after="0" w:line="480" w:lineRule="auto"/>
        <w:rPr>
          <w:rFonts w:asciiTheme="majorHAnsi" w:hAnsiTheme="majorHAnsi" w:cstheme="majorHAnsi"/>
          <w:color w:val="000000"/>
        </w:rPr>
      </w:pPr>
      <w:r>
        <w:rPr>
          <w:rFonts w:asciiTheme="majorHAnsi" w:hAnsiTheme="majorHAnsi" w:cstheme="majorHAnsi"/>
          <w:color w:val="000000"/>
        </w:rPr>
        <w:t xml:space="preserve">(2) </w:t>
      </w:r>
      <w:r w:rsidR="00687FF1" w:rsidRPr="006C1B33">
        <w:rPr>
          <w:rFonts w:asciiTheme="majorHAnsi" w:hAnsiTheme="majorHAnsi" w:cstheme="majorHAnsi"/>
          <w:color w:val="000000"/>
        </w:rPr>
        <w:t xml:space="preserve">im:Proportion of </w:t>
      </w:r>
      <w:r w:rsidR="000231BF" w:rsidRPr="000231BF">
        <w:rPr>
          <w:rFonts w:asciiTheme="majorHAnsi" w:hAnsiTheme="majorHAnsi" w:cstheme="majorHAnsi"/>
        </w:rPr>
        <w:t>im:Realized</w:t>
      </w:r>
      <w:r w:rsidR="00687FF1" w:rsidRPr="006C1B33">
        <w:rPr>
          <w:rFonts w:asciiTheme="majorHAnsi" w:hAnsiTheme="majorHAnsi" w:cstheme="majorHAnsi"/>
          <w:color w:val="000000"/>
        </w:rPr>
        <w:t xml:space="preserve"> agriculture:Pollinated landcover:AgriculturalVegetation</w:t>
      </w:r>
    </w:p>
    <w:p w14:paraId="48747DDC" w14:textId="77777777" w:rsidR="003A5BD7" w:rsidRDefault="003A5BD7" w:rsidP="000B12BC">
      <w:pPr>
        <w:autoSpaceDE w:val="0"/>
        <w:autoSpaceDN w:val="0"/>
        <w:adjustRightInd w:val="0"/>
        <w:spacing w:after="0" w:line="480" w:lineRule="auto"/>
        <w:rPr>
          <w:rFonts w:asciiTheme="majorHAnsi" w:hAnsiTheme="majorHAnsi" w:cstheme="majorHAnsi"/>
          <w:color w:val="000000"/>
        </w:rPr>
      </w:pPr>
    </w:p>
    <w:p w14:paraId="316E97D4" w14:textId="653C74E6" w:rsidR="003A5BD7" w:rsidRPr="006C1B33" w:rsidRDefault="003A5BD7" w:rsidP="000B12BC">
      <w:pPr>
        <w:autoSpaceDE w:val="0"/>
        <w:autoSpaceDN w:val="0"/>
        <w:adjustRightInd w:val="0"/>
        <w:spacing w:after="0" w:line="480" w:lineRule="auto"/>
        <w:rPr>
          <w:rFonts w:asciiTheme="majorHAnsi" w:hAnsiTheme="majorHAnsi" w:cstheme="majorHAnsi"/>
          <w:color w:val="000000"/>
        </w:rPr>
      </w:pPr>
      <w:r>
        <w:rPr>
          <w:rFonts w:asciiTheme="majorHAnsi" w:hAnsiTheme="majorHAnsi" w:cstheme="majorHAnsi"/>
          <w:color w:val="000000"/>
        </w:rPr>
        <w:t>In this case, im refers to ARIES’ core ontology</w:t>
      </w:r>
      <w:r w:rsidR="00E4557F">
        <w:rPr>
          <w:rFonts w:asciiTheme="majorHAnsi" w:hAnsiTheme="majorHAnsi" w:cstheme="majorHAnsi"/>
          <w:color w:val="000000"/>
        </w:rPr>
        <w:t xml:space="preserve"> (containing </w:t>
      </w:r>
      <w:r w:rsidR="000A53D1">
        <w:rPr>
          <w:rFonts w:asciiTheme="majorHAnsi" w:hAnsiTheme="majorHAnsi" w:cstheme="majorHAnsi"/>
          <w:color w:val="000000"/>
        </w:rPr>
        <w:t xml:space="preserve">generalized scientific measurement concepts like </w:t>
      </w:r>
      <w:r w:rsidR="002743F2">
        <w:rPr>
          <w:rFonts w:asciiTheme="majorHAnsi" w:hAnsiTheme="majorHAnsi" w:cstheme="majorHAnsi"/>
          <w:color w:val="000000"/>
        </w:rPr>
        <w:t>“</w:t>
      </w:r>
      <w:r w:rsidR="000A53D1">
        <w:rPr>
          <w:rFonts w:asciiTheme="majorHAnsi" w:hAnsiTheme="majorHAnsi" w:cstheme="majorHAnsi"/>
          <w:color w:val="000000"/>
        </w:rPr>
        <w:t>Proportion</w:t>
      </w:r>
      <w:r w:rsidR="002743F2">
        <w:rPr>
          <w:rFonts w:asciiTheme="majorHAnsi" w:hAnsiTheme="majorHAnsi" w:cstheme="majorHAnsi"/>
          <w:color w:val="000000"/>
        </w:rPr>
        <w:t>”</w:t>
      </w:r>
      <w:r w:rsidR="000A53D1">
        <w:rPr>
          <w:rFonts w:asciiTheme="majorHAnsi" w:hAnsiTheme="majorHAnsi" w:cstheme="majorHAnsi"/>
          <w:color w:val="000000"/>
        </w:rPr>
        <w:t xml:space="preserve"> and </w:t>
      </w:r>
      <w:r w:rsidR="002743F2">
        <w:rPr>
          <w:rFonts w:asciiTheme="majorHAnsi" w:hAnsiTheme="majorHAnsi" w:cstheme="majorHAnsi"/>
          <w:color w:val="000000"/>
        </w:rPr>
        <w:t>“</w:t>
      </w:r>
      <w:r w:rsidR="000A53D1">
        <w:rPr>
          <w:rFonts w:asciiTheme="majorHAnsi" w:hAnsiTheme="majorHAnsi" w:cstheme="majorHAnsi"/>
          <w:color w:val="000000"/>
        </w:rPr>
        <w:t>Potential</w:t>
      </w:r>
      <w:r w:rsidR="002743F2">
        <w:rPr>
          <w:rFonts w:asciiTheme="majorHAnsi" w:hAnsiTheme="majorHAnsi" w:cstheme="majorHAnsi"/>
          <w:color w:val="000000"/>
        </w:rPr>
        <w:t>”</w:t>
      </w:r>
      <w:r w:rsidR="000A53D1">
        <w:rPr>
          <w:rFonts w:asciiTheme="majorHAnsi" w:hAnsiTheme="majorHAnsi" w:cstheme="majorHAnsi"/>
          <w:color w:val="000000"/>
        </w:rPr>
        <w:t xml:space="preserve"> vs. </w:t>
      </w:r>
      <w:r w:rsidR="002743F2">
        <w:rPr>
          <w:rFonts w:asciiTheme="majorHAnsi" w:hAnsiTheme="majorHAnsi" w:cstheme="majorHAnsi"/>
          <w:color w:val="000000"/>
        </w:rPr>
        <w:t>“</w:t>
      </w:r>
      <w:r w:rsidR="000A53D1">
        <w:rPr>
          <w:rFonts w:asciiTheme="majorHAnsi" w:hAnsiTheme="majorHAnsi" w:cstheme="majorHAnsi"/>
          <w:color w:val="000000"/>
        </w:rPr>
        <w:t>Realized</w:t>
      </w:r>
      <w:r w:rsidR="002743F2">
        <w:rPr>
          <w:rFonts w:asciiTheme="majorHAnsi" w:hAnsiTheme="majorHAnsi" w:cstheme="majorHAnsi"/>
          <w:color w:val="000000"/>
        </w:rPr>
        <w:t>”</w:t>
      </w:r>
      <w:r w:rsidR="00E4557F">
        <w:rPr>
          <w:rFonts w:asciiTheme="majorHAnsi" w:hAnsiTheme="majorHAnsi" w:cstheme="majorHAnsi"/>
          <w:color w:val="000000"/>
        </w:rPr>
        <w:t>)</w:t>
      </w:r>
      <w:r>
        <w:rPr>
          <w:rFonts w:asciiTheme="majorHAnsi" w:hAnsiTheme="majorHAnsi" w:cstheme="majorHAnsi"/>
          <w:color w:val="000000"/>
        </w:rPr>
        <w:t xml:space="preserve"> </w:t>
      </w:r>
      <w:r w:rsidR="00E4557F">
        <w:rPr>
          <w:rFonts w:asciiTheme="majorHAnsi" w:hAnsiTheme="majorHAnsi" w:cstheme="majorHAnsi"/>
          <w:color w:val="000000"/>
        </w:rPr>
        <w:t>and agriculture and landcover to two of ARIES’ domain ontologies,</w:t>
      </w:r>
      <w:r w:rsidR="000A53D1">
        <w:rPr>
          <w:rFonts w:asciiTheme="majorHAnsi" w:hAnsiTheme="majorHAnsi" w:cstheme="majorHAnsi"/>
          <w:color w:val="000000"/>
        </w:rPr>
        <w:t xml:space="preserve"> which </w:t>
      </w:r>
      <w:r w:rsidR="00C818A8">
        <w:rPr>
          <w:rFonts w:asciiTheme="majorHAnsi" w:hAnsiTheme="majorHAnsi" w:cstheme="majorHAnsi"/>
          <w:color w:val="000000"/>
        </w:rPr>
        <w:t xml:space="preserve">among other content </w:t>
      </w:r>
      <w:r w:rsidR="000A53D1">
        <w:rPr>
          <w:rFonts w:asciiTheme="majorHAnsi" w:hAnsiTheme="majorHAnsi" w:cstheme="majorHAnsi"/>
          <w:color w:val="000000"/>
        </w:rPr>
        <w:t xml:space="preserve">contain </w:t>
      </w:r>
      <w:r w:rsidR="008F715C">
        <w:rPr>
          <w:rFonts w:asciiTheme="majorHAnsi" w:hAnsiTheme="majorHAnsi" w:cstheme="majorHAnsi"/>
          <w:color w:val="000000"/>
        </w:rPr>
        <w:t xml:space="preserve">agricultural concepts </w:t>
      </w:r>
      <w:r w:rsidR="00DA52DD">
        <w:rPr>
          <w:rFonts w:asciiTheme="majorHAnsi" w:hAnsiTheme="majorHAnsi" w:cstheme="majorHAnsi"/>
          <w:color w:val="000000"/>
        </w:rPr>
        <w:t xml:space="preserve">(aligned, to the extent possible, with </w:t>
      </w:r>
      <w:r w:rsidR="00DA52DD" w:rsidRPr="006D1F2A">
        <w:rPr>
          <w:rFonts w:asciiTheme="majorHAnsi" w:hAnsiTheme="majorHAnsi" w:cstheme="majorHAnsi"/>
          <w:color w:val="000000"/>
        </w:rPr>
        <w:t>FAO’s AGROVOC</w:t>
      </w:r>
      <w:r w:rsidR="00DA52DD">
        <w:rPr>
          <w:rFonts w:asciiTheme="majorHAnsi" w:hAnsiTheme="majorHAnsi" w:cstheme="majorHAnsi"/>
          <w:color w:val="000000"/>
        </w:rPr>
        <w:t xml:space="preserve"> vocabulary) </w:t>
      </w:r>
      <w:r w:rsidR="0004178A">
        <w:rPr>
          <w:rFonts w:asciiTheme="majorHAnsi" w:hAnsiTheme="majorHAnsi" w:cstheme="majorHAnsi"/>
          <w:color w:val="000000"/>
        </w:rPr>
        <w:t xml:space="preserve">and a </w:t>
      </w:r>
      <w:r w:rsidR="008F715C">
        <w:rPr>
          <w:rFonts w:asciiTheme="majorHAnsi" w:hAnsiTheme="majorHAnsi" w:cstheme="majorHAnsi"/>
          <w:color w:val="000000"/>
        </w:rPr>
        <w:t xml:space="preserve">basic ontology for </w:t>
      </w:r>
      <w:r w:rsidR="003942AE">
        <w:rPr>
          <w:rFonts w:asciiTheme="majorHAnsi" w:hAnsiTheme="majorHAnsi" w:cstheme="majorHAnsi"/>
          <w:color w:val="000000"/>
        </w:rPr>
        <w:t xml:space="preserve">land cover types, respectively. </w:t>
      </w:r>
    </w:p>
    <w:p w14:paraId="781EBF5F" w14:textId="659DACCF" w:rsidR="00743A04" w:rsidRDefault="006775FE" w:rsidP="000B12BC">
      <w:pPr>
        <w:spacing w:before="240" w:after="240" w:line="480" w:lineRule="auto"/>
      </w:pPr>
      <w:r>
        <w:t xml:space="preserve">These definitions establish </w:t>
      </w:r>
      <w:r w:rsidR="005B1BC3">
        <w:t xml:space="preserve">both the similarities and differences </w:t>
      </w:r>
      <w:r w:rsidR="00280FF7">
        <w:t xml:space="preserve">between the two definitions of the pollination ES, namely </w:t>
      </w:r>
      <w:r w:rsidR="00F5683E">
        <w:t>the distinction between “</w:t>
      </w:r>
      <w:r w:rsidR="00D32BAA">
        <w:t>P</w:t>
      </w:r>
      <w:r w:rsidR="00F5683E">
        <w:t>otential” (GLOBIO-ES) and “</w:t>
      </w:r>
      <w:r w:rsidR="00D32BAA">
        <w:t>R</w:t>
      </w:r>
      <w:r w:rsidR="00F5683E">
        <w:t xml:space="preserve">ealized” (InVEST) </w:t>
      </w:r>
      <w:r w:rsidR="00767F83">
        <w:t>and the broader definition of lands receiving pollination in InVEST (</w:t>
      </w:r>
      <w:r w:rsidR="009F6294">
        <w:t>“</w:t>
      </w:r>
      <w:r w:rsidR="00D32BAA">
        <w:t>Cropland</w:t>
      </w:r>
      <w:r w:rsidR="009F6294">
        <w:t>”</w:t>
      </w:r>
      <w:r w:rsidR="00D32BAA">
        <w:t xml:space="preserve"> is a child concept of </w:t>
      </w:r>
      <w:r w:rsidR="009F6294">
        <w:t>“</w:t>
      </w:r>
      <w:r w:rsidR="00D32BAA">
        <w:t>AgriculturalVegetation</w:t>
      </w:r>
      <w:r w:rsidR="009F6294">
        <w:t>”</w:t>
      </w:r>
      <w:r w:rsidR="00D32BAA">
        <w:t>).</w:t>
      </w:r>
      <w:r w:rsidR="00280FF7">
        <w:t xml:space="preserve"> </w:t>
      </w:r>
      <w:r w:rsidR="00743A04">
        <w:t xml:space="preserve">Further work is needed to develop such semantics across a wider range </w:t>
      </w:r>
      <w:r w:rsidR="0096051F">
        <w:t xml:space="preserve">of </w:t>
      </w:r>
      <w:r w:rsidR="00743A04">
        <w:t>ecosystem services and achieve consensus on their use.</w:t>
      </w:r>
    </w:p>
    <w:p w14:paraId="5BF415F0" w14:textId="5EF4EBFC" w:rsidR="008131CA" w:rsidRPr="003A1E3B" w:rsidRDefault="008131CA" w:rsidP="000B12BC">
      <w:pPr>
        <w:spacing w:before="240" w:line="480" w:lineRule="auto"/>
        <w:rPr>
          <w:i/>
          <w:iCs/>
        </w:rPr>
      </w:pPr>
      <w:r>
        <w:rPr>
          <w:i/>
          <w:iCs/>
        </w:rPr>
        <w:t>3.5</w:t>
      </w:r>
      <w:r w:rsidRPr="003A1E3B">
        <w:rPr>
          <w:i/>
          <w:iCs/>
        </w:rPr>
        <w:t xml:space="preserve"> Applying semantics to quantitative ecosystem service assessments</w:t>
      </w:r>
    </w:p>
    <w:p w14:paraId="2D9661BC" w14:textId="3BD88C46" w:rsidR="00720700" w:rsidRDefault="00720700" w:rsidP="000B12BC">
      <w:pPr>
        <w:spacing w:before="240" w:after="240" w:line="480" w:lineRule="auto"/>
      </w:pPr>
      <w:r>
        <w:t xml:space="preserve">Greater interoperability of ES models increases the flexibility of an interoperable system to choose the best model for the question being asked, rather than applying a single model to all problems. Given the well-known axiom that “all models are wrong, but some are useful” (Box, 1976), the ability to select the most appropriate model, rather than to rely solely on the most familiar model, as modelers often do (Melsen, 2022, Puy and Saltelli, 2023), is highly valuable. The ability to readily substitute alternative models for the same question aligns well with a </w:t>
      </w:r>
      <w:r>
        <w:rPr>
          <w:i/>
        </w:rPr>
        <w:t xml:space="preserve">tiered ES modeling </w:t>
      </w:r>
      <w:r>
        <w:t xml:space="preserve">approach, where more complex </w:t>
      </w:r>
      <w:r>
        <w:lastRenderedPageBreak/>
        <w:t xml:space="preserve">models can readily replace simpler ones when data exist and it is appropriate to do so (Kareiva et al., 2011, Martinez-Lopez et al., 2019). A tiered ES modeling approach can be supported by recent work to build a living, crowdsourced inventory of globally applicable ES models (Bulckaen et al., 2024). With appropriate AI assistance, the one-off or place-specific character of data and models can be turned from a limitation into an advantage, as AI can transparently substitute between ad-hoc and more generalized solutions when </w:t>
      </w:r>
      <w:r w:rsidR="00355CCA">
        <w:t>appropriate</w:t>
      </w:r>
      <w:r>
        <w:t>.</w:t>
      </w:r>
    </w:p>
    <w:p w14:paraId="1667013E" w14:textId="4C98D21E" w:rsidR="00335515" w:rsidRDefault="008131CA" w:rsidP="000B12BC">
      <w:pPr>
        <w:spacing w:before="240" w:after="240" w:line="480" w:lineRule="auto"/>
      </w:pPr>
      <w:r>
        <w:t xml:space="preserve">Drawing on a </w:t>
      </w:r>
      <w:r w:rsidR="00AF1DEA">
        <w:t xml:space="preserve">community-contributed </w:t>
      </w:r>
      <w:r>
        <w:t xml:space="preserve">body of knowledge offers far more flexibility than an individual ES modeler could ever achieve. </w:t>
      </w:r>
      <w:r w:rsidR="00135D96">
        <w:t xml:space="preserve">Consider, for example, the case of soil erosion control modeling, </w:t>
      </w:r>
      <w:r w:rsidR="00B24993">
        <w:t xml:space="preserve">for which ES modelers </w:t>
      </w:r>
      <w:r w:rsidR="00CF4816">
        <w:t xml:space="preserve">often </w:t>
      </w:r>
      <w:r w:rsidR="00B24993">
        <w:t xml:space="preserve">apply </w:t>
      </w:r>
      <w:r w:rsidR="004D6DF2">
        <w:t>variant</w:t>
      </w:r>
      <w:r w:rsidR="00A117C1">
        <w:t>s</w:t>
      </w:r>
      <w:r w:rsidR="004D6DF2">
        <w:t xml:space="preserve"> of the</w:t>
      </w:r>
      <w:r w:rsidR="00B24993">
        <w:t xml:space="preserve"> Revised Universal Soil Loss Equation (RUSLE) </w:t>
      </w:r>
      <w:r w:rsidR="004D6DF2">
        <w:t xml:space="preserve">model, </w:t>
      </w:r>
      <w:r w:rsidR="00B24993">
        <w:t xml:space="preserve">despite </w:t>
      </w:r>
      <w:r w:rsidR="002A4EEC">
        <w:t xml:space="preserve">its </w:t>
      </w:r>
      <w:r w:rsidR="00331A8E">
        <w:t>well-known</w:t>
      </w:r>
      <w:r w:rsidR="002A4EEC">
        <w:t xml:space="preserve"> limitations. </w:t>
      </w:r>
      <w:r w:rsidR="00012E4A">
        <w:t xml:space="preserve">A modeler </w:t>
      </w:r>
      <w:r w:rsidR="001A1DDA">
        <w:t xml:space="preserve">tasked with assessing the impacts of </w:t>
      </w:r>
      <w:r w:rsidR="004E0D0F">
        <w:t>land</w:t>
      </w:r>
      <w:r w:rsidR="00152B5D">
        <w:t xml:space="preserve"> management programs on soil erosion </w:t>
      </w:r>
      <w:r w:rsidR="00B643EC">
        <w:t xml:space="preserve">might </w:t>
      </w:r>
      <w:r w:rsidR="00BF6A00">
        <w:t xml:space="preserve">have </w:t>
      </w:r>
      <w:r w:rsidR="00A825D1">
        <w:t xml:space="preserve">relevant local </w:t>
      </w:r>
      <w:r w:rsidR="00C578AC">
        <w:t xml:space="preserve">datasets </w:t>
      </w:r>
      <w:r w:rsidR="00CF4816">
        <w:t>representing</w:t>
      </w:r>
      <w:r w:rsidR="00C578AC">
        <w:t xml:space="preserve"> elevation, </w:t>
      </w:r>
      <w:r w:rsidR="00D8748B">
        <w:t xml:space="preserve">land cover, or soils, </w:t>
      </w:r>
      <w:r w:rsidR="005F6442">
        <w:t>as well as information on agricultural practice</w:t>
      </w:r>
      <w:r w:rsidR="00A825D1">
        <w:t>s</w:t>
      </w:r>
      <w:r w:rsidR="006D39B7">
        <w:t xml:space="preserve">. </w:t>
      </w:r>
      <w:r w:rsidR="00FC1105">
        <w:t xml:space="preserve">When local data are lacking, a modeler typically draws on </w:t>
      </w:r>
      <w:r w:rsidR="003173B1">
        <w:t>more generalized (e.g., continental</w:t>
      </w:r>
      <w:r w:rsidR="004A591C">
        <w:t xml:space="preserve"> or global</w:t>
      </w:r>
      <w:r w:rsidR="003173B1">
        <w:t>-scale) data.</w:t>
      </w:r>
      <w:r w:rsidR="00ED2E9C">
        <w:t xml:space="preserve"> However, </w:t>
      </w:r>
      <w:r w:rsidR="00CF5BDE">
        <w:t>past research</w:t>
      </w:r>
      <w:r w:rsidR="00612C5E">
        <w:t xml:space="preserve"> has described</w:t>
      </w:r>
      <w:r w:rsidR="00CF5BDE">
        <w:t xml:space="preserve"> </w:t>
      </w:r>
      <w:r w:rsidR="002E6EF1">
        <w:t xml:space="preserve">cases where alternative </w:t>
      </w:r>
      <w:r w:rsidR="00612C5E">
        <w:t xml:space="preserve">parameterizations </w:t>
      </w:r>
      <w:r w:rsidR="00287F6F">
        <w:t>and models</w:t>
      </w:r>
      <w:r w:rsidR="000805CB">
        <w:t xml:space="preserve"> are most appropriate </w:t>
      </w:r>
      <w:r w:rsidR="002E6EF1">
        <w:t>(</w:t>
      </w:r>
      <w:r w:rsidR="000805CB">
        <w:t xml:space="preserve">Benavidez et al., 2018; </w:t>
      </w:r>
      <w:r w:rsidR="002E6EF1">
        <w:t>Table 1).</w:t>
      </w:r>
      <w:r w:rsidR="00FC1105">
        <w:t xml:space="preserve"> </w:t>
      </w:r>
      <w:r w:rsidR="007D236A">
        <w:t xml:space="preserve">If </w:t>
      </w:r>
      <w:r w:rsidR="00294FCB">
        <w:t>alternative</w:t>
      </w:r>
      <w:r w:rsidR="007D236A">
        <w:t xml:space="preserve"> </w:t>
      </w:r>
      <w:r w:rsidR="00A85511">
        <w:t xml:space="preserve">approaches </w:t>
      </w:r>
      <w:r w:rsidR="007D236A">
        <w:t xml:space="preserve">are available in an interoperable </w:t>
      </w:r>
      <w:r w:rsidR="006D7350">
        <w:t xml:space="preserve">ES modeling </w:t>
      </w:r>
      <w:r w:rsidR="007D236A">
        <w:t xml:space="preserve">system, a modeler could automatically reuse these, </w:t>
      </w:r>
      <w:r w:rsidR="003F26F2">
        <w:t>when</w:t>
      </w:r>
      <w:r w:rsidR="007D236A">
        <w:t xml:space="preserve"> appropriate to their region of interest. </w:t>
      </w:r>
      <w:r w:rsidR="00D75B25">
        <w:t xml:space="preserve">Additionally, a modeler might have knowledge of erosion processes of interest in their region that are poorly represented </w:t>
      </w:r>
      <w:r w:rsidR="00B450DD">
        <w:t>by</w:t>
      </w:r>
      <w:r w:rsidR="00D75B25">
        <w:t xml:space="preserve"> RUSLE (e.g., erosion caused by wind, landslides, or streamflow, which causes streambank erosion). If a modeler knowledgeable of wind erosion modeling makes their model interoperable with other ES data and models, the wind erosion model could similarly be automatically reused when appropriate. </w:t>
      </w:r>
      <w:r w:rsidR="00335515">
        <w:t xml:space="preserve">Machine reasoning </w:t>
      </w:r>
      <w:r w:rsidR="00D75B25">
        <w:t>can</w:t>
      </w:r>
      <w:r w:rsidR="00335515">
        <w:t xml:space="preserve"> </w:t>
      </w:r>
      <w:r w:rsidR="007D2C22">
        <w:t xml:space="preserve">then </w:t>
      </w:r>
      <w:r w:rsidR="00335515">
        <w:t>automatically assemble and execute the workflow</w:t>
      </w:r>
      <w:r w:rsidR="00133287">
        <w:t xml:space="preserve"> most appropriate to the </w:t>
      </w:r>
      <w:r w:rsidR="00273CEA">
        <w:t>modeler’s</w:t>
      </w:r>
      <w:r w:rsidR="00133287">
        <w:t xml:space="preserve"> question</w:t>
      </w:r>
      <w:r w:rsidR="00335515">
        <w:t xml:space="preserve">. Benefiting from global datasets, multiple compatible modeling </w:t>
      </w:r>
      <w:r w:rsidR="00D75B25">
        <w:t>approaches</w:t>
      </w:r>
      <w:r w:rsidR="00335515">
        <w:t xml:space="preserve">, and local expertise, the modeler produces a state-of-the-art ES assessment (Figure 2). This coupled </w:t>
      </w:r>
      <w:r w:rsidR="00864175">
        <w:t xml:space="preserve">workflow </w:t>
      </w:r>
      <w:r w:rsidR="00335515">
        <w:lastRenderedPageBreak/>
        <w:t>can then be re-run when updated or improved data or models become available, keeping the assessment current and relevant</w:t>
      </w:r>
      <w:r w:rsidR="00953291">
        <w:t>. By making their own work interoperable, modelers</w:t>
      </w:r>
      <w:r w:rsidR="00E14656">
        <w:t xml:space="preserve"> also</w:t>
      </w:r>
      <w:r w:rsidR="00972F9B">
        <w:t xml:space="preserve"> improv</w:t>
      </w:r>
      <w:r w:rsidR="00E14656">
        <w:t>e</w:t>
      </w:r>
      <w:r w:rsidR="00972F9B">
        <w:t xml:space="preserve"> others’ work by </w:t>
      </w:r>
      <w:r w:rsidR="00E14656">
        <w:t xml:space="preserve">providing </w:t>
      </w:r>
      <w:r w:rsidR="00D27367">
        <w:t xml:space="preserve">knowledge that others can </w:t>
      </w:r>
      <w:r w:rsidR="00C0766C">
        <w:t>seamlessly reuse</w:t>
      </w:r>
      <w:r w:rsidR="00335515">
        <w:t>.</w:t>
      </w:r>
    </w:p>
    <w:p w14:paraId="6FA40A5B" w14:textId="0A85D26A" w:rsidR="00273CEA" w:rsidRDefault="00273CEA" w:rsidP="000B12BC">
      <w:pPr>
        <w:spacing w:before="240" w:line="480" w:lineRule="auto"/>
        <w:jc w:val="center"/>
      </w:pPr>
      <w:r>
        <w:t>(Table 1 about here)</w:t>
      </w:r>
    </w:p>
    <w:p w14:paraId="1F4E6F5C" w14:textId="6BC13F3D" w:rsidR="008131CA" w:rsidRDefault="008131CA" w:rsidP="000B12BC">
      <w:pPr>
        <w:spacing w:before="240" w:line="480" w:lineRule="auto"/>
        <w:jc w:val="center"/>
      </w:pPr>
      <w:r>
        <w:t xml:space="preserve">(Figure 2 about here) </w:t>
      </w:r>
    </w:p>
    <w:p w14:paraId="4E8434A8" w14:textId="77777777" w:rsidR="008131CA" w:rsidRPr="0060661A" w:rsidRDefault="008131CA" w:rsidP="000B12BC">
      <w:pPr>
        <w:spacing w:before="240" w:after="240" w:line="480" w:lineRule="auto"/>
        <w:rPr>
          <w:rFonts w:asciiTheme="majorHAnsi" w:hAnsiTheme="majorHAnsi" w:cstheme="majorHAnsi"/>
          <w:i/>
          <w:iCs/>
        </w:rPr>
      </w:pPr>
    </w:p>
    <w:p w14:paraId="3CCABD57" w14:textId="790AB1D4" w:rsidR="00C55C27" w:rsidRDefault="00154CAC" w:rsidP="000B12BC">
      <w:pPr>
        <w:spacing w:before="240" w:after="240" w:line="480" w:lineRule="auto"/>
        <w:rPr>
          <w:b/>
        </w:rPr>
      </w:pPr>
      <w:r>
        <w:rPr>
          <w:b/>
        </w:rPr>
        <w:t>4. International ecosystem service initiatives and interoperability</w:t>
      </w:r>
    </w:p>
    <w:p w14:paraId="48CE9968" w14:textId="033D9476" w:rsidR="00C55C27" w:rsidRDefault="00154CAC" w:rsidP="000B12BC">
      <w:pPr>
        <w:spacing w:before="240" w:after="240" w:line="480" w:lineRule="auto"/>
      </w:pPr>
      <w:r>
        <w:t xml:space="preserve">Three major international initiatives – IPBES, SEEA, and GEO BON – share common aspirations for ES monitoring and accounting, </w:t>
      </w:r>
      <w:r w:rsidR="00312C69">
        <w:t>but face</w:t>
      </w:r>
      <w:r>
        <w:t xml:space="preserve"> challenges in integrating large bodies of knowledge at local to global scales. Below, we review the state of these initiatives with regard to interoperability.</w:t>
      </w:r>
    </w:p>
    <w:p w14:paraId="38E00CB7" w14:textId="77777777" w:rsidR="00C55C27" w:rsidRDefault="00154CAC" w:rsidP="000B12BC">
      <w:pPr>
        <w:spacing w:before="240" w:after="240" w:line="480" w:lineRule="auto"/>
        <w:rPr>
          <w:i/>
        </w:rPr>
      </w:pPr>
      <w:r>
        <w:rPr>
          <w:i/>
        </w:rPr>
        <w:t>4.1 IPBES</w:t>
      </w:r>
    </w:p>
    <w:p w14:paraId="06548B78" w14:textId="7EA72F34" w:rsidR="00C55C27" w:rsidRDefault="00154CAC" w:rsidP="000B12BC">
      <w:pPr>
        <w:spacing w:before="240" w:after="240" w:line="480" w:lineRule="auto"/>
      </w:pPr>
      <w:r>
        <w:t xml:space="preserve">IPBES has five primary objectives – assessing knowledge, supporting policy, building capacity, strengthening knowledge foundations, and communication and engagement. IPBES’ assessments, built around knowledge synthesis, are one of its most critical functions. Such assessments aspire toward achievement of </w:t>
      </w:r>
      <w:r w:rsidR="00933A44">
        <w:t xml:space="preserve">both </w:t>
      </w:r>
      <w:r>
        <w:t xml:space="preserve">the FAIR Principles (Kim et al., 2023), </w:t>
      </w:r>
      <w:r w:rsidR="00933A44">
        <w:t>and</w:t>
      </w:r>
      <w:r>
        <w:t xml:space="preserve"> CARE Principles for Indigenous Data Governance (Collective benefit, Authority to control, Responsibility, Ethics; Carroll et al., 2020). Progress toward these </w:t>
      </w:r>
      <w:r w:rsidR="006807B7">
        <w:t xml:space="preserve">objectives </w:t>
      </w:r>
      <w:r>
        <w:t xml:space="preserve">has been made, for example, in making reporting of knowledge gaps, trends, and the status of nature from diverse knowledge systems more findable and accessible and in wider use of open and cloud-optimized file formats. An IPBES Ontology has been developed and </w:t>
      </w:r>
      <w:r w:rsidR="00126461">
        <w:t xml:space="preserve">used </w:t>
      </w:r>
      <w:r>
        <w:t>to support consistent reporting in literature reviews that underlie IPBES assessments (Dadvar and Niamir, 2024).</w:t>
      </w:r>
    </w:p>
    <w:p w14:paraId="74773CE7" w14:textId="7F7ABEEA" w:rsidR="00C55C27" w:rsidRPr="004D5AEF" w:rsidRDefault="00BF04B7" w:rsidP="000B12BC">
      <w:pPr>
        <w:spacing w:before="100" w:beforeAutospacing="1" w:after="100" w:afterAutospacing="1" w:line="480" w:lineRule="auto"/>
        <w:rPr>
          <w:rFonts w:ascii="Arial" w:eastAsia="Times New Roman" w:hAnsi="Arial" w:cs="Arial"/>
          <w:sz w:val="20"/>
          <w:szCs w:val="20"/>
        </w:rPr>
      </w:pPr>
      <w:r w:rsidRPr="004D5AEF">
        <w:rPr>
          <w:rFonts w:asciiTheme="majorHAnsi" w:eastAsia="Times New Roman" w:hAnsiTheme="majorHAnsi" w:cstheme="majorHAnsi"/>
          <w:color w:val="242424"/>
          <w:shd w:val="clear" w:color="auto" w:fill="FFFFFF"/>
        </w:rPr>
        <w:lastRenderedPageBreak/>
        <w:t xml:space="preserve">Interoperability would be an integral part of the ongoing IPBES monitoring assessment, which aims, </w:t>
      </w:r>
      <w:r w:rsidR="007442C4" w:rsidRPr="004D5AEF">
        <w:rPr>
          <w:rFonts w:asciiTheme="majorHAnsi" w:eastAsia="Times New Roman" w:hAnsiTheme="majorHAnsi" w:cstheme="majorHAnsi"/>
          <w:color w:val="242424"/>
          <w:shd w:val="clear" w:color="auto" w:fill="FFFFFF"/>
        </w:rPr>
        <w:t>among other things</w:t>
      </w:r>
      <w:r w:rsidRPr="004D5AEF">
        <w:rPr>
          <w:rFonts w:asciiTheme="majorHAnsi" w:eastAsia="Times New Roman" w:hAnsiTheme="majorHAnsi" w:cstheme="majorHAnsi"/>
          <w:color w:val="242424"/>
          <w:shd w:val="clear" w:color="auto" w:fill="FFFFFF"/>
        </w:rPr>
        <w:t>, to support national and international efforts to monitor progress towards the goals and targets of the Kunming-Montreal Global Biodiversity Framework (</w:t>
      </w:r>
      <w:r w:rsidR="004D5AEF" w:rsidRPr="004D5AEF">
        <w:rPr>
          <w:rFonts w:asciiTheme="majorHAnsi" w:eastAsia="Times New Roman" w:hAnsiTheme="majorHAnsi" w:cstheme="majorHAnsi"/>
          <w:color w:val="242424"/>
          <w:shd w:val="clear" w:color="auto" w:fill="FFFFFF"/>
        </w:rPr>
        <w:t>CBD, 2022</w:t>
      </w:r>
      <w:r w:rsidR="004D5AEF">
        <w:rPr>
          <w:rFonts w:asciiTheme="majorHAnsi" w:eastAsia="Times New Roman" w:hAnsiTheme="majorHAnsi" w:cstheme="majorHAnsi"/>
          <w:color w:val="242424"/>
          <w:shd w:val="clear" w:color="auto" w:fill="FFFFFF"/>
        </w:rPr>
        <w:t>a</w:t>
      </w:r>
      <w:r w:rsidRPr="004D5AEF">
        <w:rPr>
          <w:rFonts w:asciiTheme="majorHAnsi" w:eastAsia="Times New Roman" w:hAnsiTheme="majorHAnsi" w:cstheme="majorHAnsi"/>
          <w:color w:val="242424"/>
          <w:shd w:val="clear" w:color="auto" w:fill="FFFFFF"/>
        </w:rPr>
        <w:t>).</w:t>
      </w:r>
      <w:r w:rsidR="004D5AEF">
        <w:rPr>
          <w:rFonts w:ascii="Segoe UI" w:eastAsia="Times New Roman" w:hAnsi="Segoe UI" w:cs="Segoe UI"/>
          <w:color w:val="242424"/>
          <w:sz w:val="18"/>
          <w:szCs w:val="18"/>
          <w:shd w:val="clear" w:color="auto" w:fill="FFFFFF"/>
        </w:rPr>
        <w:t xml:space="preserve"> </w:t>
      </w:r>
      <w:r w:rsidR="00154CAC">
        <w:t xml:space="preserve">IPBES’ second global assessment is scheduled to begin in 2026 and </w:t>
      </w:r>
      <w:r w:rsidR="00395C65">
        <w:t>complete</w:t>
      </w:r>
      <w:r w:rsidR="00154CAC">
        <w:t xml:space="preserve"> by 2030. IPBES aspires to deliver results of this assessment in a fully FAIR manner (Dadvar et al., 2024a, b, c), from key messages in the summary for policymakers to supporting subchapters and their underlying resources and references. Much work remains to achieve this, ranging from pairing containerized models with machine-actionable data to more widespread and consistent use of rigorous semantics </w:t>
      </w:r>
      <w:r w:rsidR="00C100A3">
        <w:t xml:space="preserve">to </w:t>
      </w:r>
      <w:r w:rsidR="00154CAC">
        <w:t xml:space="preserve">describe IPBES data, knowledge, and scenarios. </w:t>
      </w:r>
    </w:p>
    <w:p w14:paraId="1D68609B" w14:textId="3276442A" w:rsidR="00C55C27" w:rsidRDefault="00154CAC" w:rsidP="000B12BC">
      <w:pPr>
        <w:spacing w:before="240" w:after="240" w:line="480" w:lineRule="auto"/>
      </w:pPr>
      <w:r>
        <w:t>Interoperability can also support IPBES’ monitoring assessment</w:t>
      </w:r>
      <w:r w:rsidR="0050284A">
        <w:t xml:space="preserve"> (IPBES, 2022b)</w:t>
      </w:r>
      <w:r>
        <w:t xml:space="preserve">, plus other objectives beyond the production of assessments. Given its mandate to assess knowledge, there is potential to use the FAIR Principles to improve the speed, transparency, and quality of IPBES’ knowledge delivery to stakeholders during capacity building and regional outreach activities. </w:t>
      </w:r>
    </w:p>
    <w:p w14:paraId="484EE95C" w14:textId="4EB176E8" w:rsidR="00C55C27" w:rsidRDefault="00154CAC" w:rsidP="000B12BC">
      <w:pPr>
        <w:spacing w:line="480" w:lineRule="auto"/>
        <w:rPr>
          <w:color w:val="000000"/>
        </w:rPr>
      </w:pPr>
      <w:r>
        <w:t xml:space="preserve">U.N. deliberative processes, which require consensus from all parties, have thus far yielded a slow uptake of the FAIR and CARE Principles. One reason for this is the unequal level of resources that countries </w:t>
      </w:r>
      <w:r w:rsidR="001B324C">
        <w:t>can</w:t>
      </w:r>
      <w:r>
        <w:t xml:space="preserve"> dedicate to IPBES and other Multilateral Environmental Agreements; those lacking resources </w:t>
      </w:r>
      <w:r w:rsidR="00C54E03">
        <w:t>also lack</w:t>
      </w:r>
      <w:r>
        <w:t xml:space="preserve"> capacity to support implementation of new technical requirements like FAIR. This suggests the need for further attention to regional capacity building on interoperability, demonstration of the value it adds, and development of tools to facilitate its achievement.</w:t>
      </w:r>
    </w:p>
    <w:p w14:paraId="165B3A1A" w14:textId="77777777" w:rsidR="00C55C27" w:rsidRDefault="00154CAC" w:rsidP="000B12BC">
      <w:pPr>
        <w:spacing w:before="240" w:after="240" w:line="480" w:lineRule="auto"/>
      </w:pPr>
      <w:r>
        <w:rPr>
          <w:i/>
        </w:rPr>
        <w:t>4.2 SEEA EA</w:t>
      </w:r>
    </w:p>
    <w:p w14:paraId="44D0BC74" w14:textId="7EE62820" w:rsidR="00C55C27" w:rsidRDefault="00154CAC" w:rsidP="000B12BC">
      <w:pPr>
        <w:pBdr>
          <w:top w:val="nil"/>
          <w:left w:val="nil"/>
          <w:bottom w:val="nil"/>
          <w:right w:val="nil"/>
          <w:between w:val="nil"/>
        </w:pBdr>
        <w:spacing w:after="0" w:line="480" w:lineRule="auto"/>
        <w:rPr>
          <w:color w:val="000000"/>
        </w:rPr>
      </w:pPr>
      <w:r>
        <w:rPr>
          <w:color w:val="000000"/>
        </w:rPr>
        <w:t xml:space="preserve">As an international standard for environmental-economic statistics, the SEEA by design involves formalization of definitions and methods that underlie consistent measurement and reporting on </w:t>
      </w:r>
      <w:r>
        <w:rPr>
          <w:color w:val="000000"/>
        </w:rPr>
        <w:lastRenderedPageBreak/>
        <w:t xml:space="preserve">natural resources (SEEA Central Framework), ecosystems and ES (SEEA EA), and their connection to economic statistics. </w:t>
      </w:r>
      <w:r w:rsidR="00BC1A38">
        <w:rPr>
          <w:color w:val="000000"/>
        </w:rPr>
        <w:t>C</w:t>
      </w:r>
      <w:r>
        <w:rPr>
          <w:color w:val="000000"/>
        </w:rPr>
        <w:t xml:space="preserve">reation and periodic </w:t>
      </w:r>
      <w:r w:rsidR="00BC0520">
        <w:rPr>
          <w:color w:val="000000"/>
        </w:rPr>
        <w:t xml:space="preserve">updates to </w:t>
      </w:r>
      <w:r>
        <w:rPr>
          <w:color w:val="000000"/>
        </w:rPr>
        <w:t xml:space="preserve">such standards follow an agreed development process that ultimately results in their adoption as standards by the U.N. Statistical Commission, which is comprised of national statistical offices from around the world (Edens et al., 2022). The U.N. Statistical Commission has guided the evolution of the System of National Accounts since the late 1940s and the SEEA since the early 1990s. Both systems require development of agreed concepts, definitions, measurement principles, and classifications, though their underlying definitions typically adhere to controlled vocabularies rather than ontologies. Given the inherent need for standardization that underlies national statistics, SEEA EA’s definitions could be used </w:t>
      </w:r>
      <w:r w:rsidR="002B4A75">
        <w:rPr>
          <w:color w:val="000000"/>
        </w:rPr>
        <w:t>to</w:t>
      </w:r>
      <w:r>
        <w:rPr>
          <w:color w:val="000000"/>
        </w:rPr>
        <w:t xml:space="preserve"> further </w:t>
      </w:r>
      <w:r w:rsidR="002B4A75">
        <w:rPr>
          <w:color w:val="000000"/>
        </w:rPr>
        <w:t xml:space="preserve">formalize </w:t>
      </w:r>
      <w:r>
        <w:rPr>
          <w:color w:val="000000"/>
        </w:rPr>
        <w:t xml:space="preserve">ES-related concepts into ontologies. The Statistical Data and Metadata eXchange (SDMX, 2024) is a set of standards, guidelines, and tools </w:t>
      </w:r>
      <w:r w:rsidR="00D30470">
        <w:rPr>
          <w:color w:val="000000"/>
        </w:rPr>
        <w:t xml:space="preserve">begun </w:t>
      </w:r>
      <w:r>
        <w:rPr>
          <w:color w:val="000000"/>
        </w:rPr>
        <w:t>in 2001 to facilitate semantic interoperability of statistical data; its interoperability with SEEA EA data will support integration of ES with national economic accounts.</w:t>
      </w:r>
    </w:p>
    <w:p w14:paraId="16DA9326" w14:textId="77777777" w:rsidR="00C55C27" w:rsidRDefault="00C55C27" w:rsidP="000B12BC">
      <w:pPr>
        <w:pBdr>
          <w:top w:val="nil"/>
          <w:left w:val="nil"/>
          <w:bottom w:val="nil"/>
          <w:right w:val="nil"/>
          <w:between w:val="nil"/>
        </w:pBdr>
        <w:spacing w:after="0" w:line="480" w:lineRule="auto"/>
        <w:rPr>
          <w:color w:val="000000"/>
        </w:rPr>
      </w:pPr>
    </w:p>
    <w:p w14:paraId="5A4BC696" w14:textId="3F07A129" w:rsidR="00C55C27" w:rsidRDefault="00154CAC" w:rsidP="000B12BC">
      <w:pPr>
        <w:pBdr>
          <w:top w:val="nil"/>
          <w:left w:val="nil"/>
          <w:bottom w:val="nil"/>
          <w:right w:val="nil"/>
          <w:between w:val="nil"/>
        </w:pBdr>
        <w:spacing w:after="0" w:line="480" w:lineRule="auto"/>
        <w:rPr>
          <w:color w:val="000000"/>
        </w:rPr>
      </w:pPr>
      <w:r>
        <w:t xml:space="preserve">Starting early in its development, </w:t>
      </w:r>
      <w:r>
        <w:rPr>
          <w:color w:val="000000"/>
        </w:rPr>
        <w:t xml:space="preserve">SEEA EA faced the challenge of quantifying ecosystems and their services. This required pairing the expertise of the statistical and ES modeling communities, and efforts to standardize ES definitions </w:t>
      </w:r>
      <w:r w:rsidR="00E24565">
        <w:rPr>
          <w:color w:val="000000"/>
        </w:rPr>
        <w:t xml:space="preserve">(e.g., U.N., 2021) </w:t>
      </w:r>
      <w:r>
        <w:rPr>
          <w:color w:val="000000"/>
        </w:rPr>
        <w:t xml:space="preserve">and measurement approaches. National statistical offices play a critical role in producing SEEA accounts, but lack familiarity with geospatial data and interdisciplinary </w:t>
      </w:r>
      <w:r w:rsidR="00C87B80">
        <w:rPr>
          <w:color w:val="000000"/>
        </w:rPr>
        <w:t xml:space="preserve">ES </w:t>
      </w:r>
      <w:r>
        <w:rPr>
          <w:color w:val="000000"/>
        </w:rPr>
        <w:t xml:space="preserve">modeling. A typical solution to this problem is for national statistical offices to partner with national mapping, environmental, and natural resource agencies and academia to produce SEEA EA accounts, but such collaborations require time and effort to mature. The challenge of jumpstarting the process of SEEA EA accounts production led to a partnership between the U.N. Statistics Division and the ARIES Project to develop ARIES for SEEA, a semantic interoperability-focused approach to compiling ecosystem accounts (see Box </w:t>
      </w:r>
      <w:r w:rsidR="00A9357C">
        <w:rPr>
          <w:color w:val="000000"/>
        </w:rPr>
        <w:t>3</w:t>
      </w:r>
      <w:r>
        <w:rPr>
          <w:color w:val="000000"/>
        </w:rPr>
        <w:t>).</w:t>
      </w:r>
    </w:p>
    <w:p w14:paraId="280E41A9" w14:textId="77777777" w:rsidR="00C55C27" w:rsidRDefault="00C55C27" w:rsidP="000B12BC">
      <w:pPr>
        <w:pBdr>
          <w:top w:val="nil"/>
          <w:left w:val="nil"/>
          <w:bottom w:val="nil"/>
          <w:right w:val="nil"/>
          <w:between w:val="nil"/>
        </w:pBdr>
        <w:spacing w:after="0" w:line="480" w:lineRule="auto"/>
        <w:rPr>
          <w:color w:val="000000"/>
        </w:rPr>
      </w:pPr>
    </w:p>
    <w:p w14:paraId="45F9A9B7" w14:textId="5CEA921B" w:rsidR="00C55C27" w:rsidRDefault="00154CAC" w:rsidP="000B12BC">
      <w:pPr>
        <w:pBdr>
          <w:top w:val="nil"/>
          <w:left w:val="nil"/>
          <w:bottom w:val="nil"/>
          <w:right w:val="nil"/>
          <w:between w:val="nil"/>
        </w:pBdr>
        <w:spacing w:after="0" w:line="480" w:lineRule="auto"/>
        <w:jc w:val="center"/>
        <w:rPr>
          <w:color w:val="000000"/>
        </w:rPr>
      </w:pPr>
      <w:r>
        <w:rPr>
          <w:color w:val="000000"/>
        </w:rPr>
        <w:t xml:space="preserve">(Box </w:t>
      </w:r>
      <w:r w:rsidR="00A9357C">
        <w:rPr>
          <w:color w:val="000000"/>
        </w:rPr>
        <w:t>3</w:t>
      </w:r>
      <w:r>
        <w:rPr>
          <w:color w:val="000000"/>
        </w:rPr>
        <w:t xml:space="preserve"> about here)</w:t>
      </w:r>
    </w:p>
    <w:p w14:paraId="15F0A999" w14:textId="77777777" w:rsidR="00C55C27" w:rsidRDefault="00154CAC" w:rsidP="000B12BC">
      <w:pPr>
        <w:numPr>
          <w:ilvl w:val="1"/>
          <w:numId w:val="4"/>
        </w:numPr>
        <w:pBdr>
          <w:top w:val="nil"/>
          <w:left w:val="nil"/>
          <w:bottom w:val="nil"/>
          <w:right w:val="nil"/>
          <w:between w:val="nil"/>
        </w:pBdr>
        <w:spacing w:before="240" w:after="240" w:line="480" w:lineRule="auto"/>
        <w:rPr>
          <w:i/>
          <w:color w:val="000000"/>
        </w:rPr>
      </w:pPr>
      <w:r>
        <w:rPr>
          <w:i/>
          <w:color w:val="000000"/>
        </w:rPr>
        <w:t>GEO BON</w:t>
      </w:r>
    </w:p>
    <w:p w14:paraId="4CA71D6F" w14:textId="392DD293" w:rsidR="00C55C27" w:rsidRDefault="00154CAC" w:rsidP="000B12BC">
      <w:pPr>
        <w:spacing w:before="240" w:after="240" w:line="480" w:lineRule="auto"/>
      </w:pPr>
      <w:r>
        <w:t xml:space="preserve">GEO BON works to develop biodiversity monitoring standards, synthesize global biodiversity knowledge, and guide decision making and policy (Scholes et al., 2012). Interoperability is required to support consistent measurement of </w:t>
      </w:r>
      <w:r w:rsidR="00237A1C">
        <w:t>bio</w:t>
      </w:r>
      <w:r>
        <w:t xml:space="preserve">diversity and ES and thus has been a core focus from </w:t>
      </w:r>
      <w:r w:rsidR="00CA4867">
        <w:t xml:space="preserve">GEO BON’s </w:t>
      </w:r>
      <w:r>
        <w:t>inception. Essential Biodiversity Variables (EBVs) were developed to standardize data collection and track biodiversity change across scales and locations with substantial community engagement put into their semantics and interoperability (Kissling et al., 2015, Hardisty et al., 2019).</w:t>
      </w:r>
      <w:r>
        <w:rPr>
          <w:vertAlign w:val="superscript"/>
        </w:rPr>
        <w:footnoteReference w:id="9"/>
      </w:r>
      <w:r>
        <w:t xml:space="preserve"> </w:t>
      </w:r>
    </w:p>
    <w:p w14:paraId="422116C6" w14:textId="3738AF72" w:rsidR="00C55C27" w:rsidRDefault="00154CAC" w:rsidP="000B12BC">
      <w:pPr>
        <w:spacing w:before="240" w:after="240" w:line="480" w:lineRule="auto"/>
      </w:pPr>
      <w:r>
        <w:t xml:space="preserve">More recently, “Essential Ecosystem Service Variables” (EESVs, Balvanera et al., 2022) </w:t>
      </w:r>
      <w:r w:rsidR="00BC1A38">
        <w:t>seek</w:t>
      </w:r>
      <w:r w:rsidR="00E31B68">
        <w:t xml:space="preserve"> </w:t>
      </w:r>
      <w:r>
        <w:t xml:space="preserve">to extend the EBV concept to ES, but their development remains in its early stages (Schwantes et al., 2024) and little effort has been placed on their semantic underpinnings. Further work is needed to conceptualize and operationalize EESVs and their relationship to EBVs, as well as Essential Ocean and Climate Variables, supporting their interoperability (Mazzetti et al., 2022). The ESOnto ontology (Ayuningsih, 2019, Drakou et al., 2019) was designed </w:t>
      </w:r>
      <w:r w:rsidR="00F517D0">
        <w:t>to formalize relationships between</w:t>
      </w:r>
      <w:r>
        <w:t xml:space="preserve"> ES</w:t>
      </w:r>
      <w:r w:rsidR="00540C18">
        <w:t xml:space="preserve"> concepts, to c</w:t>
      </w:r>
      <w:r w:rsidR="0043124F">
        <w:t>reate a standardized path for information flow across ES</w:t>
      </w:r>
      <w:r w:rsidR="0038242E">
        <w:t xml:space="preserve"> classification systems</w:t>
      </w:r>
      <w:r w:rsidR="00F31CD8">
        <w:t>,</w:t>
      </w:r>
      <w:r>
        <w:t xml:space="preserve"> </w:t>
      </w:r>
      <w:r w:rsidR="00F517D0">
        <w:t>and</w:t>
      </w:r>
      <w:r>
        <w:t xml:space="preserve"> underpinning </w:t>
      </w:r>
      <w:r w:rsidR="0038242E">
        <w:t xml:space="preserve">ecosystem </w:t>
      </w:r>
      <w:r>
        <w:t xml:space="preserve">attributes, by linking to ENVO. </w:t>
      </w:r>
      <w:r w:rsidR="00CE5BB8">
        <w:t xml:space="preserve">The ESMO ontology, by contrast, focuses on monitoring ES, </w:t>
      </w:r>
      <w:r w:rsidR="00466FF9">
        <w:t xml:space="preserve">emphasizing </w:t>
      </w:r>
      <w:r w:rsidR="008C6F3B">
        <w:t xml:space="preserve">the </w:t>
      </w:r>
      <w:r w:rsidR="0049786C">
        <w:t xml:space="preserve">diverse biophysical and socioeconomic aspects of ES </w:t>
      </w:r>
      <w:r w:rsidR="00801268">
        <w:t xml:space="preserve">and data </w:t>
      </w:r>
      <w:r w:rsidR="0049786C">
        <w:t xml:space="preserve">needed to do so </w:t>
      </w:r>
      <w:r w:rsidR="00234F19">
        <w:t xml:space="preserve">(Affinito et al., 2024). </w:t>
      </w:r>
    </w:p>
    <w:p w14:paraId="0A736F8B" w14:textId="6099BB83" w:rsidR="00C55C27" w:rsidRDefault="00154CAC" w:rsidP="000B12BC">
      <w:pPr>
        <w:spacing w:before="240" w:after="240" w:line="480" w:lineRule="auto"/>
      </w:pPr>
      <w:r>
        <w:lastRenderedPageBreak/>
        <w:t xml:space="preserve">GEO BON also proposes the development of a cloud-based Global Biodiversity Observation System (GBiOS) patterned on the existing climate monitoring system, </w:t>
      </w:r>
      <w:r w:rsidR="009907BF">
        <w:t xml:space="preserve">to </w:t>
      </w:r>
      <w:r>
        <w:t>integrate billions of observations into coherent predictive models (Gonzalez et al., 2023b,</w:t>
      </w:r>
      <w:r>
        <w:rPr>
          <w:color w:val="0000FF"/>
        </w:rPr>
        <w:t xml:space="preserve"> </w:t>
      </w:r>
      <w:r>
        <w:t xml:space="preserve">WMO, 2024). The GBiOS would be built upon EBVs and EESVs, enabling detection and attribution of biodiversity and ES change (Gonzalez et al., 2023a, b). Adherence to the FAIR and CARE Principles, and particularly interoperability, is critical for GBiOS. To support data analysis for GBiOS, GEO BON has developed "BON in a Box” (GEO BON, </w:t>
      </w:r>
      <w:r w:rsidR="00E93B7A">
        <w:t>2024c</w:t>
      </w:r>
      <w:r>
        <w:t>), a user-directed (i.e., non-automated) tool to streamline EBV production using adaptable scripts and pipelines</w:t>
      </w:r>
      <w:r w:rsidR="00D12931">
        <w:t xml:space="preserve"> (Griffith et al., 2024)</w:t>
      </w:r>
      <w:r>
        <w:t>. BON in a Box is programming language-agnostic and includes file format conversion scripts to support interoperability in its analysis pipeline. To date, it has not integrated formal ontologies or vocabularies. However, th</w:t>
      </w:r>
      <w:r w:rsidR="00BC1A38">
        <w:t>at</w:t>
      </w:r>
      <w:r>
        <w:t xml:space="preserve"> would be a necessary and natural next step once the </w:t>
      </w:r>
      <w:r w:rsidR="005F7F22">
        <w:t xml:space="preserve">needed </w:t>
      </w:r>
      <w:r>
        <w:t xml:space="preserve">semantic resources are available. BON in a Box could </w:t>
      </w:r>
      <w:r w:rsidR="00151C8E">
        <w:t xml:space="preserve">also </w:t>
      </w:r>
      <w:r>
        <w:t xml:space="preserve">be adapted to produce EESVs. In parallel to GBiOS, GEO BON </w:t>
      </w:r>
      <w:r w:rsidR="009D4DDF">
        <w:t>collaborators are developing</w:t>
      </w:r>
      <w:r>
        <w:t xml:space="preserve"> an ES Observation Network for consistently monitoring ES. To become reality, such a system must develop operational EESVs with strong semantic underpinnings, and would benefit from integration with BON in a Box and ARIES.</w:t>
      </w:r>
    </w:p>
    <w:p w14:paraId="098AD129" w14:textId="77777777" w:rsidR="00C55C27" w:rsidRDefault="00154CAC" w:rsidP="000B12BC">
      <w:pPr>
        <w:spacing w:before="240" w:after="240" w:line="480" w:lineRule="auto"/>
        <w:rPr>
          <w:i/>
        </w:rPr>
      </w:pPr>
      <w:r>
        <w:rPr>
          <w:i/>
        </w:rPr>
        <w:t>4.4 International ecosystem services initiatives: Summary</w:t>
      </w:r>
    </w:p>
    <w:p w14:paraId="2D86C512" w14:textId="4E47030D" w:rsidR="00C55C27" w:rsidRDefault="00154CAC" w:rsidP="000B12BC">
      <w:pPr>
        <w:spacing w:before="240" w:after="240" w:line="480" w:lineRule="auto"/>
        <w:rPr>
          <w:color w:val="000000"/>
        </w:rPr>
      </w:pPr>
      <w:r>
        <w:rPr>
          <w:color w:val="000000"/>
        </w:rPr>
        <w:t xml:space="preserve">While IPBES, SEEA EA, and GEO BON have important differences in their objectives, stakeholders, and capacity, they share two critical similarities – </w:t>
      </w:r>
      <w:r w:rsidR="00A910AC">
        <w:rPr>
          <w:color w:val="000000"/>
        </w:rPr>
        <w:t xml:space="preserve">their </w:t>
      </w:r>
      <w:r>
        <w:rPr>
          <w:color w:val="000000"/>
        </w:rPr>
        <w:t xml:space="preserve">(1) </w:t>
      </w:r>
      <w:r w:rsidR="00BC1A38">
        <w:rPr>
          <w:color w:val="000000"/>
        </w:rPr>
        <w:t>goal of</w:t>
      </w:r>
      <w:r>
        <w:rPr>
          <w:color w:val="000000"/>
        </w:rPr>
        <w:t xml:space="preserve"> monitor</w:t>
      </w:r>
      <w:r w:rsidR="00BC1A38">
        <w:rPr>
          <w:color w:val="000000"/>
        </w:rPr>
        <w:t>ing</w:t>
      </w:r>
      <w:r>
        <w:rPr>
          <w:color w:val="000000"/>
        </w:rPr>
        <w:t xml:space="preserve"> and account</w:t>
      </w:r>
      <w:r w:rsidR="00BC1A38">
        <w:rPr>
          <w:color w:val="000000"/>
        </w:rPr>
        <w:t>ing</w:t>
      </w:r>
      <w:r>
        <w:rPr>
          <w:color w:val="000000"/>
        </w:rPr>
        <w:t xml:space="preserve"> for changes in ES over time</w:t>
      </w:r>
      <w:r w:rsidR="00A910AC">
        <w:rPr>
          <w:color w:val="000000"/>
        </w:rPr>
        <w:t xml:space="preserve"> and</w:t>
      </w:r>
      <w:r>
        <w:rPr>
          <w:color w:val="000000"/>
        </w:rPr>
        <w:t xml:space="preserve"> (2) need to integrate a complex and highly dispersed body of scientific knowledge at subnational through global scales. Achieving these goals – particularly the ability to produce </w:t>
      </w:r>
      <w:r w:rsidR="008D40FB">
        <w:rPr>
          <w:color w:val="000000"/>
        </w:rPr>
        <w:t>scientifically robust</w:t>
      </w:r>
      <w:r w:rsidR="000C31AB">
        <w:rPr>
          <w:color w:val="000000"/>
        </w:rPr>
        <w:t>,</w:t>
      </w:r>
      <w:r w:rsidR="008D40FB">
        <w:rPr>
          <w:color w:val="000000"/>
        </w:rPr>
        <w:t xml:space="preserve"> </w:t>
      </w:r>
      <w:r>
        <w:rPr>
          <w:color w:val="000000"/>
        </w:rPr>
        <w:t>low</w:t>
      </w:r>
      <w:r w:rsidR="000C31AB">
        <w:rPr>
          <w:color w:val="000000"/>
        </w:rPr>
        <w:t>-</w:t>
      </w:r>
      <w:r>
        <w:rPr>
          <w:color w:val="000000"/>
        </w:rPr>
        <w:t xml:space="preserve">latency </w:t>
      </w:r>
      <w:r w:rsidR="000C31AB">
        <w:rPr>
          <w:color w:val="000000"/>
        </w:rPr>
        <w:t xml:space="preserve">data </w:t>
      </w:r>
      <w:r>
        <w:rPr>
          <w:color w:val="000000"/>
        </w:rPr>
        <w:t xml:space="preserve">– will be </w:t>
      </w:r>
      <w:r w:rsidR="007D3A0A">
        <w:rPr>
          <w:color w:val="000000"/>
        </w:rPr>
        <w:t>require</w:t>
      </w:r>
      <w:r>
        <w:rPr>
          <w:color w:val="000000"/>
        </w:rPr>
        <w:t xml:space="preserve"> a greater focus on interoperability by the initiatives themselves and the ES research community</w:t>
      </w:r>
      <w:r w:rsidR="007D3A0A">
        <w:rPr>
          <w:color w:val="000000"/>
        </w:rPr>
        <w:t xml:space="preserve"> (</w:t>
      </w:r>
      <w:r w:rsidR="007D3A0A">
        <w:t>Vári et al., 2024</w:t>
      </w:r>
      <w:r w:rsidR="007D3A0A">
        <w:rPr>
          <w:color w:val="000000"/>
        </w:rPr>
        <w:t>)</w:t>
      </w:r>
      <w:r>
        <w:rPr>
          <w:color w:val="000000"/>
        </w:rPr>
        <w:t xml:space="preserve">. The semantics, data, models, and scenarios supporting interoperability would also need to </w:t>
      </w:r>
      <w:r w:rsidR="00BC1A38">
        <w:rPr>
          <w:color w:val="000000"/>
        </w:rPr>
        <w:t>include</w:t>
      </w:r>
      <w:r>
        <w:rPr>
          <w:color w:val="000000"/>
        </w:rPr>
        <w:t xml:space="preserve"> closely related topics such as </w:t>
      </w:r>
      <w:r>
        <w:rPr>
          <w:color w:val="000000"/>
        </w:rPr>
        <w:lastRenderedPageBreak/>
        <w:t>ecosystem extent and condition and integration with economic data (needed for SEEA EA), biodiversity (needed for GEO BON), and other nature-related themes (COP28, 2023).</w:t>
      </w:r>
    </w:p>
    <w:p w14:paraId="26431FB4" w14:textId="2A532A68" w:rsidR="00C55C27" w:rsidRDefault="00154CAC" w:rsidP="000B12BC">
      <w:pPr>
        <w:spacing w:before="240" w:after="240" w:line="480" w:lineRule="auto"/>
        <w:rPr>
          <w:color w:val="000000"/>
        </w:rPr>
      </w:pPr>
      <w:r>
        <w:rPr>
          <w:color w:val="000000"/>
        </w:rPr>
        <w:t>Widespread use of interoperable data and models could transform these global initiatives, as national data producers, academics, and others could both provide data to, and draw data from, a global knowledge commons (Balbi et al., 2022). In the case of SEEA EA, national statistical offices and their partners tasked with developing ecosystem accounts could readily draw from federated, interoperable repositories, blend those data and models with their own national data and models, and, where appropriate, contribute their data and models to further enrich the global commons (Figure 3). Academics and other researchers could also draw from, and contribute to, the same commons, maximizing the impact of their science. GEO BON envisions a similar process through BON in a Box and GBiOS, which would ideally be interoperable with the approach being advanced for SEEA EA (U.N., 2024).</w:t>
      </w:r>
    </w:p>
    <w:p w14:paraId="7823FFE6" w14:textId="77777777" w:rsidR="00C55C27" w:rsidRDefault="00154CAC" w:rsidP="000B12BC">
      <w:pPr>
        <w:spacing w:before="240" w:after="240" w:line="480" w:lineRule="auto"/>
        <w:jc w:val="center"/>
      </w:pPr>
      <w:r>
        <w:t>(Figure 3 about here)</w:t>
      </w:r>
    </w:p>
    <w:p w14:paraId="181D0DA6" w14:textId="1B889C30" w:rsidR="00C55C27" w:rsidRDefault="00154CAC" w:rsidP="000B12BC">
      <w:pPr>
        <w:spacing w:before="240" w:after="240" w:line="480" w:lineRule="auto"/>
      </w:pPr>
      <w:r>
        <w:t xml:space="preserve">SEEA and GEO BON also play key roles in supporting the implementation of monitoring for the Global Biodiversity Framework, e.g., </w:t>
      </w:r>
      <w:r>
        <w:rPr>
          <w:color w:val="000000"/>
        </w:rPr>
        <w:t xml:space="preserve">Goals A and B and Targets 6, 11, and 21 (CBD, 2022b). Some components of the Kunming-Montreal Global Biodiversity Framework draw directly from SEEA EA, while others </w:t>
      </w:r>
      <w:r>
        <w:t xml:space="preserve">go beyond it, for instance by incorporating </w:t>
      </w:r>
      <w:r>
        <w:rPr>
          <w:color w:val="000000"/>
        </w:rPr>
        <w:t xml:space="preserve">worldviews from different disciplines to identify trends in social-ecological systems and ES. Improved </w:t>
      </w:r>
      <w:r>
        <w:t xml:space="preserve">alignment with SEEA-based headline indicators (CBD, 2022b) and semantics from ARIES would thus be beneficial. </w:t>
      </w:r>
    </w:p>
    <w:p w14:paraId="2AF09A3F" w14:textId="77777777" w:rsidR="009A0CAE" w:rsidRDefault="009A0CAE" w:rsidP="000B12BC">
      <w:pPr>
        <w:spacing w:before="240" w:after="240" w:line="480" w:lineRule="auto"/>
      </w:pPr>
    </w:p>
    <w:p w14:paraId="2DA14CC8" w14:textId="77777777" w:rsidR="00C55C27" w:rsidRDefault="00154CAC" w:rsidP="000B12BC">
      <w:pPr>
        <w:spacing w:before="240" w:after="240" w:line="480" w:lineRule="auto"/>
        <w:rPr>
          <w:b/>
        </w:rPr>
      </w:pPr>
      <w:r>
        <w:rPr>
          <w:b/>
        </w:rPr>
        <w:t>5. Next steps toward interoperability for ecosystem services</w:t>
      </w:r>
    </w:p>
    <w:p w14:paraId="64A34E30" w14:textId="1C88F95B" w:rsidR="00A9664F" w:rsidRPr="00A9664F" w:rsidRDefault="00A9664F" w:rsidP="000B12BC">
      <w:pPr>
        <w:spacing w:before="240" w:after="240" w:line="480" w:lineRule="auto"/>
        <w:rPr>
          <w:i/>
          <w:iCs/>
        </w:rPr>
      </w:pPr>
      <w:r>
        <w:rPr>
          <w:i/>
          <w:iCs/>
        </w:rPr>
        <w:lastRenderedPageBreak/>
        <w:t>5.1 An interoperability community of practice for ecosystem services</w:t>
      </w:r>
    </w:p>
    <w:p w14:paraId="13595CD9" w14:textId="30EF9D3A" w:rsidR="005725E3" w:rsidRDefault="00E551CE" w:rsidP="000B12BC">
      <w:pPr>
        <w:spacing w:before="240" w:after="240" w:line="480" w:lineRule="auto"/>
      </w:pPr>
      <w:r>
        <w:t>W</w:t>
      </w:r>
      <w:r w:rsidR="00E11D82">
        <w:t xml:space="preserve">idely applied, community-endorsed </w:t>
      </w:r>
      <w:r w:rsidR="003907FE">
        <w:t xml:space="preserve">semantic </w:t>
      </w:r>
      <w:r w:rsidR="00B07894">
        <w:t xml:space="preserve">standards </w:t>
      </w:r>
      <w:r>
        <w:t>are needed to</w:t>
      </w:r>
      <w:r w:rsidR="00EB7D6D">
        <w:t xml:space="preserve"> advance interoperability</w:t>
      </w:r>
      <w:r>
        <w:t xml:space="preserve"> for ES, yet </w:t>
      </w:r>
      <w:r w:rsidR="00685949">
        <w:t>t</w:t>
      </w:r>
      <w:r>
        <w:t xml:space="preserve">he semantic resources described in section 3.1 have </w:t>
      </w:r>
      <w:r w:rsidR="00073257">
        <w:t xml:space="preserve">important gaps and have </w:t>
      </w:r>
      <w:r>
        <w:t xml:space="preserve">not yet been </w:t>
      </w:r>
      <w:r w:rsidR="00073257">
        <w:t>widely adopted</w:t>
      </w:r>
      <w:r>
        <w:t>.</w:t>
      </w:r>
      <w:r w:rsidR="00EB7D6D">
        <w:t xml:space="preserve"> </w:t>
      </w:r>
      <w:r>
        <w:t xml:space="preserve">Given this need, </w:t>
      </w:r>
      <w:r w:rsidR="00B07894">
        <w:t xml:space="preserve">we believe </w:t>
      </w:r>
      <w:r w:rsidR="00EB7D6D">
        <w:t>a</w:t>
      </w:r>
      <w:r w:rsidR="00B07894">
        <w:t xml:space="preserve"> next critical step </w:t>
      </w:r>
      <w:r w:rsidR="00EB7D6D">
        <w:t>lies</w:t>
      </w:r>
      <w:r w:rsidR="00B07894">
        <w:t xml:space="preserve"> </w:t>
      </w:r>
      <w:r w:rsidR="004C1BB3">
        <w:t xml:space="preserve">in </w:t>
      </w:r>
      <w:r w:rsidR="00B07894">
        <w:t xml:space="preserve">the creation of a community of practice </w:t>
      </w:r>
      <w:r w:rsidR="002C7031">
        <w:t>supporting</w:t>
      </w:r>
      <w:r w:rsidR="00B07894">
        <w:t xml:space="preserve"> </w:t>
      </w:r>
      <w:r w:rsidR="005C6480">
        <w:t>interoperability</w:t>
      </w:r>
      <w:r w:rsidR="00B07894">
        <w:t xml:space="preserve"> </w:t>
      </w:r>
      <w:r w:rsidR="00E11D82">
        <w:t xml:space="preserve">across </w:t>
      </w:r>
      <w:r w:rsidR="009062F4">
        <w:t xml:space="preserve">the ES community. </w:t>
      </w:r>
      <w:r w:rsidR="005725E3">
        <w:t xml:space="preserve">Past efforts to engage the ES community, for instance, regarding data standards (Crossman et al., 2013, Drakou et al., 2015), have met limited participation, likely due to their perception as “too technical.” </w:t>
      </w:r>
      <w:r w:rsidR="00987426">
        <w:t xml:space="preserve">Yet, improved interoperability </w:t>
      </w:r>
      <w:r w:rsidR="00C032DD">
        <w:t>is critical</w:t>
      </w:r>
      <w:r w:rsidR="00537B1F">
        <w:t xml:space="preserve"> to </w:t>
      </w:r>
      <w:r w:rsidR="009F0F19">
        <w:t>address the knowledge fragmentation challenge that limi</w:t>
      </w:r>
      <w:r w:rsidR="00295677">
        <w:t>t</w:t>
      </w:r>
      <w:r w:rsidR="00C032DD">
        <w:t>s</w:t>
      </w:r>
      <w:r w:rsidR="00295677">
        <w:t xml:space="preserve"> widespread </w:t>
      </w:r>
      <w:r w:rsidR="00C032DD">
        <w:t xml:space="preserve">ES and nature </w:t>
      </w:r>
      <w:r w:rsidR="00295677">
        <w:t xml:space="preserve">monitoring and reporting </w:t>
      </w:r>
      <w:r w:rsidR="00D347A5">
        <w:t>(i.e., TNFD, 2024)</w:t>
      </w:r>
      <w:r w:rsidR="009F0F19">
        <w:t xml:space="preserve">. </w:t>
      </w:r>
      <w:r w:rsidR="005725E3">
        <w:t xml:space="preserve">Despite </w:t>
      </w:r>
      <w:r w:rsidR="001A4CE8">
        <w:t>the size of the challenge</w:t>
      </w:r>
      <w:r w:rsidR="005725E3">
        <w:t xml:space="preserve">, it is notable that approaches needed to achieve interoperability </w:t>
      </w:r>
      <w:r w:rsidR="00833A96">
        <w:t>can provide critical</w:t>
      </w:r>
      <w:r w:rsidR="005725E3">
        <w:t xml:space="preserve"> benefit</w:t>
      </w:r>
      <w:r w:rsidR="00833A96">
        <w:t>s to</w:t>
      </w:r>
      <w:r w:rsidR="005725E3">
        <w:t xml:space="preserve"> the ES community when applied consistently across different modeling approaches and platforms.</w:t>
      </w:r>
    </w:p>
    <w:p w14:paraId="0C11B609" w14:textId="58E1BB85" w:rsidR="00F61CDE" w:rsidRDefault="008B2336" w:rsidP="000B12BC">
      <w:pPr>
        <w:spacing w:before="240" w:after="240" w:line="480" w:lineRule="auto"/>
      </w:pPr>
      <w:r>
        <w:t xml:space="preserve">Returning to the notably successful example in genomics, </w:t>
      </w:r>
      <w:r w:rsidR="00F80AEC">
        <w:t xml:space="preserve">such </w:t>
      </w:r>
      <w:r w:rsidR="00F61E6E">
        <w:t xml:space="preserve">an effort </w:t>
      </w:r>
      <w:r w:rsidR="00E44A15">
        <w:t xml:space="preserve">could </w:t>
      </w:r>
      <w:r w:rsidR="00F47C9D">
        <w:t>draw inspiration from</w:t>
      </w:r>
      <w:r w:rsidR="002852ED">
        <w:t xml:space="preserve"> </w:t>
      </w:r>
      <w:r w:rsidR="00FB6EF7">
        <w:t xml:space="preserve">that community’s </w:t>
      </w:r>
      <w:r w:rsidR="002852ED">
        <w:t>success criteria</w:t>
      </w:r>
      <w:r w:rsidR="00FB6EF7">
        <w:t xml:space="preserve"> for semantics </w:t>
      </w:r>
      <w:r w:rsidR="002257B1">
        <w:t>– “</w:t>
      </w:r>
      <w:r w:rsidR="002257B1" w:rsidRPr="004701C6">
        <w:rPr>
          <w:rStyle w:val="cf01"/>
          <w:rFonts w:asciiTheme="majorHAnsi" w:hAnsiTheme="majorHAnsi" w:cstheme="majorHAnsi"/>
          <w:sz w:val="22"/>
          <w:szCs w:val="22"/>
        </w:rPr>
        <w:t>community involvement; clear goals; limited scope; simple, intuitive structure; continuous evolution; active curation; and early use</w:t>
      </w:r>
      <w:r w:rsidR="002257B1">
        <w:rPr>
          <w:rStyle w:val="cf01"/>
          <w:rFonts w:asciiTheme="majorHAnsi" w:hAnsiTheme="majorHAnsi" w:cstheme="majorHAnsi"/>
          <w:sz w:val="22"/>
          <w:szCs w:val="22"/>
        </w:rPr>
        <w:t>”</w:t>
      </w:r>
      <w:r w:rsidR="00982E81">
        <w:rPr>
          <w:rStyle w:val="cf01"/>
          <w:rFonts w:asciiTheme="majorHAnsi" w:hAnsiTheme="majorHAnsi" w:cstheme="majorHAnsi"/>
          <w:sz w:val="22"/>
          <w:szCs w:val="22"/>
        </w:rPr>
        <w:t xml:space="preserve"> (</w:t>
      </w:r>
      <w:r w:rsidR="00982E81">
        <w:t>Bada et al., 2004</w:t>
      </w:r>
      <w:r w:rsidR="00982E81">
        <w:rPr>
          <w:rStyle w:val="cf01"/>
          <w:rFonts w:asciiTheme="majorHAnsi" w:hAnsiTheme="majorHAnsi" w:cstheme="majorHAnsi"/>
          <w:sz w:val="22"/>
          <w:szCs w:val="22"/>
        </w:rPr>
        <w:t>).</w:t>
      </w:r>
      <w:r w:rsidR="00FB6EF7">
        <w:rPr>
          <w:rStyle w:val="cf01"/>
          <w:rFonts w:asciiTheme="majorHAnsi" w:hAnsiTheme="majorHAnsi" w:cstheme="majorHAnsi"/>
          <w:sz w:val="22"/>
          <w:szCs w:val="22"/>
        </w:rPr>
        <w:t xml:space="preserve"> </w:t>
      </w:r>
      <w:r w:rsidR="00293FD1">
        <w:rPr>
          <w:rStyle w:val="cf01"/>
          <w:rFonts w:asciiTheme="majorHAnsi" w:hAnsiTheme="majorHAnsi" w:cstheme="majorHAnsi"/>
          <w:sz w:val="22"/>
          <w:szCs w:val="22"/>
        </w:rPr>
        <w:t>S</w:t>
      </w:r>
      <w:r w:rsidR="0034731E">
        <w:rPr>
          <w:rStyle w:val="cf01"/>
          <w:rFonts w:asciiTheme="majorHAnsi" w:hAnsiTheme="majorHAnsi" w:cstheme="majorHAnsi"/>
          <w:sz w:val="22"/>
          <w:szCs w:val="22"/>
        </w:rPr>
        <w:t xml:space="preserve">uch an effort </w:t>
      </w:r>
      <w:r w:rsidR="00675B51">
        <w:rPr>
          <w:rStyle w:val="cf01"/>
          <w:rFonts w:asciiTheme="majorHAnsi" w:hAnsiTheme="majorHAnsi" w:cstheme="majorHAnsi"/>
          <w:sz w:val="22"/>
          <w:szCs w:val="22"/>
        </w:rPr>
        <w:t xml:space="preserve">would ideally engage a diverse cross-section of the </w:t>
      </w:r>
      <w:r w:rsidR="00293FD1">
        <w:rPr>
          <w:rStyle w:val="cf01"/>
          <w:rFonts w:asciiTheme="majorHAnsi" w:hAnsiTheme="majorHAnsi" w:cstheme="majorHAnsi"/>
          <w:sz w:val="22"/>
          <w:szCs w:val="22"/>
        </w:rPr>
        <w:t xml:space="preserve">ES </w:t>
      </w:r>
      <w:r w:rsidR="00675B51">
        <w:rPr>
          <w:rStyle w:val="cf01"/>
          <w:rFonts w:asciiTheme="majorHAnsi" w:hAnsiTheme="majorHAnsi" w:cstheme="majorHAnsi"/>
          <w:sz w:val="22"/>
          <w:szCs w:val="22"/>
        </w:rPr>
        <w:t>community, focus on the semantic interoperability challenge</w:t>
      </w:r>
      <w:r w:rsidR="00457E7F">
        <w:rPr>
          <w:rStyle w:val="cf01"/>
          <w:rFonts w:asciiTheme="majorHAnsi" w:hAnsiTheme="majorHAnsi" w:cstheme="majorHAnsi"/>
          <w:sz w:val="22"/>
          <w:szCs w:val="22"/>
        </w:rPr>
        <w:t xml:space="preserve"> for quantitative ES assessments</w:t>
      </w:r>
      <w:r w:rsidR="00675B51">
        <w:rPr>
          <w:rStyle w:val="cf01"/>
          <w:rFonts w:asciiTheme="majorHAnsi" w:hAnsiTheme="majorHAnsi" w:cstheme="majorHAnsi"/>
          <w:sz w:val="22"/>
          <w:szCs w:val="22"/>
        </w:rPr>
        <w:t xml:space="preserve">, </w:t>
      </w:r>
      <w:r w:rsidR="00457E7F">
        <w:rPr>
          <w:rStyle w:val="cf01"/>
          <w:rFonts w:asciiTheme="majorHAnsi" w:hAnsiTheme="majorHAnsi" w:cstheme="majorHAnsi"/>
          <w:sz w:val="22"/>
          <w:szCs w:val="22"/>
        </w:rPr>
        <w:t xml:space="preserve">make transparent and well-justified architectural choices, and </w:t>
      </w:r>
      <w:r w:rsidR="008016DF">
        <w:rPr>
          <w:rStyle w:val="cf01"/>
          <w:rFonts w:asciiTheme="majorHAnsi" w:hAnsiTheme="majorHAnsi" w:cstheme="majorHAnsi"/>
          <w:sz w:val="22"/>
          <w:szCs w:val="22"/>
        </w:rPr>
        <w:t xml:space="preserve">strive for early use and continual evolution </w:t>
      </w:r>
      <w:r w:rsidR="0034731E">
        <w:rPr>
          <w:rStyle w:val="cf01"/>
          <w:rFonts w:asciiTheme="majorHAnsi" w:hAnsiTheme="majorHAnsi" w:cstheme="majorHAnsi"/>
          <w:sz w:val="22"/>
          <w:szCs w:val="22"/>
        </w:rPr>
        <w:t xml:space="preserve">(Table 2). </w:t>
      </w:r>
      <w:r w:rsidR="00FB6EF7">
        <w:rPr>
          <w:rStyle w:val="cf01"/>
          <w:rFonts w:asciiTheme="majorHAnsi" w:hAnsiTheme="majorHAnsi" w:cstheme="majorHAnsi"/>
          <w:sz w:val="22"/>
          <w:szCs w:val="22"/>
        </w:rPr>
        <w:t>These</w:t>
      </w:r>
      <w:r w:rsidR="00E44EB5">
        <w:rPr>
          <w:rStyle w:val="cf01"/>
          <w:rFonts w:asciiTheme="majorHAnsi" w:hAnsiTheme="majorHAnsi" w:cstheme="majorHAnsi"/>
          <w:sz w:val="22"/>
          <w:szCs w:val="22"/>
        </w:rPr>
        <w:t xml:space="preserve"> </w:t>
      </w:r>
      <w:r w:rsidR="00311249">
        <w:rPr>
          <w:rStyle w:val="cf01"/>
          <w:rFonts w:asciiTheme="majorHAnsi" w:hAnsiTheme="majorHAnsi" w:cstheme="majorHAnsi"/>
          <w:sz w:val="22"/>
          <w:szCs w:val="22"/>
        </w:rPr>
        <w:t xml:space="preserve">criteria </w:t>
      </w:r>
      <w:r w:rsidR="00FB6EF7">
        <w:rPr>
          <w:rStyle w:val="cf01"/>
          <w:rFonts w:asciiTheme="majorHAnsi" w:hAnsiTheme="majorHAnsi" w:cstheme="majorHAnsi"/>
          <w:sz w:val="22"/>
          <w:szCs w:val="22"/>
        </w:rPr>
        <w:t>sh</w:t>
      </w:r>
      <w:r w:rsidR="002257B1">
        <w:rPr>
          <w:rStyle w:val="cf01"/>
          <w:rFonts w:asciiTheme="majorHAnsi" w:hAnsiTheme="majorHAnsi" w:cstheme="majorHAnsi"/>
          <w:sz w:val="22"/>
          <w:szCs w:val="22"/>
        </w:rPr>
        <w:t>are overlap with the knowledge co-production literature</w:t>
      </w:r>
      <w:r w:rsidR="00FB6EF7">
        <w:t xml:space="preserve">, which suggests the importance of </w:t>
      </w:r>
      <w:r w:rsidR="00EF4E16">
        <w:t>context-based, pluralistic, goal-oriented and interactive co-production process</w:t>
      </w:r>
      <w:r w:rsidR="008A6229">
        <w:t>es</w:t>
      </w:r>
      <w:r w:rsidR="00BA16E1">
        <w:t xml:space="preserve"> </w:t>
      </w:r>
      <w:r w:rsidR="00BA16E1">
        <w:rPr>
          <w:rStyle w:val="cf01"/>
          <w:rFonts w:asciiTheme="majorHAnsi" w:hAnsiTheme="majorHAnsi" w:cstheme="majorHAnsi"/>
          <w:sz w:val="22"/>
          <w:szCs w:val="22"/>
        </w:rPr>
        <w:t>(</w:t>
      </w:r>
      <w:r w:rsidR="00BA16E1">
        <w:t>Norstr</w:t>
      </w:r>
      <w:r w:rsidR="00BA16E1">
        <w:rPr>
          <w:rFonts w:cstheme="minorHAnsi"/>
        </w:rPr>
        <w:t>ö</w:t>
      </w:r>
      <w:r w:rsidR="00BA16E1">
        <w:t>m et al. 2020)</w:t>
      </w:r>
      <w:r w:rsidR="002257B1">
        <w:t>.</w:t>
      </w:r>
      <w:r w:rsidR="00862F8D">
        <w:t xml:space="preserve"> </w:t>
      </w:r>
      <w:r w:rsidR="00EF4E16">
        <w:t xml:space="preserve">Finally, the </w:t>
      </w:r>
      <w:r w:rsidR="00862F8D">
        <w:t xml:space="preserve">experience of the </w:t>
      </w:r>
      <w:r w:rsidR="0047541F">
        <w:t xml:space="preserve">Open Biological and Biomedical Ontologies (OBO) Foundry </w:t>
      </w:r>
      <w:r w:rsidR="00862F8D">
        <w:t>(Jackson et al., 2021)</w:t>
      </w:r>
      <w:r w:rsidR="000312C1">
        <w:t xml:space="preserve"> also offers valuable lessons</w:t>
      </w:r>
      <w:r w:rsidR="00862F8D">
        <w:t>.</w:t>
      </w:r>
    </w:p>
    <w:p w14:paraId="159305B7" w14:textId="604F0E9D" w:rsidR="00152EFC" w:rsidRDefault="00152EFC" w:rsidP="000B12BC">
      <w:pPr>
        <w:spacing w:before="240" w:after="240" w:line="480" w:lineRule="auto"/>
        <w:jc w:val="center"/>
      </w:pPr>
      <w:r>
        <w:t>(Table 2 about here)</w:t>
      </w:r>
    </w:p>
    <w:p w14:paraId="61673903" w14:textId="2785E332" w:rsidR="0067328A" w:rsidRPr="0075369E" w:rsidRDefault="00806BCA" w:rsidP="000B12BC">
      <w:pPr>
        <w:spacing w:before="240" w:after="240" w:line="480" w:lineRule="auto"/>
        <w:rPr>
          <w:rFonts w:asciiTheme="majorHAnsi" w:hAnsiTheme="majorHAnsi" w:cstheme="majorHAnsi"/>
        </w:rPr>
      </w:pPr>
      <w:r>
        <w:rPr>
          <w:rStyle w:val="cf01"/>
          <w:rFonts w:asciiTheme="majorHAnsi" w:hAnsiTheme="majorHAnsi" w:cstheme="majorHAnsi"/>
          <w:sz w:val="22"/>
          <w:szCs w:val="22"/>
        </w:rPr>
        <w:lastRenderedPageBreak/>
        <w:t xml:space="preserve">Following from </w:t>
      </w:r>
      <w:r w:rsidR="00484FAF">
        <w:rPr>
          <w:rStyle w:val="cf01"/>
          <w:rFonts w:asciiTheme="majorHAnsi" w:hAnsiTheme="majorHAnsi" w:cstheme="majorHAnsi"/>
          <w:sz w:val="22"/>
          <w:szCs w:val="22"/>
        </w:rPr>
        <w:t xml:space="preserve">consensus on </w:t>
      </w:r>
      <w:r w:rsidR="00AB299A">
        <w:rPr>
          <w:rStyle w:val="cf01"/>
          <w:rFonts w:asciiTheme="majorHAnsi" w:hAnsiTheme="majorHAnsi" w:cstheme="majorHAnsi"/>
          <w:sz w:val="22"/>
          <w:szCs w:val="22"/>
        </w:rPr>
        <w:t xml:space="preserve">goals and </w:t>
      </w:r>
      <w:r w:rsidR="00484FAF">
        <w:rPr>
          <w:rStyle w:val="cf01"/>
          <w:rFonts w:asciiTheme="majorHAnsi" w:hAnsiTheme="majorHAnsi" w:cstheme="majorHAnsi"/>
          <w:sz w:val="22"/>
          <w:szCs w:val="22"/>
        </w:rPr>
        <w:t xml:space="preserve">key architectural choices, </w:t>
      </w:r>
      <w:r w:rsidR="006549E3">
        <w:rPr>
          <w:rStyle w:val="cf01"/>
          <w:rFonts w:asciiTheme="majorHAnsi" w:hAnsiTheme="majorHAnsi" w:cstheme="majorHAnsi"/>
          <w:sz w:val="22"/>
          <w:szCs w:val="22"/>
        </w:rPr>
        <w:t xml:space="preserve">the key challenge will be </w:t>
      </w:r>
      <w:r w:rsidR="00AB299A">
        <w:rPr>
          <w:rStyle w:val="cf01"/>
          <w:rFonts w:asciiTheme="majorHAnsi" w:hAnsiTheme="majorHAnsi" w:cstheme="majorHAnsi"/>
          <w:sz w:val="22"/>
          <w:szCs w:val="22"/>
        </w:rPr>
        <w:t xml:space="preserve">establishment </w:t>
      </w:r>
      <w:r w:rsidR="00B85332">
        <w:rPr>
          <w:rStyle w:val="cf01"/>
          <w:rFonts w:asciiTheme="majorHAnsi" w:hAnsiTheme="majorHAnsi" w:cstheme="majorHAnsi"/>
          <w:sz w:val="22"/>
          <w:szCs w:val="22"/>
        </w:rPr>
        <w:t xml:space="preserve">and consistent use </w:t>
      </w:r>
      <w:r w:rsidR="00AB299A">
        <w:rPr>
          <w:rStyle w:val="cf01"/>
          <w:rFonts w:asciiTheme="majorHAnsi" w:hAnsiTheme="majorHAnsi" w:cstheme="majorHAnsi"/>
          <w:sz w:val="22"/>
          <w:szCs w:val="22"/>
        </w:rPr>
        <w:t>of clear, meaningful</w:t>
      </w:r>
      <w:r w:rsidR="005B4372">
        <w:rPr>
          <w:rStyle w:val="cf01"/>
          <w:rFonts w:asciiTheme="majorHAnsi" w:hAnsiTheme="majorHAnsi" w:cstheme="majorHAnsi"/>
          <w:sz w:val="22"/>
          <w:szCs w:val="22"/>
        </w:rPr>
        <w:t xml:space="preserve"> concepts</w:t>
      </w:r>
      <w:r w:rsidR="00744D34">
        <w:rPr>
          <w:rStyle w:val="cf01"/>
          <w:rFonts w:asciiTheme="majorHAnsi" w:hAnsiTheme="majorHAnsi" w:cstheme="majorHAnsi"/>
          <w:sz w:val="22"/>
          <w:szCs w:val="22"/>
        </w:rPr>
        <w:t xml:space="preserve">, as imprecisely defined or improperly applied </w:t>
      </w:r>
      <w:r w:rsidR="00DC4B60">
        <w:rPr>
          <w:rStyle w:val="cf01"/>
          <w:rFonts w:asciiTheme="majorHAnsi" w:hAnsiTheme="majorHAnsi" w:cstheme="majorHAnsi"/>
          <w:sz w:val="22"/>
          <w:szCs w:val="22"/>
        </w:rPr>
        <w:t>semantics</w:t>
      </w:r>
      <w:r w:rsidR="009E204E">
        <w:rPr>
          <w:rStyle w:val="cf01"/>
          <w:rFonts w:asciiTheme="majorHAnsi" w:hAnsiTheme="majorHAnsi" w:cstheme="majorHAnsi"/>
          <w:sz w:val="22"/>
          <w:szCs w:val="22"/>
        </w:rPr>
        <w:t xml:space="preserve"> </w:t>
      </w:r>
      <w:r w:rsidR="00EB68D7">
        <w:rPr>
          <w:rStyle w:val="cf01"/>
          <w:rFonts w:asciiTheme="majorHAnsi" w:hAnsiTheme="majorHAnsi" w:cstheme="majorHAnsi"/>
          <w:sz w:val="22"/>
          <w:szCs w:val="22"/>
        </w:rPr>
        <w:t>w</w:t>
      </w:r>
      <w:r w:rsidR="000435D5">
        <w:rPr>
          <w:rStyle w:val="cf01"/>
          <w:rFonts w:asciiTheme="majorHAnsi" w:hAnsiTheme="majorHAnsi" w:cstheme="majorHAnsi"/>
          <w:sz w:val="22"/>
          <w:szCs w:val="22"/>
        </w:rPr>
        <w:t>ould</w:t>
      </w:r>
      <w:r w:rsidR="00EB68D7">
        <w:rPr>
          <w:rStyle w:val="cf01"/>
          <w:rFonts w:asciiTheme="majorHAnsi" w:hAnsiTheme="majorHAnsi" w:cstheme="majorHAnsi"/>
          <w:sz w:val="22"/>
          <w:szCs w:val="22"/>
        </w:rPr>
        <w:t xml:space="preserve"> </w:t>
      </w:r>
      <w:r w:rsidR="00C62FC5">
        <w:rPr>
          <w:rStyle w:val="cf01"/>
          <w:rFonts w:asciiTheme="majorHAnsi" w:hAnsiTheme="majorHAnsi" w:cstheme="majorHAnsi"/>
          <w:sz w:val="22"/>
          <w:szCs w:val="22"/>
        </w:rPr>
        <w:t>lead to substandard results in an interoperable system (</w:t>
      </w:r>
      <w:r w:rsidR="005751CA">
        <w:rPr>
          <w:rStyle w:val="cf01"/>
          <w:rFonts w:asciiTheme="majorHAnsi" w:hAnsiTheme="majorHAnsi" w:cstheme="majorHAnsi"/>
          <w:sz w:val="22"/>
          <w:szCs w:val="22"/>
        </w:rPr>
        <w:t>the well-known “garbage in-garbage-out” principle).</w:t>
      </w:r>
      <w:r w:rsidR="007D0D03">
        <w:rPr>
          <w:rStyle w:val="cf01"/>
          <w:rFonts w:asciiTheme="majorHAnsi" w:hAnsiTheme="majorHAnsi" w:cstheme="majorHAnsi"/>
          <w:sz w:val="22"/>
          <w:szCs w:val="22"/>
        </w:rPr>
        <w:t xml:space="preserve"> Transparent provenance and </w:t>
      </w:r>
      <w:r w:rsidR="00001772">
        <w:rPr>
          <w:rStyle w:val="cf01"/>
          <w:rFonts w:asciiTheme="majorHAnsi" w:hAnsiTheme="majorHAnsi" w:cstheme="majorHAnsi"/>
          <w:sz w:val="22"/>
          <w:szCs w:val="22"/>
        </w:rPr>
        <w:t>an active user community are some of the best defenses against this.</w:t>
      </w:r>
      <w:r w:rsidR="00CF4AC3">
        <w:rPr>
          <w:rStyle w:val="cf01"/>
          <w:rFonts w:asciiTheme="majorHAnsi" w:hAnsiTheme="majorHAnsi" w:cstheme="majorHAnsi"/>
          <w:sz w:val="22"/>
          <w:szCs w:val="22"/>
        </w:rPr>
        <w:t xml:space="preserve"> </w:t>
      </w:r>
      <w:r w:rsidR="00F84365">
        <w:rPr>
          <w:rStyle w:val="cf01"/>
          <w:rFonts w:asciiTheme="majorHAnsi" w:hAnsiTheme="majorHAnsi" w:cstheme="majorHAnsi"/>
          <w:sz w:val="22"/>
          <w:szCs w:val="22"/>
        </w:rPr>
        <w:t>A community of practice would also contribute to ongoing awareness</w:t>
      </w:r>
      <w:r w:rsidR="006B1E65">
        <w:rPr>
          <w:rStyle w:val="cf01"/>
          <w:rFonts w:asciiTheme="majorHAnsi" w:hAnsiTheme="majorHAnsi" w:cstheme="majorHAnsi"/>
          <w:sz w:val="22"/>
          <w:szCs w:val="22"/>
        </w:rPr>
        <w:t>-</w:t>
      </w:r>
      <w:r w:rsidR="00F84365">
        <w:rPr>
          <w:rStyle w:val="cf01"/>
          <w:rFonts w:asciiTheme="majorHAnsi" w:hAnsiTheme="majorHAnsi" w:cstheme="majorHAnsi"/>
          <w:sz w:val="22"/>
          <w:szCs w:val="22"/>
        </w:rPr>
        <w:t xml:space="preserve">raising </w:t>
      </w:r>
      <w:r w:rsidR="006B1E65">
        <w:rPr>
          <w:rStyle w:val="cf01"/>
          <w:rFonts w:asciiTheme="majorHAnsi" w:hAnsiTheme="majorHAnsi" w:cstheme="majorHAnsi"/>
          <w:sz w:val="22"/>
          <w:szCs w:val="22"/>
        </w:rPr>
        <w:t xml:space="preserve">on </w:t>
      </w:r>
      <w:r w:rsidR="00F84365">
        <w:rPr>
          <w:rStyle w:val="cf01"/>
          <w:rFonts w:asciiTheme="majorHAnsi" w:hAnsiTheme="majorHAnsi" w:cstheme="majorHAnsi"/>
          <w:sz w:val="22"/>
          <w:szCs w:val="22"/>
        </w:rPr>
        <w:t xml:space="preserve">the importance of interoperability. </w:t>
      </w:r>
      <w:r w:rsidR="00CF4AC3">
        <w:rPr>
          <w:rStyle w:val="cf01"/>
          <w:rFonts w:asciiTheme="majorHAnsi" w:hAnsiTheme="majorHAnsi" w:cstheme="majorHAnsi"/>
          <w:sz w:val="22"/>
          <w:szCs w:val="22"/>
        </w:rPr>
        <w:t xml:space="preserve">Additionally, </w:t>
      </w:r>
      <w:r w:rsidR="00CD28B8">
        <w:rPr>
          <w:rStyle w:val="cf01"/>
          <w:rFonts w:asciiTheme="majorHAnsi" w:hAnsiTheme="majorHAnsi" w:cstheme="majorHAnsi"/>
          <w:sz w:val="22"/>
          <w:szCs w:val="22"/>
        </w:rPr>
        <w:t>it</w:t>
      </w:r>
      <w:r w:rsidR="00CF4AC3">
        <w:rPr>
          <w:rStyle w:val="cf01"/>
          <w:rFonts w:asciiTheme="majorHAnsi" w:hAnsiTheme="majorHAnsi" w:cstheme="majorHAnsi"/>
          <w:sz w:val="22"/>
          <w:szCs w:val="22"/>
        </w:rPr>
        <w:t xml:space="preserve"> could p</w:t>
      </w:r>
      <w:r w:rsidR="0067328A">
        <w:rPr>
          <w:rStyle w:val="cf01"/>
          <w:rFonts w:asciiTheme="majorHAnsi" w:hAnsiTheme="majorHAnsi" w:cstheme="majorHAnsi"/>
          <w:sz w:val="22"/>
          <w:szCs w:val="22"/>
        </w:rPr>
        <w:t xml:space="preserve">romote the “technical solutions” to interoperability that </w:t>
      </w:r>
      <w:r w:rsidR="00CF4AC3">
        <w:rPr>
          <w:rStyle w:val="cf01"/>
          <w:rFonts w:asciiTheme="majorHAnsi" w:hAnsiTheme="majorHAnsi" w:cstheme="majorHAnsi"/>
          <w:sz w:val="22"/>
          <w:szCs w:val="22"/>
        </w:rPr>
        <w:t>currently exist</w:t>
      </w:r>
      <w:r w:rsidR="00C216D5">
        <w:rPr>
          <w:rStyle w:val="cf01"/>
          <w:rFonts w:asciiTheme="majorHAnsi" w:hAnsiTheme="majorHAnsi" w:cstheme="majorHAnsi"/>
          <w:sz w:val="22"/>
          <w:szCs w:val="22"/>
        </w:rPr>
        <w:t xml:space="preserve"> (</w:t>
      </w:r>
      <w:r w:rsidR="003746EE">
        <w:rPr>
          <w:rStyle w:val="cf01"/>
          <w:rFonts w:asciiTheme="majorHAnsi" w:hAnsiTheme="majorHAnsi" w:cstheme="majorHAnsi"/>
          <w:sz w:val="22"/>
          <w:szCs w:val="22"/>
        </w:rPr>
        <w:t xml:space="preserve">i.e., </w:t>
      </w:r>
      <w:r w:rsidR="003746EE">
        <w:t>using appropriate licensing, file formats, and APIs</w:t>
      </w:r>
      <w:r w:rsidR="00332C67">
        <w:t>,</w:t>
      </w:r>
      <w:r w:rsidR="003746EE">
        <w:rPr>
          <w:rStyle w:val="cf01"/>
          <w:rFonts w:asciiTheme="majorHAnsi" w:hAnsiTheme="majorHAnsi" w:cstheme="majorHAnsi"/>
          <w:sz w:val="22"/>
          <w:szCs w:val="22"/>
        </w:rPr>
        <w:t xml:space="preserve"> </w:t>
      </w:r>
      <w:r w:rsidR="00C216D5" w:rsidRPr="00E322AC">
        <w:rPr>
          <w:rStyle w:val="cf01"/>
          <w:rFonts w:asciiTheme="majorHAnsi" w:hAnsiTheme="majorHAnsi" w:cstheme="majorHAnsi"/>
          <w:sz w:val="22"/>
          <w:szCs w:val="22"/>
        </w:rPr>
        <w:t xml:space="preserve">section </w:t>
      </w:r>
      <w:r w:rsidR="00E322AC">
        <w:rPr>
          <w:rStyle w:val="cf01"/>
          <w:rFonts w:asciiTheme="majorHAnsi" w:hAnsiTheme="majorHAnsi" w:cstheme="majorHAnsi"/>
          <w:sz w:val="22"/>
          <w:szCs w:val="22"/>
        </w:rPr>
        <w:t>2</w:t>
      </w:r>
      <w:r w:rsidR="00C216D5">
        <w:rPr>
          <w:rStyle w:val="cf01"/>
          <w:rFonts w:asciiTheme="majorHAnsi" w:hAnsiTheme="majorHAnsi" w:cstheme="majorHAnsi"/>
          <w:sz w:val="22"/>
          <w:szCs w:val="22"/>
        </w:rPr>
        <w:t>)</w:t>
      </w:r>
      <w:r w:rsidR="0067328A">
        <w:rPr>
          <w:rStyle w:val="cf01"/>
          <w:rFonts w:asciiTheme="majorHAnsi" w:hAnsiTheme="majorHAnsi" w:cstheme="majorHAnsi"/>
          <w:sz w:val="22"/>
          <w:szCs w:val="22"/>
        </w:rPr>
        <w:t xml:space="preserve">, yet </w:t>
      </w:r>
      <w:r w:rsidR="00CF4AC3">
        <w:rPr>
          <w:rStyle w:val="cf01"/>
          <w:rFonts w:asciiTheme="majorHAnsi" w:hAnsiTheme="majorHAnsi" w:cstheme="majorHAnsi"/>
          <w:sz w:val="22"/>
          <w:szCs w:val="22"/>
        </w:rPr>
        <w:t>are in</w:t>
      </w:r>
      <w:r w:rsidR="0067328A">
        <w:rPr>
          <w:rStyle w:val="cf01"/>
          <w:rFonts w:asciiTheme="majorHAnsi" w:hAnsiTheme="majorHAnsi" w:cstheme="majorHAnsi"/>
          <w:sz w:val="22"/>
          <w:szCs w:val="22"/>
        </w:rPr>
        <w:t xml:space="preserve">consistently used, and strive to make </w:t>
      </w:r>
      <w:r w:rsidR="006178DB">
        <w:rPr>
          <w:rStyle w:val="cf01"/>
          <w:rFonts w:asciiTheme="majorHAnsi" w:hAnsiTheme="majorHAnsi" w:cstheme="majorHAnsi"/>
          <w:sz w:val="22"/>
          <w:szCs w:val="22"/>
        </w:rPr>
        <w:t xml:space="preserve">them </w:t>
      </w:r>
      <w:r w:rsidR="004E01D5">
        <w:rPr>
          <w:rStyle w:val="cf01"/>
          <w:rFonts w:asciiTheme="majorHAnsi" w:hAnsiTheme="majorHAnsi" w:cstheme="majorHAnsi"/>
          <w:sz w:val="22"/>
          <w:szCs w:val="22"/>
        </w:rPr>
        <w:t>easier to apply</w:t>
      </w:r>
      <w:r w:rsidR="00497282">
        <w:rPr>
          <w:rStyle w:val="cf01"/>
          <w:rFonts w:asciiTheme="majorHAnsi" w:hAnsiTheme="majorHAnsi" w:cstheme="majorHAnsi"/>
          <w:sz w:val="22"/>
          <w:szCs w:val="22"/>
        </w:rPr>
        <w:t>, for example</w:t>
      </w:r>
      <w:r w:rsidR="004E01D5">
        <w:rPr>
          <w:rStyle w:val="cf01"/>
          <w:rFonts w:asciiTheme="majorHAnsi" w:hAnsiTheme="majorHAnsi" w:cstheme="majorHAnsi"/>
          <w:sz w:val="22"/>
          <w:szCs w:val="22"/>
        </w:rPr>
        <w:t xml:space="preserve">, in organizations where </w:t>
      </w:r>
      <w:r w:rsidR="00C216D5">
        <w:rPr>
          <w:rStyle w:val="cf01"/>
          <w:rFonts w:asciiTheme="majorHAnsi" w:hAnsiTheme="majorHAnsi" w:cstheme="majorHAnsi"/>
          <w:sz w:val="22"/>
          <w:szCs w:val="22"/>
        </w:rPr>
        <w:t>technical expertise and resources are limited.</w:t>
      </w:r>
    </w:p>
    <w:p w14:paraId="61B936B8" w14:textId="60D6D2B0" w:rsidR="00BB5521" w:rsidRDefault="00BB5521" w:rsidP="000B12BC">
      <w:pPr>
        <w:autoSpaceDE w:val="0"/>
        <w:autoSpaceDN w:val="0"/>
        <w:adjustRightInd w:val="0"/>
        <w:spacing w:after="0" w:line="480" w:lineRule="auto"/>
      </w:pPr>
      <w:r>
        <w:t xml:space="preserve">Power dynamics inevitably arise during standardization efforts (Steger et al. 2018), so representative participation </w:t>
      </w:r>
      <w:r w:rsidR="00D85B5D">
        <w:t xml:space="preserve">of diverse groups, </w:t>
      </w:r>
      <w:r w:rsidR="00DE2F7A">
        <w:t xml:space="preserve">skillful facilitation, transparent processes, and careful scoping of effort </w:t>
      </w:r>
      <w:r>
        <w:t>are needed to ensure that standardization</w:t>
      </w:r>
      <w:r w:rsidR="008C65E9">
        <w:t>, e.g.,</w:t>
      </w:r>
      <w:r>
        <w:t xml:space="preserve"> for quantitative ES assessments</w:t>
      </w:r>
      <w:r w:rsidR="008C65E9">
        <w:t>,</w:t>
      </w:r>
      <w:r>
        <w:t xml:space="preserve"> do</w:t>
      </w:r>
      <w:r w:rsidR="008C65E9">
        <w:t>es</w:t>
      </w:r>
      <w:r>
        <w:t xml:space="preserve"> not drown out other important forms of knowledge. Inherent challenges exist to readily addressing these power dynamics. First, knowledge engineering is </w:t>
      </w:r>
      <w:r w:rsidR="008C1AAB">
        <w:t xml:space="preserve">a highly specialized field </w:t>
      </w:r>
      <w:r>
        <w:t>typically conducted in English, making expertise highly concentrated, with high real or perceived barriers to entry. Second, semantics carry a great deal of inertia: they are slow to develop, requiring s</w:t>
      </w:r>
      <w:r w:rsidR="000435D5">
        <w:t>ubstantial</w:t>
      </w:r>
      <w:r>
        <w:t xml:space="preserve"> time investment </w:t>
      </w:r>
      <w:r w:rsidR="000435D5">
        <w:t>by</w:t>
      </w:r>
      <w:r>
        <w:t xml:space="preserve"> partners; simultaneously, the few individuals and groups already involved in semantics for ES have s</w:t>
      </w:r>
      <w:r w:rsidR="000435D5">
        <w:t>ubstantial</w:t>
      </w:r>
      <w:r>
        <w:t xml:space="preserve"> incentive to carry their own work forward, posing challenges for achieving consensus. </w:t>
      </w:r>
      <w:r w:rsidR="002A5D7A">
        <w:t>A useful starting point would be to cl</w:t>
      </w:r>
      <w:r w:rsidR="00D7270D">
        <w:t xml:space="preserve">arify the purposes of existing semantic resources and transparently discuss and debate </w:t>
      </w:r>
      <w:r w:rsidR="00346EC3">
        <w:t>advantages and disadvantages</w:t>
      </w:r>
      <w:r w:rsidR="00D7270D">
        <w:t xml:space="preserve"> of major architectural choices</w:t>
      </w:r>
      <w:r w:rsidR="00D7270D" w:rsidDel="002A5D7A">
        <w:t xml:space="preserve"> </w:t>
      </w:r>
      <w:r w:rsidR="00D7270D">
        <w:t xml:space="preserve">(e.g., </w:t>
      </w:r>
      <w:r w:rsidR="00346EC3">
        <w:t xml:space="preserve">which core/upper-level ontologies to use). </w:t>
      </w:r>
      <w:r w:rsidR="002A5D7A">
        <w:t xml:space="preserve">This </w:t>
      </w:r>
      <w:r>
        <w:t xml:space="preserve">inertia problem is balanced against the urgency of </w:t>
      </w:r>
      <w:r w:rsidR="001D4615">
        <w:t>scaling up</w:t>
      </w:r>
      <w:r>
        <w:t xml:space="preserve"> national and global</w:t>
      </w:r>
      <w:r w:rsidR="001D4615">
        <w:t xml:space="preserve"> ES</w:t>
      </w:r>
      <w:r>
        <w:t xml:space="preserve"> monitoring </w:t>
      </w:r>
      <w:r w:rsidR="002A5D7A">
        <w:t xml:space="preserve">efforts </w:t>
      </w:r>
      <w:r>
        <w:t>(</w:t>
      </w:r>
      <w:r w:rsidR="002A5D7A">
        <w:t>section 4</w:t>
      </w:r>
      <w:r>
        <w:t xml:space="preserve">), </w:t>
      </w:r>
      <w:r w:rsidR="001D4615">
        <w:t>making</w:t>
      </w:r>
      <w:r>
        <w:t xml:space="preserve"> </w:t>
      </w:r>
      <w:r w:rsidR="00DE1674">
        <w:t xml:space="preserve">efficient reuse of existing </w:t>
      </w:r>
      <w:r w:rsidR="00907B0F">
        <w:t xml:space="preserve">semantic and software resources valuable, as </w:t>
      </w:r>
      <w:r>
        <w:t>starting from scratch would be costly.</w:t>
      </w:r>
    </w:p>
    <w:p w14:paraId="543F42F4" w14:textId="554875F1" w:rsidR="008131CA" w:rsidRPr="00822546" w:rsidRDefault="00BB5521" w:rsidP="000B12BC">
      <w:pPr>
        <w:spacing w:before="240" w:after="240" w:line="480" w:lineRule="auto"/>
      </w:pPr>
      <w:r>
        <w:lastRenderedPageBreak/>
        <w:t>Finally, we</w:t>
      </w:r>
      <w:r w:rsidR="009062F4">
        <w:t xml:space="preserve"> note that the FAIR Principles are not a panacea for all scientific data management challenges. Notably, the CARE Principles </w:t>
      </w:r>
      <w:r w:rsidR="000F4783">
        <w:t xml:space="preserve">for </w:t>
      </w:r>
      <w:r w:rsidR="009062F4">
        <w:t xml:space="preserve">indigenous data governance </w:t>
      </w:r>
      <w:r w:rsidR="000F4783">
        <w:t>are</w:t>
      </w:r>
      <w:r w:rsidR="009062F4">
        <w:t xml:space="preserve"> increasingly important as indigenous and western scientific knowledge become more widely used in a complementary manner. The TRUST Principles (Transparency, Responsibility, User focus, Sustainability, Technology; Lin et al., 2020) provide guidance on the management of scientific repositories </w:t>
      </w:r>
      <w:r w:rsidR="00D915D5">
        <w:t>to support</w:t>
      </w:r>
      <w:r w:rsidR="009062F4">
        <w:t xml:space="preserve"> the FAIR Principles. Collective implementation of </w:t>
      </w:r>
      <w:r w:rsidR="00D915D5">
        <w:t xml:space="preserve">FAIR, </w:t>
      </w:r>
      <w:r w:rsidR="009062F4">
        <w:t>CARE</w:t>
      </w:r>
      <w:r w:rsidR="00D915D5">
        <w:t>,</w:t>
      </w:r>
      <w:r w:rsidR="009062F4">
        <w:t xml:space="preserve"> and TRUST (O’Brien et al., 2024) provides a foundation for equitable open science. Similarly, effective data security measures and computational efficiency are important criteria for research software design that ES software developers must consider alongside the FAIR Principles (Lamprecht et al., 2020).</w:t>
      </w:r>
    </w:p>
    <w:p w14:paraId="56109270" w14:textId="77777777" w:rsidR="00D214A2" w:rsidRDefault="00D214A2" w:rsidP="000B12BC">
      <w:pPr>
        <w:spacing w:before="240" w:line="480" w:lineRule="auto"/>
      </w:pPr>
    </w:p>
    <w:p w14:paraId="0EC14443" w14:textId="481F29C1" w:rsidR="00C55C27" w:rsidRDefault="00154CAC" w:rsidP="000B12BC">
      <w:pPr>
        <w:spacing w:before="240" w:line="480" w:lineRule="auto"/>
        <w:rPr>
          <w:i/>
        </w:rPr>
      </w:pPr>
      <w:r>
        <w:rPr>
          <w:i/>
        </w:rPr>
        <w:t xml:space="preserve">5.2 Transformative cultural changes </w:t>
      </w:r>
      <w:r w:rsidR="006C132D">
        <w:rPr>
          <w:i/>
        </w:rPr>
        <w:t>supporting</w:t>
      </w:r>
      <w:r>
        <w:rPr>
          <w:i/>
        </w:rPr>
        <w:t xml:space="preserve"> interoperability</w:t>
      </w:r>
    </w:p>
    <w:p w14:paraId="27646920" w14:textId="1D9BDE79" w:rsidR="00C55C27" w:rsidRDefault="00154CAC" w:rsidP="000B12BC">
      <w:pPr>
        <w:spacing w:before="240" w:after="240" w:line="480" w:lineRule="auto"/>
      </w:pPr>
      <w:r>
        <w:t xml:space="preserve">Given the centrality of people </w:t>
      </w:r>
      <w:r w:rsidR="00005C29">
        <w:t>to the challenge</w:t>
      </w:r>
      <w:r>
        <w:t xml:space="preserve"> of interoperability (Ramage and Slotin, 2021), cultural change</w:t>
      </w:r>
      <w:r w:rsidR="00011292">
        <w:t>s</w:t>
      </w:r>
      <w:r>
        <w:t xml:space="preserve"> </w:t>
      </w:r>
      <w:r w:rsidR="00011292">
        <w:t>can support its</w:t>
      </w:r>
      <w:r>
        <w:t xml:space="preserve"> implementation in the ES field</w:t>
      </w:r>
      <w:r w:rsidR="00011292">
        <w:t>,</w:t>
      </w:r>
      <w:r w:rsidR="009806F0">
        <w:t xml:space="preserve"> </w:t>
      </w:r>
      <w:r w:rsidR="007565C2">
        <w:t>beyond</w:t>
      </w:r>
      <w:r w:rsidR="00596A89">
        <w:t xml:space="preserve"> an interoperability community of practice</w:t>
      </w:r>
      <w:r w:rsidR="003B7A83">
        <w:t>. Cultural changes extend from</w:t>
      </w:r>
      <w:r>
        <w:t xml:space="preserve"> individuals and research groups to structural change</w:t>
      </w:r>
      <w:r w:rsidR="003B7A83">
        <w:t>s</w:t>
      </w:r>
      <w:r w:rsidR="000435D5">
        <w:t xml:space="preserve"> </w:t>
      </w:r>
      <w:r>
        <w:t>in organizations.</w:t>
      </w:r>
    </w:p>
    <w:p w14:paraId="37A67E59" w14:textId="411C8DDD" w:rsidR="00C55C27" w:rsidRPr="00B84A25" w:rsidRDefault="00A611DF" w:rsidP="000B12BC">
      <w:pPr>
        <w:spacing w:before="240" w:after="240" w:line="480" w:lineRule="auto"/>
        <w:rPr>
          <w:color w:val="1F1F1F"/>
        </w:rPr>
      </w:pPr>
      <w:r>
        <w:t xml:space="preserve">For individuals, </w:t>
      </w:r>
      <w:bookmarkStart w:id="10" w:name="_2s8eyo1" w:colFirst="0" w:colLast="0"/>
      <w:bookmarkEnd w:id="10"/>
      <w:r w:rsidR="00457350" w:rsidRPr="00457350">
        <w:rPr>
          <w:color w:val="1F1F1F"/>
        </w:rPr>
        <w:t>s</w:t>
      </w:r>
      <w:r w:rsidR="00154CAC" w:rsidRPr="00457350">
        <w:rPr>
          <w:color w:val="000000"/>
        </w:rPr>
        <w:t>hifting mindsets around data sharing and interoperability</w:t>
      </w:r>
      <w:r w:rsidR="00F93CD5">
        <w:rPr>
          <w:color w:val="000000"/>
        </w:rPr>
        <w:t xml:space="preserve"> are important</w:t>
      </w:r>
      <w:r w:rsidR="00154CAC">
        <w:rPr>
          <w:i/>
          <w:color w:val="000000"/>
        </w:rPr>
        <w:t xml:space="preserve">. </w:t>
      </w:r>
      <w:r w:rsidR="00154CAC">
        <w:rPr>
          <w:color w:val="000000"/>
        </w:rPr>
        <w:t xml:space="preserve">In past decades, scientists </w:t>
      </w:r>
      <w:r w:rsidR="00054AC1">
        <w:rPr>
          <w:color w:val="000000"/>
        </w:rPr>
        <w:t>produced and managed</w:t>
      </w:r>
      <w:r w:rsidR="00154CAC">
        <w:rPr>
          <w:color w:val="000000"/>
        </w:rPr>
        <w:t xml:space="preserve"> their own</w:t>
      </w:r>
      <w:r w:rsidR="00054AC1">
        <w:rPr>
          <w:color w:val="000000"/>
        </w:rPr>
        <w:t xml:space="preserve"> data</w:t>
      </w:r>
      <w:r w:rsidR="00154CAC">
        <w:rPr>
          <w:color w:val="000000"/>
        </w:rPr>
        <w:t>, g</w:t>
      </w:r>
      <w:r w:rsidR="00054AC1">
        <w:rPr>
          <w:color w:val="000000"/>
        </w:rPr>
        <w:t>iving</w:t>
      </w:r>
      <w:r w:rsidR="00154CAC">
        <w:rPr>
          <w:color w:val="000000"/>
        </w:rPr>
        <w:t xml:space="preserve"> limited thought to </w:t>
      </w:r>
      <w:r w:rsidR="005C27D5">
        <w:rPr>
          <w:color w:val="000000"/>
        </w:rPr>
        <w:t xml:space="preserve">their </w:t>
      </w:r>
      <w:r w:rsidR="00154CAC">
        <w:rPr>
          <w:color w:val="000000"/>
        </w:rPr>
        <w:t>reusability</w:t>
      </w:r>
      <w:r w:rsidR="00F93CD5">
        <w:rPr>
          <w:color w:val="000000"/>
        </w:rPr>
        <w:t>. T</w:t>
      </w:r>
      <w:r w:rsidR="00154CAC">
        <w:rPr>
          <w:color w:val="000000"/>
        </w:rPr>
        <w:t xml:space="preserve">his is changing through generational turnover and </w:t>
      </w:r>
      <w:r w:rsidR="008F1709">
        <w:rPr>
          <w:color w:val="000000"/>
        </w:rPr>
        <w:t>continued</w:t>
      </w:r>
      <w:r w:rsidR="00154CAC">
        <w:rPr>
          <w:color w:val="000000"/>
        </w:rPr>
        <w:t xml:space="preserve"> diffusion of open science principles (Campbell et al., 2019, Borycz et al., 2023). The potential </w:t>
      </w:r>
      <w:r w:rsidR="00101C64">
        <w:rPr>
          <w:color w:val="000000"/>
        </w:rPr>
        <w:t xml:space="preserve">for </w:t>
      </w:r>
      <w:r w:rsidR="00154CAC">
        <w:rPr>
          <w:color w:val="000000"/>
        </w:rPr>
        <w:t xml:space="preserve">misuse is a frequently </w:t>
      </w:r>
      <w:r w:rsidR="006C132D">
        <w:rPr>
          <w:color w:val="000000"/>
        </w:rPr>
        <w:t>noted</w:t>
      </w:r>
      <w:r w:rsidR="00154CAC">
        <w:rPr>
          <w:color w:val="000000"/>
        </w:rPr>
        <w:t xml:space="preserve"> barrier to scientists’ sharing of data (Perrier et al., 2020)</w:t>
      </w:r>
      <w:r w:rsidR="000258F0">
        <w:rPr>
          <w:color w:val="000000"/>
        </w:rPr>
        <w:t xml:space="preserve">, and further work is needed </w:t>
      </w:r>
      <w:r w:rsidR="00ED3703">
        <w:rPr>
          <w:color w:val="000000"/>
        </w:rPr>
        <w:t>to build effective guardrails around ES knowledge reuse</w:t>
      </w:r>
      <w:r w:rsidR="00154CAC">
        <w:rPr>
          <w:color w:val="000000"/>
        </w:rPr>
        <w:t xml:space="preserve">. </w:t>
      </w:r>
      <w:r w:rsidR="002314ED">
        <w:rPr>
          <w:color w:val="000000"/>
        </w:rPr>
        <w:t xml:space="preserve">Interoperability will also benefit from individuals’ efforts at </w:t>
      </w:r>
      <w:r w:rsidR="00B84A25">
        <w:rPr>
          <w:color w:val="000000"/>
        </w:rPr>
        <w:t>community building that</w:t>
      </w:r>
      <w:r w:rsidR="005312A7">
        <w:rPr>
          <w:color w:val="000000"/>
        </w:rPr>
        <w:t xml:space="preserve"> </w:t>
      </w:r>
      <w:r w:rsidR="00B84A25">
        <w:rPr>
          <w:color w:val="000000"/>
        </w:rPr>
        <w:t xml:space="preserve">bridge various divides – by </w:t>
      </w:r>
      <w:r w:rsidR="00154CAC">
        <w:rPr>
          <w:color w:val="000000"/>
        </w:rPr>
        <w:t xml:space="preserve">geography, disciplines, and research groups. These </w:t>
      </w:r>
      <w:r w:rsidR="000435D5">
        <w:rPr>
          <w:color w:val="000000"/>
        </w:rPr>
        <w:t>barriers</w:t>
      </w:r>
      <w:r w:rsidR="00154CAC">
        <w:rPr>
          <w:color w:val="000000"/>
        </w:rPr>
        <w:t xml:space="preserve"> exist </w:t>
      </w:r>
      <w:r w:rsidR="00154CAC">
        <w:rPr>
          <w:color w:val="000000"/>
        </w:rPr>
        <w:lastRenderedPageBreak/>
        <w:t>for various reasons, including diverse training</w:t>
      </w:r>
      <w:r w:rsidR="000B1D69">
        <w:rPr>
          <w:color w:val="000000"/>
        </w:rPr>
        <w:t xml:space="preserve"> and</w:t>
      </w:r>
      <w:r w:rsidR="00154CAC">
        <w:rPr>
          <w:color w:val="000000"/>
        </w:rPr>
        <w:t xml:space="preserve"> backgrounds, </w:t>
      </w:r>
      <w:r w:rsidR="009A558E">
        <w:rPr>
          <w:color w:val="000000"/>
        </w:rPr>
        <w:t xml:space="preserve">multiple valid perspectives </w:t>
      </w:r>
      <w:r w:rsidR="002F4015">
        <w:rPr>
          <w:color w:val="000000"/>
        </w:rPr>
        <w:t xml:space="preserve">from which to understand ES, and academic incentives rewarding </w:t>
      </w:r>
      <w:r w:rsidR="00D51993">
        <w:rPr>
          <w:color w:val="000000"/>
        </w:rPr>
        <w:t xml:space="preserve">individualistic </w:t>
      </w:r>
      <w:r w:rsidR="008A1A67">
        <w:rPr>
          <w:color w:val="000000"/>
        </w:rPr>
        <w:t xml:space="preserve">activities </w:t>
      </w:r>
      <w:r w:rsidR="002517E8">
        <w:rPr>
          <w:color w:val="000000"/>
        </w:rPr>
        <w:t>(</w:t>
      </w:r>
      <w:r w:rsidR="001C0868">
        <w:rPr>
          <w:color w:val="000000"/>
        </w:rPr>
        <w:t>Tiokhin et al., 2023</w:t>
      </w:r>
      <w:r w:rsidR="002517E8">
        <w:rPr>
          <w:color w:val="000000"/>
        </w:rPr>
        <w:t xml:space="preserve">). </w:t>
      </w:r>
      <w:r w:rsidR="00154CAC">
        <w:rPr>
          <w:color w:val="000000"/>
        </w:rPr>
        <w:t xml:space="preserve">While there is no </w:t>
      </w:r>
      <w:r w:rsidR="000435D5">
        <w:rPr>
          <w:color w:val="000000"/>
        </w:rPr>
        <w:t>ready solution</w:t>
      </w:r>
      <w:r w:rsidR="00154CAC">
        <w:rPr>
          <w:color w:val="000000"/>
        </w:rPr>
        <w:t xml:space="preserve"> for </w:t>
      </w:r>
      <w:r w:rsidR="000435D5">
        <w:rPr>
          <w:color w:val="000000"/>
        </w:rPr>
        <w:t xml:space="preserve">breaking down </w:t>
      </w:r>
      <w:r w:rsidR="00154CAC">
        <w:rPr>
          <w:color w:val="000000"/>
        </w:rPr>
        <w:t>th</w:t>
      </w:r>
      <w:r w:rsidR="000435D5">
        <w:rPr>
          <w:color w:val="000000"/>
        </w:rPr>
        <w:t>ese barriers</w:t>
      </w:r>
      <w:r w:rsidR="00154CAC">
        <w:rPr>
          <w:color w:val="000000"/>
        </w:rPr>
        <w:t>, recognizing and uplifting our shared goals – an</w:t>
      </w:r>
      <w:r w:rsidR="000435D5">
        <w:rPr>
          <w:color w:val="000000"/>
        </w:rPr>
        <w:t>d</w:t>
      </w:r>
      <w:r w:rsidR="00154CAC">
        <w:rPr>
          <w:color w:val="000000"/>
        </w:rPr>
        <w:t xml:space="preserve"> urgency to achieve robust ES monitoring as a global moonshot for our community – may be a useful starting point in overcoming it.</w:t>
      </w:r>
    </w:p>
    <w:p w14:paraId="21F79675" w14:textId="6ED7025F" w:rsidR="00C55C27" w:rsidRDefault="001C0868" w:rsidP="000B12BC">
      <w:pPr>
        <w:spacing w:before="240" w:line="480" w:lineRule="auto"/>
      </w:pPr>
      <w:r>
        <w:t>Additionally,</w:t>
      </w:r>
      <w:r w:rsidR="00154CAC">
        <w:t xml:space="preserve"> structural support </w:t>
      </w:r>
      <w:r>
        <w:t xml:space="preserve">for interoperability </w:t>
      </w:r>
      <w:r w:rsidR="00154CAC">
        <w:t xml:space="preserve">within institutions is vital. Through their convening power, </w:t>
      </w:r>
      <w:r w:rsidR="009F7B30">
        <w:t xml:space="preserve">organizations </w:t>
      </w:r>
      <w:r w:rsidR="00154CAC">
        <w:t xml:space="preserve">can </w:t>
      </w:r>
      <w:r w:rsidR="007B580D">
        <w:t>facilitate</w:t>
      </w:r>
      <w:r w:rsidR="00154CAC">
        <w:t xml:space="preserve"> develop</w:t>
      </w:r>
      <w:r w:rsidR="007B580D">
        <w:t>ment</w:t>
      </w:r>
      <w:r w:rsidR="00154CAC">
        <w:t xml:space="preserve"> and promoti</w:t>
      </w:r>
      <w:r w:rsidR="007B580D">
        <w:t>on of</w:t>
      </w:r>
      <w:r w:rsidR="00154CAC">
        <w:t xml:space="preserve"> best practices</w:t>
      </w:r>
      <w:r w:rsidR="00851FB5">
        <w:t>,</w:t>
      </w:r>
      <w:r w:rsidR="00154CAC">
        <w:t xml:space="preserve"> incentives</w:t>
      </w:r>
      <w:r w:rsidR="00851FB5">
        <w:t>,</w:t>
      </w:r>
      <w:r w:rsidR="00154CAC">
        <w:t xml:space="preserve"> </w:t>
      </w:r>
      <w:r w:rsidR="00851FB5">
        <w:t>and other</w:t>
      </w:r>
      <w:r w:rsidR="00154CAC">
        <w:t xml:space="preserve"> enabling conditions under which </w:t>
      </w:r>
      <w:r w:rsidR="00851FB5">
        <w:t xml:space="preserve">interoperability </w:t>
      </w:r>
      <w:r w:rsidR="00154CAC">
        <w:t>can progress.</w:t>
      </w:r>
    </w:p>
    <w:p w14:paraId="3253D076" w14:textId="37B2686B" w:rsidR="00C55C27" w:rsidRDefault="00154CAC" w:rsidP="000B12BC">
      <w:pPr>
        <w:spacing w:before="240" w:line="480" w:lineRule="auto"/>
      </w:pPr>
      <w:r>
        <w:t>International initiatives recognize the importance of interoperability, but devote varying levels of effort toward it (section 4</w:t>
      </w:r>
      <w:r w:rsidR="00E52C9F">
        <w:t>, e.g., IPBES, 2022</w:t>
      </w:r>
      <w:r w:rsidR="001C7239">
        <w:t>a</w:t>
      </w:r>
      <w:r w:rsidR="00E52C9F">
        <w:t xml:space="preserve">, </w:t>
      </w:r>
      <w:r w:rsidR="005F309E">
        <w:t xml:space="preserve">U.N. et al., 2023, </w:t>
      </w:r>
      <w:r w:rsidR="00E52C9F">
        <w:t>GEO BON, 2024d</w:t>
      </w:r>
      <w:r>
        <w:t xml:space="preserve">). </w:t>
      </w:r>
      <w:r w:rsidR="00E52C9F">
        <w:t>Additionally,</w:t>
      </w:r>
      <w:r>
        <w:t xml:space="preserve"> Ecosystem Services Partnership Thematic Working Groups 4 and 5 envision development of guidelines and standards for improved ES assessment (ESP, 2024)</w:t>
      </w:r>
      <w:r w:rsidR="00777764">
        <w:t>.</w:t>
      </w:r>
      <w:r w:rsidR="005F309E">
        <w:t xml:space="preserve"> </w:t>
      </w:r>
      <w:r w:rsidR="00777764">
        <w:t>T</w:t>
      </w:r>
      <w:r w:rsidR="005F309E">
        <w:t xml:space="preserve">he World Bank faces similar challenges in its efforts to </w:t>
      </w:r>
      <w:r w:rsidR="00401DAA">
        <w:t xml:space="preserve">more comprehensively </w:t>
      </w:r>
      <w:r w:rsidR="005F309E">
        <w:t>treat ES and natural capital in its Changing Wealth of Nations report (Bagstad et al., 2018)</w:t>
      </w:r>
      <w:r>
        <w:t xml:space="preserve">. These groups and others can work individually and together to create and implement a shared vision for interoperability in ES. </w:t>
      </w:r>
    </w:p>
    <w:p w14:paraId="5470FD0F" w14:textId="058A5C85" w:rsidR="00C55C27" w:rsidRDefault="007F0F04" w:rsidP="000B12BC">
      <w:pPr>
        <w:spacing w:before="240" w:line="480" w:lineRule="auto"/>
      </w:pPr>
      <w:r>
        <w:t>I</w:t>
      </w:r>
      <w:r w:rsidR="00154CAC">
        <w:t xml:space="preserve">nstitutions, including funders, </w:t>
      </w:r>
      <w:r>
        <w:t>can</w:t>
      </w:r>
      <w:r w:rsidR="00210104">
        <w:t xml:space="preserve"> create </w:t>
      </w:r>
      <w:r w:rsidR="00154CAC">
        <w:t>incentives reward</w:t>
      </w:r>
      <w:r w:rsidR="00401DAA">
        <w:t>ing</w:t>
      </w:r>
      <w:r w:rsidR="00154CAC">
        <w:t xml:space="preserve"> collaboration over competition</w:t>
      </w:r>
      <w:r w:rsidR="00401DAA">
        <w:t xml:space="preserve"> </w:t>
      </w:r>
      <w:r w:rsidR="00154CAC">
        <w:t>and develop collaborative networks of scientists. Science synthesis centers could play this role, as they have</w:t>
      </w:r>
      <w:r w:rsidR="00964FE1">
        <w:t xml:space="preserve"> previously</w:t>
      </w:r>
      <w:r w:rsidR="00401DAA">
        <w:t xml:space="preserve"> supported</w:t>
      </w:r>
      <w:r w:rsidR="00154CAC">
        <w:t xml:space="preserve"> model integration (e.g., Iwanaga et al., 2021) and semantics (Leinfelder et al., 2011). Organizations will also likely play a role in the governance needed to support community-driven interoperability for ES (Chen et al., 2020, U.N. et al., 2023). </w:t>
      </w:r>
    </w:p>
    <w:p w14:paraId="0DA8F926" w14:textId="4BAD9106" w:rsidR="00C55C27" w:rsidRDefault="00154CAC" w:rsidP="000B12BC">
      <w:pPr>
        <w:spacing w:before="240" w:line="480" w:lineRule="auto"/>
      </w:pPr>
      <w:r>
        <w:t xml:space="preserve">Funders and research institutions can advance interoperability by providing adequate funding for data management. They can also support career advancement through reward structures that move beyond </w:t>
      </w:r>
      <w:r>
        <w:lastRenderedPageBreak/>
        <w:t xml:space="preserve">a “publish or perish” mindset demanding ever-greater volume and speed of scientific publications, toward structures that reward the time and effort spent to make widely used, FAIR scientific products. </w:t>
      </w:r>
      <w:r w:rsidR="00777764">
        <w:t>D</w:t>
      </w:r>
      <w:r>
        <w:t xml:space="preserve">ata and code repositories </w:t>
      </w:r>
      <w:r w:rsidR="00777764">
        <w:t xml:space="preserve">also </w:t>
      </w:r>
      <w:r>
        <w:t>play a central role in implementation of the FAIR Principles (e.g., DataONE, 2024, Tykhonov, 2024), and scientific journals can do so as well (Kitchener, 2022, INCF, 2023).</w:t>
      </w:r>
    </w:p>
    <w:p w14:paraId="266AF256" w14:textId="7E049187" w:rsidR="00C55C27" w:rsidRDefault="00154CAC" w:rsidP="000B12BC">
      <w:pPr>
        <w:spacing w:before="240" w:line="480" w:lineRule="auto"/>
      </w:pPr>
      <w:r>
        <w:t xml:space="preserve">Finally, organizations can help ensure that methods supporting interoperability for ES are available and applied in the Global South, supporting </w:t>
      </w:r>
      <w:r w:rsidR="00256988">
        <w:t xml:space="preserve">capacity building, </w:t>
      </w:r>
      <w:r>
        <w:t>equitable access to</w:t>
      </w:r>
      <w:r w:rsidR="00256988">
        <w:t>,</w:t>
      </w:r>
      <w:r>
        <w:t xml:space="preserve"> and application of knowledge about ES to decision making. Beyond the intrinsic importance of equity, this is </w:t>
      </w:r>
      <w:r w:rsidR="00857ADF">
        <w:t xml:space="preserve">critical </w:t>
      </w:r>
      <w:r>
        <w:t>to ensure that scientific knowledge contained in an interoperable knowledge base is globally representative (Schirpke et al., 2023).</w:t>
      </w:r>
      <w:r w:rsidR="006E721F">
        <w:t xml:space="preserve"> </w:t>
      </w:r>
    </w:p>
    <w:p w14:paraId="171F0586" w14:textId="77777777" w:rsidR="007C631F" w:rsidRDefault="007C631F" w:rsidP="000B12BC">
      <w:pPr>
        <w:spacing w:before="240" w:line="480" w:lineRule="auto"/>
        <w:rPr>
          <w:i/>
        </w:rPr>
      </w:pPr>
      <w:r>
        <w:rPr>
          <w:i/>
        </w:rPr>
        <w:t>5.3 The interoperable ecosystem service assessment of the future</w:t>
      </w:r>
    </w:p>
    <w:p w14:paraId="1C23A36C" w14:textId="77777777" w:rsidR="007C631F" w:rsidRDefault="007C631F" w:rsidP="000B12BC">
      <w:pPr>
        <w:spacing w:before="240" w:line="480" w:lineRule="auto"/>
      </w:pPr>
      <w:r>
        <w:t>ES assessments built upon FAIR data, models, and software are needed to support ES and ES-adjacent monitoring and accounting frameworks (section 4; Vaz et al., 2021, Balvanera et al., 2022, Gonzalez et al., 2023a). In this future, as new input data are generated, ES models will be able to be re-run to provide continuously updated datasets and time series; as such data become increasingly timely, ES monitoring will move closer and closer to real-time. When novel data, models, and model parameterizations become available, new results can be benchmarked against previous data for regions of interest to maintain consistent time series. Ongoing work will continue to develop localized knowledge and more accurately represent heterogeneous local-scale processes that underpin ES. This local-scale knowledge can then be integrated into improved regional, national, and global assessments, as appropriate (Chaplin-Kramer et al., 2024).</w:t>
      </w:r>
    </w:p>
    <w:p w14:paraId="1E41337D" w14:textId="2424692E" w:rsidR="007C631F" w:rsidRDefault="007C631F" w:rsidP="000B12BC">
      <w:pPr>
        <w:spacing w:before="240" w:after="240" w:line="480" w:lineRule="auto"/>
      </w:pPr>
      <w:r>
        <w:t xml:space="preserve">Interoperable ES knowledge carries obvious benefits for widening access to information – “democratizing” the science and its application (Carmen et al., 2018), particularly in capacity-limited </w:t>
      </w:r>
      <w:r>
        <w:lastRenderedPageBreak/>
        <w:t>environments</w:t>
      </w:r>
      <w:r w:rsidR="00E80076">
        <w:t xml:space="preserve"> including the Global South</w:t>
      </w:r>
      <w:r>
        <w:t xml:space="preserve">. Most ES modelers are familiar with the process of spending weeks to months searching for, downloading, reformatting, and cleaning data. This puts two critical constituencies at a disadvantage – (1) younger, less experienced and well-connected researchers with less knowledge of data resources spread across many repositories and having smaller social networks to facilitate data requests (Gregory et al., 2019) and (2) decision makers who need more rapid answers than time-consuming modeling processes can provide. By substituting individual modelers’ </w:t>
      </w:r>
      <w:r>
        <w:rPr>
          <w:i/>
        </w:rPr>
        <w:t>internal knowledge bases</w:t>
      </w:r>
      <w:r>
        <w:t xml:space="preserve">, which vary widely based on experience, with a growing, community-driven, </w:t>
      </w:r>
      <w:r>
        <w:rPr>
          <w:i/>
        </w:rPr>
        <w:t>machine-actionable knowledge base</w:t>
      </w:r>
      <w:r>
        <w:t>, knowledge in the ES field can become additive and users’ capabilities greatly enhanced. An interoperable system can also enable the use of a tiered ES modeling approach (Kareiva et al., 2011, Martinez-Lopez et al., 2019, U.N., 2022).</w:t>
      </w:r>
    </w:p>
    <w:p w14:paraId="4661004D" w14:textId="28ECC442" w:rsidR="007C631F" w:rsidRDefault="007C631F" w:rsidP="000B12BC">
      <w:pPr>
        <w:spacing w:line="480" w:lineRule="auto"/>
      </w:pPr>
      <w:r>
        <w:t>This level of interoperability will require changes in how scientists, modelers, and data providers think about and manage their knowledge (Balbi et al., 2022, Figure 4). Achieving interoperability requires work (Santoro et al., 2020), and platform developers must carefully consider how to lower barriers to entry for both end users and contributors of scientific knowledge, including early- to late-career scientists, data stewards, and managers of scientific repositories.</w:t>
      </w:r>
      <w:r w:rsidR="00097A19">
        <w:t xml:space="preserve"> </w:t>
      </w:r>
      <w:r w:rsidR="00097A19">
        <w:rPr>
          <w:color w:val="000000"/>
        </w:rPr>
        <w:t>Data and model developers will likely view further steps to make their products interoperable as burdensome unless s</w:t>
      </w:r>
      <w:r w:rsidR="00777764">
        <w:rPr>
          <w:color w:val="000000"/>
        </w:rPr>
        <w:t>ubstantial</w:t>
      </w:r>
      <w:r w:rsidR="00097A19">
        <w:rPr>
          <w:color w:val="000000"/>
        </w:rPr>
        <w:t xml:space="preserve"> efforts are made to make these additional steps as efficient and rewarding as possible.</w:t>
      </w:r>
    </w:p>
    <w:p w14:paraId="1255652A" w14:textId="77777777" w:rsidR="007C631F" w:rsidRDefault="007C631F" w:rsidP="000B12BC">
      <w:pPr>
        <w:spacing w:before="240" w:after="240" w:line="480" w:lineRule="auto"/>
        <w:jc w:val="center"/>
      </w:pPr>
      <w:r>
        <w:t>(Figure 4 about here)</w:t>
      </w:r>
    </w:p>
    <w:p w14:paraId="43CEE2AF" w14:textId="33432C2C" w:rsidR="00E63A4B" w:rsidRDefault="00E63A4B" w:rsidP="000B12BC">
      <w:pPr>
        <w:spacing w:before="240" w:line="480" w:lineRule="auto"/>
      </w:pPr>
    </w:p>
    <w:p w14:paraId="6FDF8450" w14:textId="30D88FC9" w:rsidR="00C55C27" w:rsidRPr="00741A2B" w:rsidRDefault="00741A2B" w:rsidP="000B12BC">
      <w:pPr>
        <w:spacing w:before="240" w:line="480" w:lineRule="auto"/>
        <w:rPr>
          <w:bCs/>
          <w:i/>
          <w:iCs/>
        </w:rPr>
      </w:pPr>
      <w:r w:rsidRPr="00741A2B">
        <w:rPr>
          <w:bCs/>
          <w:i/>
          <w:iCs/>
        </w:rPr>
        <w:t>5.</w:t>
      </w:r>
      <w:r w:rsidR="00732283">
        <w:rPr>
          <w:bCs/>
          <w:i/>
          <w:iCs/>
        </w:rPr>
        <w:t>4</w:t>
      </w:r>
      <w:r w:rsidR="00154CAC" w:rsidRPr="00741A2B">
        <w:rPr>
          <w:bCs/>
          <w:i/>
          <w:iCs/>
        </w:rPr>
        <w:t xml:space="preserve"> Conclusions</w:t>
      </w:r>
    </w:p>
    <w:p w14:paraId="6CE3DE4E" w14:textId="0B004118" w:rsidR="00C55C27" w:rsidRDefault="00154CAC" w:rsidP="000B12BC">
      <w:pPr>
        <w:spacing w:before="240" w:line="480" w:lineRule="auto"/>
      </w:pPr>
      <w:r>
        <w:lastRenderedPageBreak/>
        <w:t xml:space="preserve">The recognition that standards are needed for </w:t>
      </w:r>
      <w:r w:rsidR="0070101B">
        <w:t>ES data management</w:t>
      </w:r>
      <w:r>
        <w:t xml:space="preserve"> and reporting is not new (Crossman et al., 2013, Drakou et al., 2015, Edens et al., 2022). We believe that today’s ES modeling community faces the choice between a status quo of </w:t>
      </w:r>
      <w:r w:rsidR="000A265B">
        <w:t>increasingly fragmented</w:t>
      </w:r>
      <w:r>
        <w:t>, non-FAIR data, models, and software, versus coalescing around shared community solutions to the interoperability and reusability problem. The adoption of such solutions could take many years, or</w:t>
      </w:r>
      <w:r w:rsidR="0003063F">
        <w:t xml:space="preserve"> </w:t>
      </w:r>
      <w:r w:rsidR="00777764">
        <w:t xml:space="preserve">be </w:t>
      </w:r>
      <w:r w:rsidR="00E41470">
        <w:t>accelerated by</w:t>
      </w:r>
      <w:r>
        <w:t xml:space="preserve"> the involvement of key organizations and individuals. As such, the interoperable ES assessment of the future (section</w:t>
      </w:r>
      <w:r w:rsidR="00551D58">
        <w:t>s</w:t>
      </w:r>
      <w:r>
        <w:t xml:space="preserve"> </w:t>
      </w:r>
      <w:r w:rsidR="00AE496E">
        <w:t>3.5</w:t>
      </w:r>
      <w:r w:rsidR="00551D58">
        <w:t xml:space="preserve"> and 5.3</w:t>
      </w:r>
      <w:r>
        <w:t xml:space="preserve">) need not necessarily </w:t>
      </w:r>
      <w:r w:rsidR="000A265B">
        <w:t xml:space="preserve">be </w:t>
      </w:r>
      <w:r>
        <w:t xml:space="preserve">that of the </w:t>
      </w:r>
      <w:r w:rsidR="000A265B">
        <w:t xml:space="preserve">far </w:t>
      </w:r>
      <w:r>
        <w:t>future.</w:t>
      </w:r>
      <w:r w:rsidR="00CD28B8">
        <w:t xml:space="preserve"> </w:t>
      </w:r>
      <w:r w:rsidR="00CD28B8">
        <w:rPr>
          <w:color w:val="000000"/>
        </w:rPr>
        <w:t>Wh</w:t>
      </w:r>
      <w:r w:rsidR="00846952">
        <w:rPr>
          <w:color w:val="000000"/>
        </w:rPr>
        <w:t>ile</w:t>
      </w:r>
      <w:r w:rsidR="00CD28B8">
        <w:rPr>
          <w:color w:val="000000"/>
        </w:rPr>
        <w:t xml:space="preserve"> any improvements in FAIR ES data, models, and software are valuable steps forward, incremental advances are not commensurate with the urgency of providing ES information to address pressing global challenges (Balbi et al., 2022).</w:t>
      </w:r>
    </w:p>
    <w:p w14:paraId="7CD4503E" w14:textId="22B58D34" w:rsidR="00C55C27" w:rsidRDefault="00154CAC" w:rsidP="000B12BC">
      <w:pPr>
        <w:spacing w:before="240" w:line="480" w:lineRule="auto"/>
      </w:pPr>
      <w:r>
        <w:t xml:space="preserve">FAIR knowledge could enable ES assessments to increasingly shift from human-driven to </w:t>
      </w:r>
      <w:r w:rsidR="00C3769B">
        <w:t>faster, more automated</w:t>
      </w:r>
      <w:r>
        <w:t xml:space="preserve"> </w:t>
      </w:r>
      <w:r w:rsidR="00361E4A">
        <w:t xml:space="preserve">integration </w:t>
      </w:r>
      <w:r>
        <w:t>of interoperable data and models</w:t>
      </w:r>
      <w:r w:rsidR="00292C6E">
        <w:t xml:space="preserve"> (</w:t>
      </w:r>
      <w:r w:rsidR="00292C6E">
        <w:rPr>
          <w:color w:val="000000"/>
        </w:rPr>
        <w:t>Laniak et al., 2013, Belete et al., 2017</w:t>
      </w:r>
      <w:r w:rsidR="00292C6E">
        <w:t>)</w:t>
      </w:r>
      <w:r>
        <w:t xml:space="preserve">. Platforms supporting interoperability can ideally blend both adaptability and power – for instance, providing substantial flexibility for very technical modelers and programmers, while hiding complexity that is unneeded by novice users, yet still providing provenance </w:t>
      </w:r>
      <w:r w:rsidR="009A0EF8">
        <w:t xml:space="preserve">(Gries et al., 2018, Spiekermann et al., 2019) </w:t>
      </w:r>
      <w:r w:rsidR="001F3D58">
        <w:t xml:space="preserve">to </w:t>
      </w:r>
      <w:r>
        <w:t xml:space="preserve">maintain transparency in the modeling process (e.g., U.N., 2022). Done well, interoperable ES data, models, and software can support global monitoring for a range of high-visibility efforts requiring integration of diverse data. These include IPBES, SEEA, and GEO BON, but also the Sustainable Development Goals (Gonzalez Morales and Orrell, 2018, Revez et al., 2022) and </w:t>
      </w:r>
      <w:r>
        <w:rPr>
          <w:color w:val="000000"/>
        </w:rPr>
        <w:t>Taskforce on Nature-related Financial Disclosures</w:t>
      </w:r>
      <w:r w:rsidR="003866AA">
        <w:t xml:space="preserve"> that</w:t>
      </w:r>
      <w:r>
        <w:t xml:space="preserve"> is exploring creation of a “global nature-related public data facility” (TNFD, 202</w:t>
      </w:r>
      <w:r w:rsidR="00CA348C">
        <w:t>4b</w:t>
      </w:r>
      <w:r>
        <w:t xml:space="preserve">), which would benefit from a focus on interoperability with other ES initiatives. </w:t>
      </w:r>
      <w:r w:rsidR="008E428D">
        <w:t>T</w:t>
      </w:r>
      <w:r w:rsidR="00860C01">
        <w:t>hrough appropriate reuse of tailored knowledge,</w:t>
      </w:r>
      <w:r>
        <w:t xml:space="preserve"> </w:t>
      </w:r>
      <w:r w:rsidR="008E428D">
        <w:t xml:space="preserve">credible and high-quality reporting on ES </w:t>
      </w:r>
      <w:r>
        <w:t xml:space="preserve">will also play a critical role in the sustainable digital transformation (CODES, 2024). At the same time, we recognize that real </w:t>
      </w:r>
      <w:r>
        <w:lastRenderedPageBreak/>
        <w:t xml:space="preserve">limits </w:t>
      </w:r>
      <w:r w:rsidR="007A36E1">
        <w:t xml:space="preserve">likely </w:t>
      </w:r>
      <w:r>
        <w:t>exist on the interoperability of certain types of ES data, e.g., those collected using participatory methods and drawing from indigenous knowledge.</w:t>
      </w:r>
    </w:p>
    <w:p w14:paraId="781748BD" w14:textId="4E79B840" w:rsidR="00C55C27" w:rsidRDefault="00154CAC" w:rsidP="000B12BC">
      <w:pPr>
        <w:spacing w:before="240" w:line="480" w:lineRule="auto"/>
      </w:pPr>
      <w:bookmarkStart w:id="11" w:name="_17dp8vu" w:colFirst="0" w:colLast="0"/>
      <w:bookmarkEnd w:id="11"/>
      <w:r>
        <w:t xml:space="preserve">Despite the size of this challenge, we see reason for optimism. Ten to fifteen years ago, graduate students were not routinely taught to code using collaborative tools, nor did scientists regularly use public data and code repositories. Interoperability and reusability for ES and science more broadly are natural next steps toward greater transparency and reproducibility. In an age of ever-expanding scientific knowledge, we agree with Hampton et al. (2013) that scientists who effectively share and reuse data will ultimately do the most valuable research, conducting more novel, timely, and broad syntheses that bring new perspectives to past datasets. Given the urgency of confronting global environmental challenges with actionable evidence (Balbi et al., 2022, COP28, 2023) and at a time when scientific knowledge is growing too quickly for individual scientists to keep up with (Borycz and Carroll, 2020), we believe the time is ripe to expand the </w:t>
      </w:r>
      <w:r w:rsidR="005D764D">
        <w:t>level of engagement</w:t>
      </w:r>
      <w:r>
        <w:t xml:space="preserve"> on interoperability for ES across our community.</w:t>
      </w:r>
    </w:p>
    <w:p w14:paraId="438F6A55" w14:textId="77777777" w:rsidR="00C55C27" w:rsidRDefault="00C55C27" w:rsidP="000B12BC">
      <w:pPr>
        <w:spacing w:line="480" w:lineRule="auto"/>
      </w:pPr>
      <w:bookmarkStart w:id="12" w:name="_3rdcrjn" w:colFirst="0" w:colLast="0"/>
      <w:bookmarkEnd w:id="12"/>
    </w:p>
    <w:p w14:paraId="6FEF0815" w14:textId="77777777" w:rsidR="00C55C27" w:rsidRDefault="00154CAC" w:rsidP="000B12BC">
      <w:pPr>
        <w:spacing w:line="480" w:lineRule="auto"/>
        <w:rPr>
          <w:b/>
        </w:rPr>
      </w:pPr>
      <w:r>
        <w:rPr>
          <w:b/>
        </w:rPr>
        <w:t>References</w:t>
      </w:r>
    </w:p>
    <w:p w14:paraId="7BF5B738" w14:textId="77777777" w:rsidR="0009744F" w:rsidRDefault="0009744F" w:rsidP="000B12BC">
      <w:pPr>
        <w:spacing w:after="0" w:line="480" w:lineRule="auto"/>
        <w:ind w:left="360" w:hanging="360"/>
        <w:rPr>
          <w:highlight w:val="white"/>
        </w:rPr>
      </w:pPr>
    </w:p>
    <w:p w14:paraId="6D6DBD2A" w14:textId="14B641EB" w:rsidR="0009744F" w:rsidRDefault="0009744F" w:rsidP="000B12BC">
      <w:pPr>
        <w:spacing w:after="0" w:line="480" w:lineRule="auto"/>
        <w:ind w:left="360" w:hanging="360"/>
        <w:rPr>
          <w:shd w:val="clear" w:color="auto" w:fill="FFFFFF"/>
        </w:rPr>
      </w:pPr>
      <w:r w:rsidRPr="00696FDA">
        <w:rPr>
          <w:shd w:val="clear" w:color="auto" w:fill="FFFFFF"/>
        </w:rPr>
        <w:t xml:space="preserve">Adamo, G., Willis, M., 2022. Conceptual Integration for Social-Ecological Systems, in: Guizzardi, R., Ralyté, J., Franch, X. (Eds.), Research Challenges in Information Science. RCIS 2022. Lecture Notes in Business Information Processing, vol 446. Springer, Cham, </w:t>
      </w:r>
      <w:hyperlink r:id="rId12" w:history="1">
        <w:r w:rsidR="00D030C0" w:rsidRPr="00AB40CA">
          <w:rPr>
            <w:rStyle w:val="Hyperlink"/>
            <w:shd w:val="clear" w:color="auto" w:fill="FFFFFF"/>
          </w:rPr>
          <w:t>https://doi.org/10.1007/978-3-031-05760-1_19</w:t>
        </w:r>
      </w:hyperlink>
      <w:r w:rsidR="00D030C0">
        <w:rPr>
          <w:shd w:val="clear" w:color="auto" w:fill="FFFFFF"/>
        </w:rPr>
        <w:t>.</w:t>
      </w:r>
    </w:p>
    <w:p w14:paraId="2D8D578A" w14:textId="16F78525" w:rsidR="00D030C0" w:rsidRPr="00D030C0" w:rsidRDefault="00D030C0" w:rsidP="000B12BC">
      <w:pPr>
        <w:spacing w:after="0" w:line="480" w:lineRule="auto"/>
        <w:ind w:left="360" w:hanging="360"/>
        <w:rPr>
          <w:rStyle w:val="cf01"/>
          <w:rFonts w:asciiTheme="majorHAnsi" w:hAnsiTheme="majorHAnsi" w:cstheme="majorHAnsi"/>
          <w:sz w:val="22"/>
          <w:szCs w:val="22"/>
          <w:highlight w:val="green"/>
        </w:rPr>
      </w:pPr>
      <w:r w:rsidRPr="00D030C0">
        <w:rPr>
          <w:rStyle w:val="cf01"/>
          <w:rFonts w:asciiTheme="majorHAnsi" w:hAnsiTheme="majorHAnsi" w:cstheme="majorHAnsi"/>
          <w:sz w:val="22"/>
          <w:szCs w:val="22"/>
        </w:rPr>
        <w:t xml:space="preserve">Affinito, F., Holzer, J.M., Fortin, M.J., Gonzalez, A., 2024. Towards a unified ontology for monitoring ecosystem services. </w:t>
      </w:r>
      <w:hyperlink r:id="rId13" w:history="1">
        <w:r w:rsidRPr="00D030C0">
          <w:rPr>
            <w:rStyle w:val="cf01"/>
            <w:rFonts w:asciiTheme="majorHAnsi" w:hAnsiTheme="majorHAnsi" w:cstheme="majorHAnsi"/>
            <w:color w:val="0000FF"/>
            <w:sz w:val="22"/>
            <w:szCs w:val="22"/>
            <w:u w:val="single"/>
          </w:rPr>
          <w:t>https://doi.org/10.32942/X21W5S</w:t>
        </w:r>
      </w:hyperlink>
      <w:r w:rsidRPr="00D030C0">
        <w:rPr>
          <w:rStyle w:val="cf01"/>
          <w:rFonts w:asciiTheme="majorHAnsi" w:hAnsiTheme="majorHAnsi" w:cstheme="majorHAnsi"/>
          <w:sz w:val="22"/>
          <w:szCs w:val="22"/>
        </w:rPr>
        <w:t xml:space="preserve"> (accessed 25 November 2024).</w:t>
      </w:r>
    </w:p>
    <w:p w14:paraId="0EAF5EB4" w14:textId="77777777" w:rsidR="00FB0B65" w:rsidRDefault="0009744F" w:rsidP="000B12BC">
      <w:pPr>
        <w:spacing w:after="0" w:line="480" w:lineRule="auto"/>
        <w:ind w:left="360" w:hanging="360"/>
      </w:pPr>
      <w:r>
        <w:rPr>
          <w:highlight w:val="white"/>
        </w:rPr>
        <w:lastRenderedPageBreak/>
        <w:t>Agricultural Model Intercomparison and Improvement Project</w:t>
      </w:r>
      <w:r>
        <w:t xml:space="preserve"> (AgMIP), 2024. AgMIP Overview. </w:t>
      </w:r>
      <w:hyperlink r:id="rId14">
        <w:r>
          <w:rPr>
            <w:color w:val="000000"/>
          </w:rPr>
          <w:t>https://agmip.org/overview/</w:t>
        </w:r>
      </w:hyperlink>
      <w:r>
        <w:t xml:space="preserve"> (accessed 13 March 2024).</w:t>
      </w:r>
    </w:p>
    <w:p w14:paraId="16E6C795" w14:textId="77777777" w:rsidR="00FB0B65" w:rsidRPr="00FB0B65" w:rsidRDefault="00FB0B65" w:rsidP="000B12BC">
      <w:pPr>
        <w:spacing w:after="0" w:line="480" w:lineRule="auto"/>
        <w:ind w:left="360" w:hanging="360"/>
        <w:rPr>
          <w:rFonts w:asciiTheme="majorHAnsi" w:hAnsiTheme="majorHAnsi" w:cstheme="majorHAnsi"/>
        </w:rPr>
      </w:pPr>
      <w:r w:rsidRPr="00FB0B65">
        <w:rPr>
          <w:rFonts w:asciiTheme="majorHAnsi" w:hAnsiTheme="majorHAnsi" w:cstheme="majorHAnsi"/>
        </w:rPr>
        <w:t xml:space="preserve">Alewell, C., Meusburger, K., Brodbeck, M., Banninger, D., 2008. Methods to describe and predict soil erosion in mountain regions. Landscape and Urban Plan. 88, 2-4, 46-53. </w:t>
      </w:r>
      <w:hyperlink r:id="rId15" w:tgtFrame="_blank" w:tooltip="Persistent link using digital object identifier" w:history="1">
        <w:r w:rsidRPr="00FB0B65">
          <w:rPr>
            <w:rStyle w:val="anchor-text"/>
            <w:rFonts w:asciiTheme="majorHAnsi" w:hAnsiTheme="majorHAnsi" w:cstheme="majorHAnsi"/>
          </w:rPr>
          <w:t>https://doi.org/10.1016/j.landurbplan.2008.08.007</w:t>
        </w:r>
      </w:hyperlink>
      <w:r w:rsidRPr="00FB0B65">
        <w:rPr>
          <w:rFonts w:asciiTheme="majorHAnsi" w:hAnsiTheme="majorHAnsi" w:cstheme="majorHAnsi"/>
        </w:rPr>
        <w:t xml:space="preserve">. </w:t>
      </w:r>
    </w:p>
    <w:p w14:paraId="11490F50" w14:textId="77777777" w:rsidR="00FB0B65" w:rsidRPr="00FB0B65" w:rsidRDefault="00FB0B65" w:rsidP="000B12BC">
      <w:pPr>
        <w:spacing w:after="0" w:line="480" w:lineRule="auto"/>
        <w:ind w:left="360" w:hanging="360"/>
        <w:rPr>
          <w:rFonts w:asciiTheme="majorHAnsi" w:hAnsiTheme="majorHAnsi" w:cstheme="majorHAnsi"/>
        </w:rPr>
      </w:pPr>
      <w:r w:rsidRPr="00FB0B65">
        <w:rPr>
          <w:rFonts w:asciiTheme="majorHAnsi" w:hAnsiTheme="majorHAnsi" w:cstheme="majorHAnsi"/>
        </w:rPr>
        <w:t xml:space="preserve">Almagro, A., Thomé, T.C., Colman, C.B., Pereira, R.B., Junior, J.M., Rodrigues, D.B.B., et al., 2019. Improving cover and management factor (C-factor) estimation using remote sensing approaches for tropical regions. International Soil and Water Conservation Research 7(4), 325-334. </w:t>
      </w:r>
      <w:hyperlink r:id="rId16" w:tgtFrame="_blank" w:tooltip="Persistent link using digital object identifier" w:history="1">
        <w:r w:rsidRPr="00FB0B65">
          <w:rPr>
            <w:rStyle w:val="anchor-text"/>
            <w:rFonts w:asciiTheme="majorHAnsi" w:hAnsiTheme="majorHAnsi" w:cstheme="majorHAnsi"/>
          </w:rPr>
          <w:t>https://doi.org/10.1016/j.iswcr.2019.08.005</w:t>
        </w:r>
      </w:hyperlink>
      <w:r w:rsidRPr="00FB0B65">
        <w:rPr>
          <w:rFonts w:asciiTheme="majorHAnsi" w:hAnsiTheme="majorHAnsi" w:cstheme="majorHAnsi"/>
        </w:rPr>
        <w:t>.</w:t>
      </w:r>
    </w:p>
    <w:p w14:paraId="74A2EA2D" w14:textId="5FCBB583" w:rsidR="00C55C27" w:rsidRDefault="00154CAC" w:rsidP="000B12BC">
      <w:pPr>
        <w:spacing w:after="0" w:line="480" w:lineRule="auto"/>
        <w:ind w:left="360" w:hanging="360"/>
      </w:pPr>
      <w:r>
        <w:t>Antoniou, G., Groth, P., van Harmelen, F., Hoekstra, R., 2012. A semantic web primer, third ed. MIT Press, Cambridge, MA.</w:t>
      </w:r>
    </w:p>
    <w:p w14:paraId="28FEC100" w14:textId="77777777" w:rsidR="00C55C27" w:rsidRDefault="00154CAC" w:rsidP="000B12BC">
      <w:pPr>
        <w:spacing w:after="0" w:line="480" w:lineRule="auto"/>
        <w:ind w:left="360" w:hanging="360"/>
      </w:pPr>
      <w:r>
        <w:t xml:space="preserve">Atlassian, 2024. What is version control? </w:t>
      </w:r>
      <w:hyperlink r:id="rId17">
        <w:r>
          <w:rPr>
            <w:color w:val="0000FF"/>
            <w:u w:val="single"/>
          </w:rPr>
          <w:t>https://www.atlassian.com/git/tutorials/what-is-version-control</w:t>
        </w:r>
      </w:hyperlink>
      <w:r>
        <w:t xml:space="preserve"> (accessed 5 April 2024).</w:t>
      </w:r>
    </w:p>
    <w:p w14:paraId="503EF231" w14:textId="77777777" w:rsidR="00C55C27" w:rsidRDefault="00154CAC" w:rsidP="000B12BC">
      <w:pPr>
        <w:spacing w:after="0" w:line="480" w:lineRule="auto"/>
        <w:ind w:left="360" w:hanging="360"/>
      </w:pPr>
      <w:r>
        <w:t xml:space="preserve">Ausseil, A.G.E., Greenhalgh, S., Booth, P., Lavorel, S., Collins, A., 2022. A novel approach to identify and prioritize the connections between nature and people’s well-being in New Zealand. Frontiers in Environmental Science 10, 782229. </w:t>
      </w:r>
      <w:hyperlink r:id="rId18">
        <w:r>
          <w:rPr>
            <w:color w:val="000000"/>
            <w:shd w:val="clear" w:color="auto" w:fill="F7F7F7"/>
          </w:rPr>
          <w:t>https://doi.org/10.3389/fenvs.2022.782229</w:t>
        </w:r>
      </w:hyperlink>
      <w:r>
        <w:t>.</w:t>
      </w:r>
    </w:p>
    <w:p w14:paraId="19DE2FCC" w14:textId="77777777" w:rsidR="00C55C27" w:rsidRDefault="00154CAC" w:rsidP="000B12BC">
      <w:pPr>
        <w:spacing w:after="0" w:line="480" w:lineRule="auto"/>
        <w:ind w:left="360" w:hanging="360"/>
      </w:pPr>
      <w:r>
        <w:t>Ayuningsih, F., 2019. Ontology development for ecosystem services. Masters Thesis, University of Twente, The Netherlands.</w:t>
      </w:r>
    </w:p>
    <w:p w14:paraId="7BDC7175" w14:textId="77777777" w:rsidR="00C55C27" w:rsidRDefault="00154CAC" w:rsidP="000B12BC">
      <w:pPr>
        <w:spacing w:after="0" w:line="480" w:lineRule="auto"/>
        <w:ind w:left="360" w:hanging="360"/>
      </w:pPr>
      <w:r>
        <w:t xml:space="preserve">Bada, M., Stevens, R., Goble, C., Gil, Y., Ashburner, M., Blake, J.A., et al. 2004. A short study of the success of the Gene Ontology. Journal of Web Semantics 1(2), 235-240. </w:t>
      </w:r>
      <w:hyperlink r:id="rId19">
        <w:r>
          <w:t>https://doi.org/10.1016/j.websem.2003.12.003</w:t>
        </w:r>
      </w:hyperlink>
      <w:r>
        <w:t>.</w:t>
      </w:r>
    </w:p>
    <w:p w14:paraId="52F9993A" w14:textId="77777777" w:rsidR="00C55C27" w:rsidRDefault="00154CAC" w:rsidP="000B12BC">
      <w:pPr>
        <w:spacing w:after="0" w:line="480" w:lineRule="auto"/>
        <w:ind w:left="360" w:hanging="360"/>
        <w:rPr>
          <w:highlight w:val="white"/>
        </w:rPr>
      </w:pPr>
      <w:r>
        <w:lastRenderedPageBreak/>
        <w:t xml:space="preserve">Bagstad, K.J., Willcock, S., Lange, G., 2018. </w:t>
      </w:r>
      <w:r>
        <w:rPr>
          <w:highlight w:val="white"/>
        </w:rPr>
        <w:t>Remote sensing and modeling to fill the “gap” in missing natural capital, in: Lange, G., Wodon, Q., Carey, K. (Eds.), The changing wealth of nations 2018: Building a sustainable future, World Bank, Washington, DC, pp. 199-210.</w:t>
      </w:r>
    </w:p>
    <w:p w14:paraId="4C782C7F" w14:textId="77777777" w:rsidR="00C55C27" w:rsidRDefault="00154CAC" w:rsidP="000B12BC">
      <w:pPr>
        <w:spacing w:after="0" w:line="480" w:lineRule="auto"/>
        <w:ind w:left="360" w:hanging="360"/>
      </w:pPr>
      <w:r>
        <w:rPr>
          <w:highlight w:val="white"/>
        </w:rPr>
        <w:t>Balbi, S., Bagstad, K.J., Magrach, A. Sanz, M.J., Aguilar-Amuchastegui, N., Giupponi, C., et al., 2022. The global environmental agenda urgently needs a semantic web of knowledge. Environ. Evid. 11, 5. https://doi.org/10.1186/s13750-022-00258-y</w:t>
      </w:r>
      <w:r>
        <w:t xml:space="preserve"> Balvanera, P., Brauman, K.A., Cord, A.F., Drakou, E.G., Geijzendorffer, I.R., Karp, D.S., et al., 2022. Essential ecosystem service variables for monitoring progress toward sustainability. Curr. Opin. Env. Sust. 20, 101152. </w:t>
      </w:r>
      <w:hyperlink r:id="rId20">
        <w:r>
          <w:t>https://doi.org/10.1016/j.cosust.2022.101152</w:t>
        </w:r>
      </w:hyperlink>
      <w:r>
        <w:t>.</w:t>
      </w:r>
    </w:p>
    <w:p w14:paraId="394FE997" w14:textId="77777777" w:rsidR="00C55C27" w:rsidRDefault="00154CAC" w:rsidP="000B12BC">
      <w:pPr>
        <w:spacing w:after="0" w:line="480" w:lineRule="auto"/>
        <w:ind w:left="360" w:hanging="360"/>
        <w:rPr>
          <w:highlight w:val="white"/>
        </w:rPr>
      </w:pPr>
      <w:r>
        <w:rPr>
          <w:highlight w:val="white"/>
        </w:rPr>
        <w:t xml:space="preserve">Barker, M., Chue Hong, N.P., Katz, D.S., Lamprecht, A., Martinez-Ortiz, C., Psomopoulos, F., et al., 2022. Introducing the FAIR Principles for research software. Sci. Data. 9, 622 (2022). </w:t>
      </w:r>
      <w:hyperlink r:id="rId21">
        <w:r>
          <w:rPr>
            <w:color w:val="000000"/>
            <w:highlight w:val="white"/>
          </w:rPr>
          <w:t>https://doi.org/10.1038/s41597-022-01710-x</w:t>
        </w:r>
      </w:hyperlink>
      <w:r>
        <w:rPr>
          <w:highlight w:val="white"/>
        </w:rPr>
        <w:t>.</w:t>
      </w:r>
    </w:p>
    <w:p w14:paraId="49C11D72" w14:textId="77777777" w:rsidR="00C55C27" w:rsidRDefault="00154CAC" w:rsidP="000B12BC">
      <w:pPr>
        <w:spacing w:after="0" w:line="480" w:lineRule="auto"/>
        <w:ind w:left="360" w:hanging="360"/>
      </w:pPr>
      <w:r>
        <w:t xml:space="preserve">Belete, G.F., Voinov, A., Laniak, G.F., 2017. An overview of the model integration process: From pre-integration assessment to testing. Environ. Modell. Softw. 87, 49-63. </w:t>
      </w:r>
      <w:hyperlink r:id="rId22">
        <w:r>
          <w:t>https://doi.org/10.1016/j.envsoft.2016.10.013</w:t>
        </w:r>
      </w:hyperlink>
      <w:r>
        <w:t>.</w:t>
      </w:r>
    </w:p>
    <w:p w14:paraId="32F5C194" w14:textId="291E3F22" w:rsidR="00273CEA" w:rsidRDefault="00273CEA" w:rsidP="000B12BC">
      <w:pPr>
        <w:spacing w:after="0" w:line="480" w:lineRule="auto"/>
        <w:ind w:left="360" w:hanging="360"/>
      </w:pPr>
      <w:r>
        <w:t xml:space="preserve">Benavidez, R., </w:t>
      </w:r>
      <w:r w:rsidR="00BE14E0">
        <w:t>Jackson, B., Maxwell, D., Northon, K.</w:t>
      </w:r>
      <w:r>
        <w:t xml:space="preserve">, 2018. </w:t>
      </w:r>
      <w:r w:rsidR="00BE14E0">
        <w:t xml:space="preserve">A review of the (Revised) Universal Soil Loss Equation ((R)USLE): with a view to increasing its global applicability and improving soil loss estimates. Hydrol. Earth Syst. Sci. 22, </w:t>
      </w:r>
      <w:r w:rsidR="008D098F">
        <w:t xml:space="preserve">6059-6086. </w:t>
      </w:r>
      <w:r w:rsidR="008D098F" w:rsidRPr="008D098F">
        <w:rPr>
          <w:rFonts w:asciiTheme="majorHAnsi" w:hAnsiTheme="majorHAnsi" w:cstheme="majorHAnsi"/>
        </w:rPr>
        <w:t>https://doi.org/10.5194/hess-22-6059-2018</w:t>
      </w:r>
    </w:p>
    <w:p w14:paraId="6920EF6C" w14:textId="77777777" w:rsidR="00FB0B65" w:rsidRPr="00FB0B65" w:rsidRDefault="00FB0B65" w:rsidP="000B12BC">
      <w:pPr>
        <w:spacing w:after="0" w:line="480" w:lineRule="auto"/>
        <w:ind w:left="360" w:hanging="360"/>
        <w:rPr>
          <w:rFonts w:asciiTheme="majorHAnsi" w:hAnsiTheme="majorHAnsi" w:cstheme="majorHAnsi"/>
        </w:rPr>
      </w:pPr>
      <w:r w:rsidRPr="00FB0B65">
        <w:rPr>
          <w:rFonts w:asciiTheme="majorHAnsi" w:hAnsiTheme="majorHAnsi" w:cstheme="majorHAnsi"/>
          <w:shd w:val="clear" w:color="auto" w:fill="FFFFFF"/>
        </w:rPr>
        <w:t>Borrelli, P., Lugato, E., Montanarella, L., Panagos, P., 2017. A New Assessment of Soil Loss Due to Wind Erosion in European Agricultural Soils Using a Quantitative Spatially Distributed Modelling Approach. </w:t>
      </w:r>
      <w:r w:rsidRPr="00FB0B65">
        <w:rPr>
          <w:rStyle w:val="Emphasis"/>
          <w:rFonts w:asciiTheme="majorHAnsi" w:hAnsiTheme="majorHAnsi" w:cstheme="majorHAnsi"/>
          <w:i w:val="0"/>
          <w:iCs w:val="0"/>
          <w:shd w:val="clear" w:color="auto" w:fill="FFFFFF"/>
        </w:rPr>
        <w:t xml:space="preserve">Land Degrad. Dev. </w:t>
      </w:r>
      <w:r w:rsidRPr="00FB0B65">
        <w:rPr>
          <w:rStyle w:val="Strong"/>
          <w:rFonts w:asciiTheme="majorHAnsi" w:hAnsiTheme="majorHAnsi" w:cstheme="majorHAnsi"/>
          <w:b w:val="0"/>
          <w:bCs w:val="0"/>
          <w:shd w:val="clear" w:color="auto" w:fill="FFFFFF"/>
        </w:rPr>
        <w:t>28</w:t>
      </w:r>
      <w:r w:rsidRPr="00FB0B65">
        <w:rPr>
          <w:rFonts w:asciiTheme="majorHAnsi" w:hAnsiTheme="majorHAnsi" w:cstheme="majorHAnsi"/>
          <w:shd w:val="clear" w:color="auto" w:fill="FFFFFF"/>
        </w:rPr>
        <w:t>, 335-344. https://doi.org/10.1002/ldr.2588.</w:t>
      </w:r>
    </w:p>
    <w:p w14:paraId="10938538" w14:textId="60E47A05" w:rsidR="00C55C27" w:rsidRDefault="00154CAC" w:rsidP="000B12BC">
      <w:pPr>
        <w:spacing w:after="0" w:line="480" w:lineRule="auto"/>
        <w:ind w:left="360" w:hanging="360"/>
      </w:pPr>
      <w:r>
        <w:lastRenderedPageBreak/>
        <w:t>Borgo, S., Ferrario, R., Gangemi, A., Guarino, N., Masolo, C., Porello, D., et al., 2022. DOLCE: A descriptive ontology for linguistic and cognitive engineering. Applied Ontology 17(1), 45-69. https://doi.org/10.3233/AO-210259.</w:t>
      </w:r>
    </w:p>
    <w:p w14:paraId="066A70EA" w14:textId="77777777" w:rsidR="00C55C27" w:rsidRDefault="00154CAC" w:rsidP="000B12BC">
      <w:pPr>
        <w:spacing w:after="0" w:line="480" w:lineRule="auto"/>
        <w:ind w:left="360" w:hanging="360"/>
      </w:pPr>
      <w:r>
        <w:t>Borycz, J., Carroll, B., 2020. Implementing FAIR data for people and machines: Impacts and implications - results of a research data community workshop. Information Services &amp; Use 40(1-2), 71-85, https://doi.org/10.3233/ISU-200083.</w:t>
      </w:r>
    </w:p>
    <w:p w14:paraId="3C7A83FF" w14:textId="77777777" w:rsidR="00C55C27" w:rsidRDefault="00154CAC" w:rsidP="000B12BC">
      <w:pPr>
        <w:spacing w:after="0" w:line="480" w:lineRule="auto"/>
        <w:ind w:left="360" w:hanging="360"/>
        <w:rPr>
          <w:highlight w:val="white"/>
        </w:rPr>
      </w:pPr>
      <w:r>
        <w:rPr>
          <w:highlight w:val="white"/>
        </w:rPr>
        <w:t xml:space="preserve">Borycz, J., Olendorf, R., Specht, A. Grant, B., Crowston, K., Tenopir, C., et al., 2023. Perceived benefits of open data are improving but scientists still lack resources, skills, and rewards. Humanit. Soc. Sci. Commun. 10, 339. </w:t>
      </w:r>
      <w:hyperlink r:id="rId23">
        <w:r>
          <w:rPr>
            <w:color w:val="000000"/>
            <w:highlight w:val="white"/>
          </w:rPr>
          <w:t>https://doi.org/10.1057/s41599-023-01831-7</w:t>
        </w:r>
      </w:hyperlink>
      <w:r>
        <w:rPr>
          <w:highlight w:val="white"/>
        </w:rPr>
        <w:t>.</w:t>
      </w:r>
    </w:p>
    <w:p w14:paraId="43268FF3" w14:textId="77777777" w:rsidR="00C55C27" w:rsidRDefault="00154CAC" w:rsidP="000B12BC">
      <w:pPr>
        <w:spacing w:after="0" w:line="480" w:lineRule="auto"/>
        <w:ind w:left="360" w:hanging="360"/>
      </w:pPr>
      <w:r>
        <w:t>Box, G.E.P., 1976. Science and Statistics. J. Am. Stat. Assoc. 71(356), 791-799.</w:t>
      </w:r>
    </w:p>
    <w:p w14:paraId="396D2D9A" w14:textId="77777777" w:rsidR="00C55C27" w:rsidRDefault="00154CAC" w:rsidP="000B12BC">
      <w:pPr>
        <w:spacing w:after="0" w:line="480" w:lineRule="auto"/>
        <w:ind w:left="360" w:hanging="360"/>
      </w:pPr>
      <w:r>
        <w:t xml:space="preserve">Buchhorn, M., Smets, B., Danckaert, T., van Loo, M., Broekx, S., Peelaerts, W., 2022. Establishing a reference tool for ecosystem accounting in Europe, based on the INCA methodology. One Ecosystem 7, e85389. </w:t>
      </w:r>
      <w:hyperlink r:id="rId24">
        <w:r>
          <w:rPr>
            <w:color w:val="0000FF"/>
            <w:u w:val="single"/>
          </w:rPr>
          <w:t>https://doi.org/10.3897/oneeco.7.e85389</w:t>
        </w:r>
      </w:hyperlink>
      <w:r>
        <w:t>.</w:t>
      </w:r>
    </w:p>
    <w:p w14:paraId="2C7B3BFF" w14:textId="77777777" w:rsidR="00C55C27" w:rsidRDefault="00154CAC" w:rsidP="000B12BC">
      <w:pPr>
        <w:spacing w:after="0" w:line="480" w:lineRule="auto"/>
        <w:ind w:left="360" w:hanging="360"/>
      </w:pPr>
      <w:r>
        <w:t xml:space="preserve">Bulckaen, A., Bagstad, K.J., Villa, F., 2024. Ecosystem services overview. </w:t>
      </w:r>
      <w:hyperlink r:id="rId25">
        <w:r>
          <w:rPr>
            <w:color w:val="0000FF"/>
            <w:u w:val="single"/>
          </w:rPr>
          <w:t>https://zenodo.org/records/10715892</w:t>
        </w:r>
      </w:hyperlink>
      <w:r>
        <w:t xml:space="preserve"> (accessed 2 May 2024).</w:t>
      </w:r>
    </w:p>
    <w:p w14:paraId="0EB97151" w14:textId="77777777" w:rsidR="00C55C27" w:rsidRDefault="00154CAC" w:rsidP="000B12BC">
      <w:pPr>
        <w:spacing w:after="0" w:line="480" w:lineRule="auto"/>
        <w:ind w:left="360" w:hanging="360"/>
      </w:pPr>
      <w:r>
        <w:t>Bull, J.W., Jobstvogt, N., Bohnke-Henrichs, A., Mascarenhas, A., Sitas, N., Baulcomb, C., et al. 2016. Strengths, Weaknesses, Opportunities and Threats: A SWOT analysis of the ecosystem services framework. Ecosyst. Serv. 17, 99–111. https://doi.org/10.1016/j.ecoser.2015.11.012.</w:t>
      </w:r>
    </w:p>
    <w:p w14:paraId="7B3CF56E" w14:textId="77777777" w:rsidR="00C55C27" w:rsidRDefault="00154CAC" w:rsidP="000B12BC">
      <w:pPr>
        <w:spacing w:after="0" w:line="480" w:lineRule="auto"/>
        <w:ind w:left="360" w:hanging="360"/>
      </w:pPr>
      <w:r>
        <w:t>Burkhard, B., Maes, J., Geneletti, D., Stoev, P., Penev, L., 2016. One Ecosystem: Innovation in ecology and sustainability research publishing. One Ecosystem 1, e9255. https://doi.org/10.3897/oneeco.1.e9255.</w:t>
      </w:r>
    </w:p>
    <w:p w14:paraId="6CA08853" w14:textId="070F8812" w:rsidR="00C55C27" w:rsidRDefault="00154CAC" w:rsidP="000B12BC">
      <w:pPr>
        <w:spacing w:after="0" w:line="480" w:lineRule="auto"/>
        <w:ind w:left="360" w:hanging="360"/>
      </w:pPr>
      <w:r>
        <w:lastRenderedPageBreak/>
        <w:t xml:space="preserve">Buttigieg, P.L., Morrison, N., Smith, B., Mungall, C.J., Lewis, S.E., ENVO Consortium, 2013. The environment ontology: contextualizing biological and biomedical entities. J. Biomed. Semant. 4, 43. </w:t>
      </w:r>
      <w:r>
        <w:rPr>
          <w:highlight w:val="white"/>
        </w:rPr>
        <w:t>https://doi.org/10.1186/2041-1480-4-43.</w:t>
      </w:r>
    </w:p>
    <w:p w14:paraId="659AD2A8" w14:textId="77777777" w:rsidR="00C55C27" w:rsidRDefault="00154CAC" w:rsidP="000B12BC">
      <w:pPr>
        <w:spacing w:after="0" w:line="480" w:lineRule="auto"/>
        <w:ind w:left="360" w:hanging="360"/>
      </w:pPr>
      <w:r>
        <w:t xml:space="preserve">Campagne, C.S., Roche, P., Muller, F., Burkhard, B., 2020. Ten years of ecosystem service matrix: Review of a (r)evolution. One Ecosystem 5, e51103. </w:t>
      </w:r>
      <w:hyperlink r:id="rId26">
        <w:r>
          <w:rPr>
            <w:color w:val="000000"/>
          </w:rPr>
          <w:t>https://doi.org/10.3897/oneeco.5.e51103</w:t>
        </w:r>
      </w:hyperlink>
      <w:r>
        <w:t>.</w:t>
      </w:r>
    </w:p>
    <w:p w14:paraId="7F9076A1" w14:textId="77777777" w:rsidR="00C55C27" w:rsidRDefault="00154CAC" w:rsidP="000B12BC">
      <w:pPr>
        <w:spacing w:after="0" w:line="480" w:lineRule="auto"/>
        <w:ind w:left="360" w:hanging="360"/>
      </w:pPr>
      <w:r>
        <w:t xml:space="preserve">Campbell, H.A., Micheli-Campbell, M.A., Udyawer, V., 2019. Early career researchers embrace data sharing. Trends Ecol. Evol. 34(2), 95-98. </w:t>
      </w:r>
      <w:hyperlink r:id="rId27">
        <w:r>
          <w:t>https://doi.org/10.1016/j.tree.2018.11.010</w:t>
        </w:r>
      </w:hyperlink>
      <w:r>
        <w:t>.</w:t>
      </w:r>
    </w:p>
    <w:p w14:paraId="64240B80" w14:textId="77777777" w:rsidR="00C55C27" w:rsidRDefault="00154CAC" w:rsidP="000B12BC">
      <w:pPr>
        <w:spacing w:after="0" w:line="480" w:lineRule="auto"/>
        <w:ind w:left="360" w:hanging="360"/>
      </w:pPr>
      <w:r>
        <w:t xml:space="preserve">Carmen, E., Watt, A., Carvalho, L., Dick, J., Fazey, I., Garcia-Blanco, G., et al., 2018. Knowledge needs for the operationalization of the concept of ecosystem services. Ecosyst. Serv. 29C:441-451. </w:t>
      </w:r>
      <w:hyperlink r:id="rId28">
        <w:r>
          <w:t>https://doi.org/10.1016/j.ecoser.2017.10.012</w:t>
        </w:r>
      </w:hyperlink>
      <w:r>
        <w:t>.</w:t>
      </w:r>
    </w:p>
    <w:p w14:paraId="55DA2802" w14:textId="77777777" w:rsidR="00C55C27" w:rsidRDefault="00154CAC" w:rsidP="000B12BC">
      <w:pPr>
        <w:spacing w:after="0" w:line="480" w:lineRule="auto"/>
        <w:ind w:left="360" w:hanging="360"/>
      </w:pPr>
      <w:r>
        <w:t xml:space="preserve">Carpenter, S.R., Mooney, H.A., Agard, J., Capistrano, D., DeFries, R.S., Diaz, S., et al., 2009. Science for managing ecosystem services: Beyond the Millennium Ecosystem Assessment. Proceedings of the National Academy of Sciences 106(5), 1305-1312. </w:t>
      </w:r>
      <w:hyperlink r:id="rId29">
        <w:r>
          <w:rPr>
            <w:color w:val="000000"/>
          </w:rPr>
          <w:t>https://doi.org/</w:t>
        </w:r>
      </w:hyperlink>
      <w:hyperlink r:id="rId30">
        <w:r>
          <w:rPr>
            <w:color w:val="000000"/>
          </w:rPr>
          <w:t>10.1073/pnas.0808772106</w:t>
        </w:r>
      </w:hyperlink>
      <w:r>
        <w:t>.</w:t>
      </w:r>
    </w:p>
    <w:p w14:paraId="2D3DADE5" w14:textId="77777777" w:rsidR="00C55C27" w:rsidRDefault="00154CAC" w:rsidP="000B12BC">
      <w:pPr>
        <w:spacing w:after="0" w:line="480" w:lineRule="auto"/>
        <w:ind w:left="360" w:hanging="360"/>
      </w:pPr>
      <w:r>
        <w:t xml:space="preserve">Carroll, S.R., Garba, I., Figueroa-Rodriguez, Holbrook, J., Lovett, R., Materechera, S., et al., 2020. The CARE Principles for indigenous data governance. Data Science Journal 19, 43. </w:t>
      </w:r>
      <w:hyperlink r:id="rId31">
        <w:r>
          <w:rPr>
            <w:color w:val="000000"/>
            <w:highlight w:val="white"/>
          </w:rPr>
          <w:t>https://doi.org/10.5334/dsj-2020-043</w:t>
        </w:r>
      </w:hyperlink>
      <w:r>
        <w:t>.</w:t>
      </w:r>
    </w:p>
    <w:p w14:paraId="3244E383" w14:textId="77777777" w:rsidR="00C55C27" w:rsidRDefault="00154CAC" w:rsidP="000B12BC">
      <w:pPr>
        <w:spacing w:after="0" w:line="480" w:lineRule="auto"/>
        <w:ind w:left="360" w:hanging="360"/>
      </w:pPr>
      <w:r>
        <w:t xml:space="preserve">CBD, 2022a. 15/4. Kunming-Montreal Global Biodiversity Framework, U.N. Environment Programme. </w:t>
      </w:r>
      <w:hyperlink r:id="rId32">
        <w:r>
          <w:rPr>
            <w:color w:val="0000FF"/>
            <w:u w:val="single"/>
          </w:rPr>
          <w:t>https://www.cbd.int/doc/decisions/cop-15/cop-15-dec-04-en.pdf</w:t>
        </w:r>
      </w:hyperlink>
      <w:r>
        <w:t xml:space="preserve"> (accessed 1 April 2024).</w:t>
      </w:r>
    </w:p>
    <w:p w14:paraId="17D8F0B5" w14:textId="77777777" w:rsidR="00C55C27" w:rsidRDefault="00154CAC" w:rsidP="000B12BC">
      <w:pPr>
        <w:spacing w:after="0" w:line="480" w:lineRule="auto"/>
        <w:ind w:left="360" w:hanging="360"/>
      </w:pPr>
      <w:r>
        <w:t xml:space="preserve">CBD, 2022b. 15/5. Monitoring framework for the Kunming-Montreal Global Biodiversity Framework, U.N. Environment Programme. </w:t>
      </w:r>
      <w:hyperlink r:id="rId33">
        <w:r>
          <w:rPr>
            <w:color w:val="0000FF"/>
            <w:u w:val="single"/>
          </w:rPr>
          <w:t>https://www.cbd.int/doc/decisions/cop-15/cop-15-dec-05-en.pdf</w:t>
        </w:r>
      </w:hyperlink>
      <w:r>
        <w:t xml:space="preserve"> (accessed 1 April 2024).</w:t>
      </w:r>
    </w:p>
    <w:p w14:paraId="78971A9B" w14:textId="77777777" w:rsidR="00C55C27" w:rsidRDefault="00154CAC" w:rsidP="000B12BC">
      <w:pPr>
        <w:spacing w:after="0" w:line="480" w:lineRule="auto"/>
        <w:ind w:left="360" w:hanging="360"/>
        <w:rPr>
          <w:b/>
        </w:rPr>
      </w:pPr>
      <w:r>
        <w:lastRenderedPageBreak/>
        <w:t xml:space="preserve">Chan, K.M.A., Balvanera, P., Benessaiah, K., Chapman, M., Diaz, S., Gomez-Baggethun, E., et al. 2016. Why protect nature? Rethinking values and the environment. P. Natl. Acad. Sci. USA. 113(6), 1462-1465. </w:t>
      </w:r>
      <w:hyperlink r:id="rId34">
        <w:r>
          <w:rPr>
            <w:color w:val="000000"/>
            <w:highlight w:val="white"/>
          </w:rPr>
          <w:t>https://doi.org/10.1073/pnas.1525002113</w:t>
        </w:r>
      </w:hyperlink>
      <w:r>
        <w:t>.</w:t>
      </w:r>
    </w:p>
    <w:p w14:paraId="340BF95D" w14:textId="776DC7FC" w:rsidR="00204A5F" w:rsidRPr="00204A5F" w:rsidRDefault="00204A5F" w:rsidP="000B12BC">
      <w:pPr>
        <w:spacing w:after="0" w:line="480" w:lineRule="auto"/>
        <w:ind w:left="360" w:hanging="360"/>
        <w:rPr>
          <w:rFonts w:asciiTheme="majorHAnsi" w:hAnsiTheme="majorHAnsi" w:cstheme="majorHAnsi"/>
        </w:rPr>
      </w:pPr>
      <w:r w:rsidRPr="00204A5F">
        <w:rPr>
          <w:rFonts w:asciiTheme="majorHAnsi" w:hAnsiTheme="majorHAnsi" w:cstheme="majorHAnsi"/>
          <w:color w:val="000000"/>
        </w:rPr>
        <w:t xml:space="preserve">Chaplin-Kramer, R., Polasky, S., Alkemade, R., Burgess, N.D., Cheung, W.W.L., Fetzer, I., et al., 2024. Integrated modeling of </w:t>
      </w:r>
      <w:r w:rsidRPr="00204A5F">
        <w:rPr>
          <w:rFonts w:asciiTheme="majorHAnsi" w:hAnsiTheme="majorHAnsi" w:cstheme="majorHAnsi"/>
        </w:rPr>
        <w:t xml:space="preserve">nature’s role in human well-being: A research agenda. Global Environ. Chang. 88, 102891. </w:t>
      </w:r>
      <w:hyperlink r:id="rId35" w:tgtFrame="_blank" w:tooltip="Persistent link using digital object identifier" w:history="1">
        <w:r w:rsidRPr="00204A5F">
          <w:rPr>
            <w:rStyle w:val="anchor-text"/>
            <w:rFonts w:asciiTheme="majorHAnsi" w:hAnsiTheme="majorHAnsi" w:cstheme="majorHAnsi"/>
          </w:rPr>
          <w:t>https://doi.org/10.1016/j.gloenvcha.2024.102891</w:t>
        </w:r>
      </w:hyperlink>
      <w:r w:rsidRPr="00204A5F">
        <w:rPr>
          <w:rFonts w:asciiTheme="majorHAnsi" w:hAnsiTheme="majorHAnsi" w:cstheme="majorHAnsi"/>
        </w:rPr>
        <w:t xml:space="preserve"> </w:t>
      </w:r>
    </w:p>
    <w:p w14:paraId="779EB33B" w14:textId="77777777" w:rsidR="00C55C27" w:rsidRDefault="00154CAC" w:rsidP="000B12BC">
      <w:pPr>
        <w:spacing w:after="0" w:line="480" w:lineRule="auto"/>
        <w:ind w:left="360" w:hanging="360"/>
      </w:pPr>
      <w:r>
        <w:t xml:space="preserve">Chen, M., Voinov, A., Ames, D.P., Kettner, A.J., Goodall, J.L., Jakeman, A.J., et al. 2020. Position paper: Open web-distributed integrated geographic modelling and simulation to enable broader participation and applications. Earth-Science Reviews 207, 103223. </w:t>
      </w:r>
      <w:hyperlink r:id="rId36">
        <w:r>
          <w:t>https://doi.org/10.1016/j.earscirev.2020.103223</w:t>
        </w:r>
      </w:hyperlink>
      <w:r>
        <w:t>.</w:t>
      </w:r>
    </w:p>
    <w:p w14:paraId="1E4EE2C2" w14:textId="77777777" w:rsidR="00C55C27" w:rsidRDefault="00154CAC" w:rsidP="000B12BC">
      <w:pPr>
        <w:spacing w:after="0" w:line="480" w:lineRule="auto"/>
        <w:ind w:left="360" w:hanging="360"/>
      </w:pPr>
      <w:r>
        <w:t xml:space="preserve">CODES, 2024. Coalition for Digital Environmental Sustainability. </w:t>
      </w:r>
      <w:hyperlink r:id="rId37">
        <w:r>
          <w:rPr>
            <w:color w:val="000000"/>
          </w:rPr>
          <w:t>https://www.codes.global/</w:t>
        </w:r>
      </w:hyperlink>
      <w:r>
        <w:t xml:space="preserve"> (accessed 29 March 2024).</w:t>
      </w:r>
    </w:p>
    <w:p w14:paraId="535DFDEC" w14:textId="77777777" w:rsidR="00C55C27" w:rsidRDefault="00154CAC" w:rsidP="000B12BC">
      <w:pPr>
        <w:spacing w:after="0" w:line="480" w:lineRule="auto"/>
        <w:ind w:left="360" w:hanging="360"/>
      </w:pPr>
      <w:r>
        <w:t xml:space="preserve">COP28. 2023. COP28 Joint Statement on Climate, Nature and People. </w:t>
      </w:r>
      <w:hyperlink r:id="rId38">
        <w:r>
          <w:rPr>
            <w:color w:val="000000"/>
          </w:rPr>
          <w:t>https://www.cop28.com/en/joint-statement-on-climate-nature</w:t>
        </w:r>
      </w:hyperlink>
      <w:r>
        <w:t xml:space="preserve"> (accessed 29 March 2024).</w:t>
      </w:r>
    </w:p>
    <w:p w14:paraId="41F1FBB8" w14:textId="77777777" w:rsidR="00C55C27" w:rsidRDefault="00154CAC" w:rsidP="000B12BC">
      <w:pPr>
        <w:spacing w:after="0" w:line="480" w:lineRule="auto"/>
        <w:ind w:left="360" w:hanging="360"/>
      </w:pPr>
      <w:r>
        <w:t xml:space="preserve">Crossman, N.D., Burkhard, B., Nedkov, S., Willemen, L., Petz, K., Palomo, I., et al., 2013. A blueprint for mapping and modelling ecosystem services. Ecosyst. Serv. 4, 4-14. </w:t>
      </w:r>
      <w:hyperlink r:id="rId39">
        <w:r>
          <w:t>https://doi.org/10.1016/j.ecoser.2013.02.001</w:t>
        </w:r>
      </w:hyperlink>
      <w:r>
        <w:t>.</w:t>
      </w:r>
    </w:p>
    <w:p w14:paraId="7B528C78" w14:textId="77777777" w:rsidR="00C55C27" w:rsidRDefault="00154CAC" w:rsidP="000B12BC">
      <w:pPr>
        <w:spacing w:after="0" w:line="480" w:lineRule="auto"/>
        <w:ind w:left="360" w:hanging="360"/>
      </w:pPr>
      <w:r>
        <w:t xml:space="preserve">Dadvar, M., Niamir, A., 2024. IPBES Ontology (Version 3). Zenodo. </w:t>
      </w:r>
      <w:r>
        <w:rPr>
          <w:shd w:val="clear" w:color="auto" w:fill="F5F5F5"/>
        </w:rPr>
        <w:t xml:space="preserve"> </w:t>
      </w:r>
      <w:hyperlink r:id="rId40">
        <w:r>
          <w:rPr>
            <w:color w:val="0000FF"/>
            <w:u w:val="single"/>
          </w:rPr>
          <w:t>https://zenodo.org/doi/10.5281/zenodo.10404413</w:t>
        </w:r>
      </w:hyperlink>
      <w:r>
        <w:t xml:space="preserve"> (accessed 22 April 2024).</w:t>
      </w:r>
    </w:p>
    <w:p w14:paraId="28E3D480" w14:textId="77777777" w:rsidR="00C55C27" w:rsidRDefault="00154CAC" w:rsidP="000B12BC">
      <w:pPr>
        <w:spacing w:after="0" w:line="480" w:lineRule="auto"/>
        <w:ind w:left="360" w:hanging="360"/>
      </w:pPr>
      <w:r>
        <w:t xml:space="preserve">Dadvar, M., Niamir, A., Renske, G., 2024a. IPBES Global Assessment in Linked Open Data format. </w:t>
      </w:r>
      <w:hyperlink r:id="rId41">
        <w:r>
          <w:rPr>
            <w:color w:val="0000FF"/>
            <w:u w:val="single"/>
          </w:rPr>
          <w:t>https://zenodo.org/records/10961205</w:t>
        </w:r>
      </w:hyperlink>
      <w:r>
        <w:t xml:space="preserve"> (accessed 22 April 2024).</w:t>
      </w:r>
    </w:p>
    <w:p w14:paraId="475C048C" w14:textId="77777777" w:rsidR="00C55C27" w:rsidRDefault="00154CAC" w:rsidP="000B12BC">
      <w:pPr>
        <w:spacing w:after="0" w:line="480" w:lineRule="auto"/>
        <w:ind w:left="360" w:hanging="360"/>
        <w:rPr>
          <w:shd w:val="clear" w:color="auto" w:fill="F5F5F5"/>
        </w:rPr>
      </w:pPr>
      <w:r>
        <w:t xml:space="preserve">Dadvar, M., Niamir, A., Renske, G., 2024b. IPBES Values Assessment in Linked Open Data format. </w:t>
      </w:r>
      <w:hyperlink r:id="rId42">
        <w:r>
          <w:rPr>
            <w:color w:val="0000FF"/>
            <w:u w:val="single"/>
          </w:rPr>
          <w:t>https://zenodo.org/records/10961207</w:t>
        </w:r>
      </w:hyperlink>
      <w:r>
        <w:t xml:space="preserve"> (accessed 22 April 2024).</w:t>
      </w:r>
    </w:p>
    <w:p w14:paraId="302744BA" w14:textId="77777777" w:rsidR="00C55C27" w:rsidRDefault="00154CAC" w:rsidP="000B12BC">
      <w:pPr>
        <w:spacing w:after="0" w:line="480" w:lineRule="auto"/>
        <w:ind w:left="360" w:hanging="360"/>
        <w:rPr>
          <w:shd w:val="clear" w:color="auto" w:fill="F5F5F5"/>
        </w:rPr>
      </w:pPr>
      <w:r>
        <w:lastRenderedPageBreak/>
        <w:t xml:space="preserve">Dadvar, M., Niamir, A., Renske, G., 2024c. IPBES Invasive Alien Species Assessment in Linked Open Data format. </w:t>
      </w:r>
      <w:hyperlink r:id="rId43">
        <w:r>
          <w:rPr>
            <w:color w:val="0000FF"/>
            <w:u w:val="single"/>
          </w:rPr>
          <w:t>https://zenodo.org/records/10961209</w:t>
        </w:r>
      </w:hyperlink>
      <w:r>
        <w:t xml:space="preserve"> (accessed 22 April 2024).</w:t>
      </w:r>
    </w:p>
    <w:p w14:paraId="6D84738D" w14:textId="77777777" w:rsidR="00C55C27" w:rsidRDefault="00154CAC" w:rsidP="000B12BC">
      <w:pPr>
        <w:spacing w:after="0" w:line="480" w:lineRule="auto"/>
        <w:ind w:left="360" w:hanging="360"/>
      </w:pPr>
      <w:r>
        <w:t xml:space="preserve">DataONE. 2024. Make your data FAIR. </w:t>
      </w:r>
      <w:hyperlink r:id="rId44">
        <w:r>
          <w:rPr>
            <w:color w:val="000000"/>
          </w:rPr>
          <w:t>https://www.dataone.org/fair/</w:t>
        </w:r>
      </w:hyperlink>
      <w:r>
        <w:t xml:space="preserve"> (accessed 29 March 2024).</w:t>
      </w:r>
    </w:p>
    <w:p w14:paraId="0D51DC37" w14:textId="3127E583" w:rsidR="00C55C27" w:rsidRDefault="00154CAC" w:rsidP="000B12BC">
      <w:pPr>
        <w:spacing w:after="0" w:line="480" w:lineRule="auto"/>
        <w:ind w:left="360" w:hanging="360"/>
      </w:pPr>
      <w:r>
        <w:t xml:space="preserve">Davies, J., 2010. Lightweight ontologies, in: Poli, R., Healy, M., Kameas, A. (Eds.), Theory and Applications of Ontology: Computer Applications, Springer Netherlands, </w:t>
      </w:r>
      <w:r w:rsidR="009A4A5F">
        <w:t xml:space="preserve">Dordrecht, </w:t>
      </w:r>
      <w:r>
        <w:t>pp. 197-229.</w:t>
      </w:r>
    </w:p>
    <w:p w14:paraId="14314532" w14:textId="77777777" w:rsidR="00074DC8" w:rsidRDefault="00154CAC" w:rsidP="000B12BC">
      <w:pPr>
        <w:spacing w:after="0" w:line="480" w:lineRule="auto"/>
        <w:ind w:left="360" w:hanging="360"/>
      </w:pPr>
      <w:r>
        <w:t xml:space="preserve">DDI Alliance, 2024. Machine-actionable. </w:t>
      </w:r>
      <w:hyperlink r:id="rId45">
        <w:r>
          <w:rPr>
            <w:color w:val="0000FF"/>
            <w:u w:val="single"/>
          </w:rPr>
          <w:t>https://ddialliance.org/taxonomy/term/198</w:t>
        </w:r>
      </w:hyperlink>
      <w:r>
        <w:t xml:space="preserve"> (accessed 7 April 2024).</w:t>
      </w:r>
    </w:p>
    <w:p w14:paraId="543B3052" w14:textId="57A29B6B" w:rsidR="00074DC8" w:rsidRDefault="00074DC8" w:rsidP="000B12BC">
      <w:pPr>
        <w:spacing w:after="0" w:line="480" w:lineRule="auto"/>
        <w:ind w:left="360" w:hanging="360"/>
      </w:pPr>
      <w:r>
        <w:t>de Valck, J., Jarvis, D., Coggan, A., Schirru, E., Pert, P., Graham, V., et al., 2023. Valuing ecosystem services in complex coastal settings: An extended ecosystem accounting framework for improved decision-making. Mar. Poli</w:t>
      </w:r>
      <w:r w:rsidRPr="00074DC8">
        <w:rPr>
          <w:rFonts w:asciiTheme="majorHAnsi" w:hAnsiTheme="majorHAnsi" w:cstheme="majorHAnsi"/>
        </w:rPr>
        <w:t xml:space="preserve">cy 155, 105761. </w:t>
      </w:r>
      <w:hyperlink r:id="rId46" w:tgtFrame="_blank" w:tooltip="Persistent link using digital object identifier" w:history="1">
        <w:r w:rsidRPr="00074DC8">
          <w:rPr>
            <w:rStyle w:val="anchor-text"/>
            <w:rFonts w:asciiTheme="majorHAnsi" w:hAnsiTheme="majorHAnsi" w:cstheme="majorHAnsi"/>
          </w:rPr>
          <w:t>https://doi.org/10.1016/j.marpol.2023.105761</w:t>
        </w:r>
      </w:hyperlink>
    </w:p>
    <w:p w14:paraId="1E58CC2E" w14:textId="380ABFB1" w:rsidR="006534BB" w:rsidRDefault="006534BB" w:rsidP="000B12BC">
      <w:pPr>
        <w:spacing w:after="0" w:line="480" w:lineRule="auto"/>
        <w:ind w:left="360" w:hanging="360"/>
      </w:pPr>
      <w:r>
        <w:t>Dinerstein</w:t>
      </w:r>
      <w:r w:rsidR="009E2C3C">
        <w:t>, E., Olson, D., Joshi, A., Vynne, C., Burgess, N.D., Wikramanayake, E.,</w:t>
      </w:r>
      <w:r>
        <w:t xml:space="preserve"> et al.</w:t>
      </w:r>
      <w:r w:rsidR="009E2C3C">
        <w:t>,</w:t>
      </w:r>
      <w:r>
        <w:t xml:space="preserve"> 2017</w:t>
      </w:r>
      <w:r w:rsidR="002E719E">
        <w:t xml:space="preserve">. An ecoregion-based approach to protecting half the terrestrial realm. BioScience </w:t>
      </w:r>
      <w:r w:rsidR="009E2C3C">
        <w:t xml:space="preserve">67, 6, 534-545. </w:t>
      </w:r>
      <w:hyperlink r:id="rId47" w:history="1">
        <w:r w:rsidR="008212AA" w:rsidRPr="008212AA">
          <w:rPr>
            <w:rStyle w:val="Hyperlink"/>
            <w:rFonts w:asciiTheme="majorHAnsi" w:hAnsiTheme="majorHAnsi" w:cstheme="majorHAnsi"/>
            <w:color w:val="006FB7"/>
            <w:bdr w:val="none" w:sz="0" w:space="0" w:color="auto" w:frame="1"/>
            <w:shd w:val="clear" w:color="auto" w:fill="FFFFFF"/>
          </w:rPr>
          <w:t>https://doi.org/10.1093/biosci/bix014</w:t>
        </w:r>
      </w:hyperlink>
    </w:p>
    <w:p w14:paraId="173A1748" w14:textId="77777777" w:rsidR="00C55C27" w:rsidRDefault="00154CAC" w:rsidP="000B12BC">
      <w:pPr>
        <w:spacing w:after="0" w:line="480" w:lineRule="auto"/>
        <w:ind w:left="360" w:hanging="360"/>
      </w:pPr>
      <w:r>
        <w:t xml:space="preserve">Dini, P., Iqani, M., Mansell, R., 2011. The (Im)possibility of interdisciplinarity: Lessons from constructing a theoretical framework for digital ecosystems. Culture, Theory and Critique 52(1), 3-27. </w:t>
      </w:r>
      <w:hyperlink r:id="rId48">
        <w:r>
          <w:rPr>
            <w:color w:val="000000"/>
          </w:rPr>
          <w:t>https://doi.org/10.1080/14735784.2011.621668</w:t>
        </w:r>
      </w:hyperlink>
      <w:r>
        <w:t>.</w:t>
      </w:r>
    </w:p>
    <w:p w14:paraId="1CBE70CB" w14:textId="77777777" w:rsidR="00FB0B65" w:rsidRPr="00FB0B65" w:rsidRDefault="00FB0B65" w:rsidP="000B12BC">
      <w:pPr>
        <w:spacing w:after="0" w:line="480" w:lineRule="auto"/>
        <w:ind w:left="360" w:hanging="360"/>
        <w:rPr>
          <w:rFonts w:asciiTheme="majorHAnsi" w:hAnsiTheme="majorHAnsi" w:cstheme="majorHAnsi"/>
        </w:rPr>
      </w:pPr>
      <w:r w:rsidRPr="00FB0B65">
        <w:rPr>
          <w:rFonts w:asciiTheme="majorHAnsi" w:hAnsiTheme="majorHAnsi" w:cstheme="majorHAnsi"/>
        </w:rPr>
        <w:t xml:space="preserve">Dow, H., East, A.E., Sankey, J.B., Warrick, J.A., Kostelnik, J., Lindsay, D.N., et al., 2024. Postfire sediment mobilization and its downstream implications across California, 1984-2021. J. Geophys. Res.-Earth. 129, 8, e2024JF007725. </w:t>
      </w:r>
      <w:r w:rsidRPr="00FB0B65">
        <w:rPr>
          <w:rFonts w:asciiTheme="majorHAnsi" w:hAnsiTheme="majorHAnsi" w:cstheme="majorHAnsi"/>
          <w:shd w:val="clear" w:color="auto" w:fill="FFFFFF"/>
        </w:rPr>
        <w:t>https://doi.org/10.1029/2024JF007725.</w:t>
      </w:r>
    </w:p>
    <w:p w14:paraId="2A9BDCAE" w14:textId="1CCAB902" w:rsidR="00C55C27" w:rsidRDefault="00154CAC" w:rsidP="000B12BC">
      <w:pPr>
        <w:spacing w:after="0" w:line="480" w:lineRule="auto"/>
        <w:ind w:left="360" w:hanging="360"/>
      </w:pPr>
      <w:r>
        <w:t xml:space="preserve">Drakou, E.G., Crossman, N.D., Willemen, L., Burkhard, B., Palomo, I., Maes, J., et al., 2015. A visualization and data-sharing tool for ecosystem service maps: Lessons learnt, challenges, and way forward. Ecosyst. Serv. 13, 134-140. </w:t>
      </w:r>
      <w:hyperlink r:id="rId49">
        <w:r>
          <w:t>https://doi.org/10.1016/j.ecoser.2014.12.002</w:t>
        </w:r>
      </w:hyperlink>
      <w:r>
        <w:t>.</w:t>
      </w:r>
    </w:p>
    <w:p w14:paraId="386DC98A" w14:textId="77777777" w:rsidR="00C55C27" w:rsidRDefault="00154CAC" w:rsidP="000B12BC">
      <w:pPr>
        <w:spacing w:after="0" w:line="480" w:lineRule="auto"/>
        <w:ind w:left="360" w:hanging="360"/>
      </w:pPr>
      <w:r>
        <w:lastRenderedPageBreak/>
        <w:t>Drakou, E.G., Lemmens, R., Ayuningshih, F., 2019. Designing an ecosystem services ontology within GEOBON. Biodiversity Information Science and Standards 3, e36338.</w:t>
      </w:r>
      <w:r>
        <w:rPr>
          <w:b/>
        </w:rPr>
        <w:t xml:space="preserve"> </w:t>
      </w:r>
      <w:r>
        <w:t>https://doi.org/10.3897/biss.3.36338</w:t>
      </w:r>
    </w:p>
    <w:p w14:paraId="66D9942A" w14:textId="77777777" w:rsidR="00C55C27" w:rsidRDefault="00154CAC" w:rsidP="000B12BC">
      <w:pPr>
        <w:spacing w:after="0" w:line="480" w:lineRule="auto"/>
        <w:ind w:left="360" w:hanging="360"/>
      </w:pPr>
      <w:r>
        <w:t xml:space="preserve">Ecosystem Services Partnership (ESP). 2024. TWG 5: Modelling ES. </w:t>
      </w:r>
      <w:hyperlink r:id="rId50">
        <w:r>
          <w:rPr>
            <w:color w:val="000000"/>
          </w:rPr>
          <w:t>https://www.es-partnership.org/community/workings-groups/thematic-working-groups/twg-5-modeling-es/</w:t>
        </w:r>
      </w:hyperlink>
      <w:r>
        <w:t xml:space="preserve"> (accessed 29 March 2024).</w:t>
      </w:r>
    </w:p>
    <w:p w14:paraId="4415F1B7" w14:textId="77777777" w:rsidR="00C55C27" w:rsidRDefault="00154CAC" w:rsidP="000B12BC">
      <w:pPr>
        <w:spacing w:after="0" w:line="480" w:lineRule="auto"/>
        <w:ind w:left="360" w:hanging="360"/>
      </w:pPr>
      <w:r>
        <w:t xml:space="preserve">Edens, B., Maes, J., Hein, L., Obst, C., Siikamaki, J., Schenau, S., et al., 2022. Establishing the SEEA Ecosystem Accounting as a global standard. Ecosyst. Serv. 54:101413. </w:t>
      </w:r>
      <w:hyperlink r:id="rId51">
        <w:r>
          <w:t>https://doi.org/10.1016/j.ecoser.2022.101413</w:t>
        </w:r>
      </w:hyperlink>
      <w:r>
        <w:t>.</w:t>
      </w:r>
    </w:p>
    <w:p w14:paraId="18E6C6E2" w14:textId="77777777" w:rsidR="00C55C27" w:rsidRDefault="00154CAC" w:rsidP="000B12BC">
      <w:pPr>
        <w:spacing w:after="0" w:line="480" w:lineRule="auto"/>
        <w:ind w:left="360" w:hanging="360"/>
      </w:pPr>
      <w:r>
        <w:t>Edwards, P.N., 2011. History of climate modeling. WIREs Climate Change 2(1), 128-139.</w:t>
      </w:r>
    </w:p>
    <w:p w14:paraId="686897ED" w14:textId="77777777" w:rsidR="00C55C27" w:rsidRDefault="00154CAC" w:rsidP="000B12BC">
      <w:pPr>
        <w:spacing w:after="0" w:line="480" w:lineRule="auto"/>
        <w:ind w:left="360" w:hanging="360"/>
      </w:pPr>
      <w:r>
        <w:t xml:space="preserve">ESA. 2024. PEOPLE Ecosystem Accounting. </w:t>
      </w:r>
      <w:hyperlink r:id="rId52">
        <w:r>
          <w:rPr>
            <w:color w:val="000000"/>
          </w:rPr>
          <w:t>https://esa-people-ea.org/en (accessed 28 March 2024).</w:t>
        </w:r>
      </w:hyperlink>
    </w:p>
    <w:p w14:paraId="26002204" w14:textId="4CC7A538" w:rsidR="00E525DD" w:rsidRPr="00D43ED6" w:rsidRDefault="00E525DD" w:rsidP="000B12BC">
      <w:pPr>
        <w:spacing w:after="0" w:line="480" w:lineRule="auto"/>
        <w:ind w:left="360" w:hanging="360"/>
        <w:rPr>
          <w:rFonts w:asciiTheme="majorHAnsi" w:hAnsiTheme="majorHAnsi" w:cstheme="majorHAnsi"/>
        </w:rPr>
      </w:pPr>
      <w:r w:rsidRPr="00D43ED6">
        <w:rPr>
          <w:rStyle w:val="cf01"/>
          <w:rFonts w:asciiTheme="majorHAnsi" w:hAnsiTheme="majorHAnsi" w:cstheme="majorHAnsi"/>
          <w:sz w:val="22"/>
          <w:szCs w:val="22"/>
        </w:rPr>
        <w:t xml:space="preserve">Fernández-López, M., Poveda-Villalón, M., Suárez-Figueroa, M. C., Gómez-Pérez, A., 2019. Why are ontologies not reused across the same domain? J. Web Semant. 57, 100492. </w:t>
      </w:r>
      <w:hyperlink r:id="rId53" w:tgtFrame="_blank" w:tooltip="Persistent link using digital object identifier" w:history="1">
        <w:r w:rsidRPr="00D43ED6">
          <w:rPr>
            <w:rStyle w:val="anchor-text"/>
            <w:rFonts w:asciiTheme="majorHAnsi" w:hAnsiTheme="majorHAnsi" w:cstheme="majorHAnsi"/>
          </w:rPr>
          <w:t>https://doi.org/10.1016/j.websem.2018.12.010</w:t>
        </w:r>
      </w:hyperlink>
    </w:p>
    <w:p w14:paraId="0F995869" w14:textId="2E76FE22" w:rsidR="00C55C27" w:rsidRDefault="00154CAC" w:rsidP="000B12BC">
      <w:pPr>
        <w:spacing w:after="0" w:line="480" w:lineRule="auto"/>
        <w:ind w:left="360" w:hanging="360"/>
      </w:pPr>
      <w:r>
        <w:t xml:space="preserve">Finisdore, J., Rhodes, C., Haines-Young, R., Maynard, S., Wielgus, J., Dvarskas, A., et al., 2020. The 18 benefits of using ecosystem service classification systems. Ecosyst. Serv. 45, 101160. </w:t>
      </w:r>
      <w:hyperlink r:id="rId54">
        <w:r>
          <w:t>https://doi.org/10.1016/j.ecoser.2020.101160</w:t>
        </w:r>
      </w:hyperlink>
      <w:r>
        <w:t>.</w:t>
      </w:r>
    </w:p>
    <w:p w14:paraId="08E16A8C" w14:textId="77777777" w:rsidR="00C55C27" w:rsidRDefault="00154CAC" w:rsidP="000B12BC">
      <w:pPr>
        <w:spacing w:after="0" w:line="480" w:lineRule="auto"/>
        <w:ind w:left="360" w:hanging="360"/>
      </w:pPr>
      <w:r>
        <w:t xml:space="preserve">Fischer, J., Egli, L., Growth, J., Barrasso, C., Ehrmann, S., Figgemeier, H., et al. 2023. Approaches and tools for user-driven provenance and data quality information in spatial data infrastructures. International Journal of Digital Earth 16(1), 1510-1529. </w:t>
      </w:r>
      <w:hyperlink r:id="rId55">
        <w:r>
          <w:rPr>
            <w:color w:val="000000"/>
          </w:rPr>
          <w:t>https://doi.org/10.1080/17538947.2023.2198778</w:t>
        </w:r>
      </w:hyperlink>
      <w:r>
        <w:t xml:space="preserve">. </w:t>
      </w:r>
    </w:p>
    <w:p w14:paraId="4AC12B64" w14:textId="77777777" w:rsidR="00C55C27" w:rsidRDefault="00154CAC" w:rsidP="000B12BC">
      <w:pPr>
        <w:spacing w:after="0" w:line="480" w:lineRule="auto"/>
        <w:ind w:left="360" w:hanging="360"/>
      </w:pPr>
      <w:r>
        <w:t>Fritzsche, D., Grüninger, M., Baclawski, K., Bennett, M., Berg-Cross, G., Schneider, T., et al., 2017. Ontology Summit 2016 Communique: Ontologies within semantic interoperability ecosystems. Appl. Ontol. 12(2), 91-111. https://doi.org/10.3233/AO-170181.</w:t>
      </w:r>
    </w:p>
    <w:p w14:paraId="6FAA6D72" w14:textId="77777777" w:rsidR="00C55C27" w:rsidRDefault="00154CAC" w:rsidP="000B12BC">
      <w:pPr>
        <w:spacing w:after="0" w:line="480" w:lineRule="auto"/>
        <w:ind w:left="360" w:hanging="360"/>
      </w:pPr>
      <w:r>
        <w:lastRenderedPageBreak/>
        <w:t xml:space="preserve">Gene Ontology Consortium, 2019. The Gene Ontology resource: 20 years and still GOing strong. Nucleic Acids Res. 47:D330-D338. </w:t>
      </w:r>
      <w:hyperlink r:id="rId56">
        <w:r>
          <w:rPr>
            <w:color w:val="000000"/>
          </w:rPr>
          <w:t>https://doi.org/</w:t>
        </w:r>
      </w:hyperlink>
      <w:hyperlink r:id="rId57">
        <w:r>
          <w:rPr>
            <w:color w:val="000000"/>
          </w:rPr>
          <w:t>10.1093/nar/gky1055</w:t>
        </w:r>
      </w:hyperlink>
      <w:r>
        <w:t>.</w:t>
      </w:r>
    </w:p>
    <w:p w14:paraId="473DBDA4" w14:textId="77777777" w:rsidR="004B0A7D" w:rsidRPr="004B0A7D" w:rsidRDefault="004B0A7D" w:rsidP="000B12BC">
      <w:pPr>
        <w:spacing w:after="0" w:line="480" w:lineRule="auto"/>
        <w:ind w:left="360" w:hanging="360"/>
        <w:rPr>
          <w:rFonts w:asciiTheme="majorHAnsi" w:hAnsiTheme="majorHAnsi" w:cstheme="majorHAnsi"/>
        </w:rPr>
      </w:pPr>
      <w:r w:rsidRPr="004B0A7D">
        <w:rPr>
          <w:rFonts w:asciiTheme="majorHAnsi" w:hAnsiTheme="majorHAnsi" w:cstheme="majorHAnsi"/>
          <w:color w:val="000000"/>
        </w:rPr>
        <w:t xml:space="preserve">GEO BON, 2024a. EBV Data Portal. </w:t>
      </w:r>
      <w:r w:rsidRPr="004B0A7D">
        <w:rPr>
          <w:rFonts w:asciiTheme="majorHAnsi" w:hAnsiTheme="majorHAnsi" w:cstheme="majorHAnsi"/>
          <w:bdr w:val="none" w:sz="0" w:space="0" w:color="auto" w:frame="1"/>
        </w:rPr>
        <w:t>https://portal.geobon.org/home</w:t>
      </w:r>
      <w:r w:rsidRPr="004B0A7D">
        <w:rPr>
          <w:rFonts w:asciiTheme="majorHAnsi" w:hAnsiTheme="majorHAnsi" w:cstheme="majorHAnsi"/>
          <w:color w:val="000000"/>
        </w:rPr>
        <w:t xml:space="preserve"> </w:t>
      </w:r>
      <w:r w:rsidRPr="004B0A7D">
        <w:rPr>
          <w:rFonts w:asciiTheme="majorHAnsi" w:hAnsiTheme="majorHAnsi" w:cstheme="majorHAnsi"/>
        </w:rPr>
        <w:t>(accessed 12 September 2024).</w:t>
      </w:r>
    </w:p>
    <w:p w14:paraId="1C538D69" w14:textId="6E29736B" w:rsidR="004B0A7D" w:rsidRPr="004B0A7D" w:rsidRDefault="004B0A7D" w:rsidP="000B12BC">
      <w:pPr>
        <w:spacing w:after="0" w:line="480" w:lineRule="auto"/>
        <w:ind w:left="360" w:hanging="360"/>
        <w:rPr>
          <w:rFonts w:asciiTheme="majorHAnsi" w:hAnsiTheme="majorHAnsi" w:cstheme="majorHAnsi"/>
          <w:color w:val="000000"/>
        </w:rPr>
      </w:pPr>
      <w:r w:rsidRPr="004B0A7D">
        <w:rPr>
          <w:rFonts w:asciiTheme="majorHAnsi" w:hAnsiTheme="majorHAnsi" w:cstheme="majorHAnsi"/>
          <w:color w:val="000000"/>
        </w:rPr>
        <w:t xml:space="preserve">GEO BON, 2024b. EBV netCDF data standard. </w:t>
      </w:r>
      <w:r w:rsidRPr="004B0A7D">
        <w:rPr>
          <w:rFonts w:asciiTheme="majorHAnsi" w:hAnsiTheme="majorHAnsi" w:cstheme="majorHAnsi"/>
          <w:bdr w:val="none" w:sz="0" w:space="0" w:color="auto" w:frame="1"/>
        </w:rPr>
        <w:t>https://portal.geobon.org/downloads/pdf/how_to-10082023.pdf</w:t>
      </w:r>
      <w:r w:rsidRPr="004B0A7D">
        <w:rPr>
          <w:rFonts w:asciiTheme="majorHAnsi" w:hAnsiTheme="majorHAnsi" w:cstheme="majorHAnsi"/>
          <w:color w:val="000000"/>
        </w:rPr>
        <w:t xml:space="preserve"> </w:t>
      </w:r>
      <w:r w:rsidRPr="004B0A7D">
        <w:rPr>
          <w:rFonts w:asciiTheme="majorHAnsi" w:hAnsiTheme="majorHAnsi" w:cstheme="majorHAnsi"/>
        </w:rPr>
        <w:t>(accessed 12 September 2024).</w:t>
      </w:r>
    </w:p>
    <w:p w14:paraId="7835B19C" w14:textId="2FC35F05" w:rsidR="00C55C27" w:rsidRDefault="00154CAC" w:rsidP="000B12BC">
      <w:pPr>
        <w:spacing w:after="0" w:line="480" w:lineRule="auto"/>
        <w:ind w:left="360" w:hanging="360"/>
      </w:pPr>
      <w:r>
        <w:t>GEO BON</w:t>
      </w:r>
      <w:r w:rsidR="005D0CA0">
        <w:t>,</w:t>
      </w:r>
      <w:r>
        <w:t xml:space="preserve"> </w:t>
      </w:r>
      <w:r w:rsidR="00E93B7A">
        <w:t>2024c</w:t>
      </w:r>
      <w:r>
        <w:t xml:space="preserve">. BON in a Box. </w:t>
      </w:r>
      <w:hyperlink r:id="rId58">
        <w:r>
          <w:rPr>
            <w:color w:val="000000"/>
          </w:rPr>
          <w:t>https://boninabox.geobon.org/</w:t>
        </w:r>
      </w:hyperlink>
      <w:r>
        <w:t xml:space="preserve"> (accessed 29 March 2024).</w:t>
      </w:r>
    </w:p>
    <w:p w14:paraId="3EEBAFF9" w14:textId="752104E6" w:rsidR="00C55C27" w:rsidRDefault="00154CAC" w:rsidP="000B12BC">
      <w:pPr>
        <w:spacing w:after="0" w:line="480" w:lineRule="auto"/>
        <w:ind w:left="360" w:hanging="360"/>
      </w:pPr>
      <w:r>
        <w:t>GEO BON</w:t>
      </w:r>
      <w:r w:rsidR="005D0CA0">
        <w:t>,</w:t>
      </w:r>
      <w:r>
        <w:t xml:space="preserve"> </w:t>
      </w:r>
      <w:r w:rsidR="00E93B7A">
        <w:t>2024d</w:t>
      </w:r>
      <w:r>
        <w:t xml:space="preserve">. GEO BON Ecosystem Services Working Group. </w:t>
      </w:r>
      <w:hyperlink r:id="rId59">
        <w:r>
          <w:rPr>
            <w:color w:val="000000"/>
          </w:rPr>
          <w:t>https://geobon.org/ebvs/ecosystem-services/</w:t>
        </w:r>
      </w:hyperlink>
      <w:r>
        <w:t xml:space="preserve"> (accessed 29 March 2024).</w:t>
      </w:r>
    </w:p>
    <w:p w14:paraId="0CC22FB5" w14:textId="77777777" w:rsidR="00FB0B65" w:rsidRPr="00FB0B65" w:rsidRDefault="00FB0B65" w:rsidP="000B12BC">
      <w:pPr>
        <w:spacing w:after="0" w:line="480" w:lineRule="auto"/>
        <w:ind w:left="360" w:hanging="360"/>
        <w:rPr>
          <w:rFonts w:asciiTheme="majorHAnsi" w:hAnsiTheme="majorHAnsi" w:cstheme="majorHAnsi"/>
        </w:rPr>
      </w:pPr>
      <w:r w:rsidRPr="00FB0B65">
        <w:rPr>
          <w:rFonts w:asciiTheme="majorHAnsi" w:hAnsiTheme="majorHAnsi" w:cstheme="majorHAnsi"/>
          <w:shd w:val="clear" w:color="auto" w:fill="FFFFFF"/>
        </w:rPr>
        <w:t>Gholami, H., Mohammadifar, A., Song, Y., Li, Y., Rahmani, P., Kaskaoutis, D.G., et al., 2024</w:t>
      </w:r>
      <w:r w:rsidRPr="00FB0B65">
        <w:rPr>
          <w:rFonts w:asciiTheme="majorHAnsi" w:hAnsiTheme="majorHAnsi" w:cstheme="majorHAnsi"/>
          <w:i/>
          <w:iCs/>
          <w:shd w:val="clear" w:color="auto" w:fill="FFFFFF"/>
        </w:rPr>
        <w:t>.</w:t>
      </w:r>
      <w:r w:rsidRPr="00FB0B65">
        <w:rPr>
          <w:rFonts w:asciiTheme="majorHAnsi" w:hAnsiTheme="majorHAnsi" w:cstheme="majorHAnsi"/>
          <w:shd w:val="clear" w:color="auto" w:fill="FFFFFF"/>
        </w:rPr>
        <w:t> An assessment of global land susceptibility to wind erosion based on deep-active learning modelling and interpretation techniques. Sci. Rep. 14, 18951. https://doi.org/10.1038/s41598-024-70125-y.</w:t>
      </w:r>
    </w:p>
    <w:p w14:paraId="72CAB87F" w14:textId="77777777" w:rsidR="00C55C27" w:rsidRDefault="00154CAC" w:rsidP="000B12BC">
      <w:pPr>
        <w:spacing w:after="0" w:line="480" w:lineRule="auto"/>
        <w:ind w:left="360" w:hanging="360"/>
      </w:pPr>
      <w:r>
        <w:t xml:space="preserve">Ghose, A., Lissandrini, M., Hansen, E.R., Weidema, B.P., 2022. A core ontology for modeling life cycle sustainability assessment on the Semantic Web. Journal of Industrial Ecology 26, 731-747. </w:t>
      </w:r>
      <w:hyperlink r:id="rId60">
        <w:r>
          <w:rPr>
            <w:color w:val="000000"/>
            <w:highlight w:val="white"/>
          </w:rPr>
          <w:t>https://doi.org/10.1111/jiec.13220</w:t>
        </w:r>
      </w:hyperlink>
      <w:r>
        <w:t>.</w:t>
      </w:r>
    </w:p>
    <w:p w14:paraId="6614E68E" w14:textId="77777777" w:rsidR="00C55C27" w:rsidRDefault="00154CAC" w:rsidP="000B12BC">
      <w:pPr>
        <w:spacing w:after="0" w:line="480" w:lineRule="auto"/>
        <w:ind w:left="360" w:hanging="360"/>
      </w:pPr>
      <w:r>
        <w:t xml:space="preserve">Gil, Y., Pierce, S.A., Babaie, H., Banerjee, A., Borne, K., Bust, G., et al., 2019. Intelligent systems for geosciences: An essential research agenda. Commun. ACM 62(1):76-84. </w:t>
      </w:r>
      <w:hyperlink r:id="rId61">
        <w:r>
          <w:rPr>
            <w:color w:val="000000"/>
            <w:highlight w:val="white"/>
          </w:rPr>
          <w:t>https://doi.org/10.1145/3192335</w:t>
        </w:r>
      </w:hyperlink>
      <w:r>
        <w:t>.</w:t>
      </w:r>
    </w:p>
    <w:p w14:paraId="3A9C00D9" w14:textId="77777777" w:rsidR="00C55C27" w:rsidRDefault="00154CAC" w:rsidP="000B12BC">
      <w:pPr>
        <w:spacing w:after="0" w:line="480" w:lineRule="auto"/>
        <w:ind w:left="360" w:hanging="360"/>
        <w:rPr>
          <w:highlight w:val="white"/>
        </w:rPr>
      </w:pPr>
      <w:r>
        <w:rPr>
          <w:highlight w:val="white"/>
        </w:rPr>
        <w:t xml:space="preserve">GO FAIR, 2024. FAIR Principles. </w:t>
      </w:r>
      <w:hyperlink r:id="rId62">
        <w:r>
          <w:rPr>
            <w:color w:val="0000FF"/>
            <w:highlight w:val="white"/>
            <w:u w:val="single"/>
          </w:rPr>
          <w:t>https://www.go-fair.org/fair-principles/</w:t>
        </w:r>
      </w:hyperlink>
      <w:r>
        <w:rPr>
          <w:highlight w:val="white"/>
        </w:rPr>
        <w:t xml:space="preserve"> (accessed 5 April 2024).</w:t>
      </w:r>
    </w:p>
    <w:p w14:paraId="0DD969EA" w14:textId="77777777" w:rsidR="00C55C27" w:rsidRDefault="00154CAC" w:rsidP="000B12BC">
      <w:pPr>
        <w:spacing w:after="0" w:line="480" w:lineRule="auto"/>
        <w:ind w:left="360" w:hanging="360"/>
        <w:rPr>
          <w:b/>
        </w:rPr>
      </w:pPr>
      <w:r>
        <w:rPr>
          <w:highlight w:val="white"/>
        </w:rPr>
        <w:t xml:space="preserve">Goble, C., Cohen-Boulakia, S., Soiland-Reyes, S., Garijo, D., Gil, Y., Crusoe, M.R., et al., 2020. FAIR Computational Workflows. Data Intelligence 2020; 2 (1-2), 108–121. </w:t>
      </w:r>
      <w:hyperlink r:id="rId63">
        <w:r>
          <w:rPr>
            <w:color w:val="000000"/>
            <w:highlight w:val="white"/>
          </w:rPr>
          <w:t>https://doi.org/10.1162/dint_a_00033</w:t>
        </w:r>
      </w:hyperlink>
      <w:r>
        <w:t>.</w:t>
      </w:r>
    </w:p>
    <w:p w14:paraId="68C0EAC1" w14:textId="77777777" w:rsidR="00C55C27" w:rsidRDefault="00154CAC" w:rsidP="000B12BC">
      <w:pPr>
        <w:spacing w:after="0" w:line="480" w:lineRule="auto"/>
        <w:ind w:left="360" w:hanging="360"/>
      </w:pPr>
      <w:r>
        <w:rPr>
          <w:highlight w:val="white"/>
        </w:rPr>
        <w:lastRenderedPageBreak/>
        <w:t>Gonzalez, A., Vihervaara, P., Balvanera, P. Bates, A.E., Bayraktarov, E., Bellingham, P.J., et al., 2023a. A global biodiversity observing system to unite monitoring and guide action. Nat. Ecol. Evol. </w:t>
      </w:r>
      <w:r>
        <w:rPr>
          <w:b/>
          <w:highlight w:val="white"/>
        </w:rPr>
        <w:t>7</w:t>
      </w:r>
      <w:r>
        <w:rPr>
          <w:highlight w:val="white"/>
        </w:rPr>
        <w:t>, 1947–1952. https://doi.org/10.1038/s41559-023-02171-0</w:t>
      </w:r>
    </w:p>
    <w:p w14:paraId="4BFAE985" w14:textId="77777777" w:rsidR="00C55C27" w:rsidRDefault="00154CAC" w:rsidP="000B12BC">
      <w:pPr>
        <w:spacing w:after="0" w:line="480" w:lineRule="auto"/>
        <w:ind w:left="360" w:hanging="360"/>
      </w:pPr>
      <w:r>
        <w:t xml:space="preserve">Gonzalez, A., Chase, J.M. O'Connor, M.I., 2023b. A framework for the detection and attribution of biodiversity change. Philos. T. R. Soc. B, 378(1881), 20220182. </w:t>
      </w:r>
      <w:hyperlink r:id="rId64">
        <w:r>
          <w:rPr>
            <w:color w:val="000000"/>
            <w:highlight w:val="white"/>
          </w:rPr>
          <w:t>https://doi.org/10.1098/rstb.2022.0182</w:t>
        </w:r>
      </w:hyperlink>
      <w:r>
        <w:t>.</w:t>
      </w:r>
    </w:p>
    <w:p w14:paraId="73DD735F" w14:textId="77777777" w:rsidR="00C55C27" w:rsidRDefault="00154CAC" w:rsidP="000B12BC">
      <w:pPr>
        <w:spacing w:after="0" w:line="480" w:lineRule="auto"/>
        <w:ind w:left="360" w:hanging="360"/>
      </w:pPr>
      <w:r>
        <w:t xml:space="preserve">Gonzalez Morales, L., Orrell, T., 2018. Data interoperability: A practitioner’s guide to joining up data in the development sector. </w:t>
      </w:r>
      <w:hyperlink r:id="rId65">
        <w:r>
          <w:rPr>
            <w:color w:val="000000"/>
          </w:rPr>
          <w:t>http://www.data4sdgs.org/resources/interoperability-practitioners-guide-joining-data-development-sector</w:t>
        </w:r>
      </w:hyperlink>
      <w:r>
        <w:t xml:space="preserve"> (accessed 20 February 2019).</w:t>
      </w:r>
    </w:p>
    <w:p w14:paraId="41F21E48" w14:textId="77777777" w:rsidR="00C55C27" w:rsidRDefault="00154CAC" w:rsidP="000B12BC">
      <w:pPr>
        <w:spacing w:after="0" w:line="480" w:lineRule="auto"/>
        <w:ind w:left="360" w:hanging="360"/>
      </w:pPr>
      <w:r>
        <w:t xml:space="preserve">Gregory, K., Groth, P., Cousijn, H., Scharnhorst, A., Wyatt, S., 2019. Searching data: A review of observational data retrieval practices in selected disciplines. </w:t>
      </w:r>
      <w:r>
        <w:rPr>
          <w:highlight w:val="white"/>
        </w:rPr>
        <w:t>J. Assoc. Inf. Sci. Tech.</w:t>
      </w:r>
      <w:r>
        <w:t xml:space="preserve"> 70(5), 419-432. </w:t>
      </w:r>
      <w:hyperlink r:id="rId66">
        <w:r>
          <w:rPr>
            <w:color w:val="000000"/>
          </w:rPr>
          <w:t>https://doi.org/10.1002/asi.24165</w:t>
        </w:r>
      </w:hyperlink>
      <w:r>
        <w:t>.</w:t>
      </w:r>
    </w:p>
    <w:p w14:paraId="00807E16" w14:textId="15A6C70C" w:rsidR="00C55C27" w:rsidRDefault="00154CAC" w:rsidP="000B12BC">
      <w:pPr>
        <w:spacing w:after="0" w:line="480" w:lineRule="auto"/>
        <w:ind w:left="360" w:hanging="360"/>
      </w:pPr>
      <w:r>
        <w:t xml:space="preserve">Gries, C., Budden, A., Laney, C., O’Brien, M., Servilla, M., Sheldon, W., et al., 2018. Facilitating and improving environmental research data repository interoperability. Data Science Journal 17, 22. </w:t>
      </w:r>
      <w:hyperlink r:id="rId67" w:history="1">
        <w:r w:rsidR="00404DBF" w:rsidRPr="00AB40CA">
          <w:rPr>
            <w:rStyle w:val="Hyperlink"/>
          </w:rPr>
          <w:t>https://doi.org/10.5334/dsj-2018-022</w:t>
        </w:r>
      </w:hyperlink>
      <w:r>
        <w:t>.</w:t>
      </w:r>
    </w:p>
    <w:p w14:paraId="352D66AB" w14:textId="0AA9FB21" w:rsidR="00404DBF" w:rsidRDefault="00404DBF" w:rsidP="000B12BC">
      <w:pPr>
        <w:spacing w:after="0" w:line="480" w:lineRule="auto"/>
        <w:ind w:left="360" w:hanging="360"/>
      </w:pPr>
      <w:r>
        <w:t>Griffith, J., Lord, J., Catchen, M.D., Arce-Plata, M.I., Blanchet</w:t>
      </w:r>
      <w:r w:rsidR="00506055">
        <w:t>, G.Bohorquez, M.F.G.,</w:t>
      </w:r>
      <w:r>
        <w:t xml:space="preserve"> et al. , 2024. BON in a Box: An open and collaborative platform for biodiversity monitoring, indicator calculation, and reporting. </w:t>
      </w:r>
      <w:hyperlink r:id="rId68" w:history="1">
        <w:r w:rsidRPr="00506055">
          <w:rPr>
            <w:rStyle w:val="Hyperlink"/>
            <w:rFonts w:asciiTheme="majorHAnsi" w:hAnsiTheme="majorHAnsi" w:cstheme="majorHAnsi"/>
          </w:rPr>
          <w:t>https://doi.org/10.32942/X2M320</w:t>
        </w:r>
      </w:hyperlink>
      <w:r w:rsidR="00506055">
        <w:rPr>
          <w:rFonts w:asciiTheme="majorHAnsi" w:hAnsiTheme="majorHAnsi" w:cstheme="majorHAnsi"/>
          <w:color w:val="0000FF"/>
          <w:u w:val="single"/>
        </w:rPr>
        <w:t>.</w:t>
      </w:r>
    </w:p>
    <w:p w14:paraId="5C71C1DF" w14:textId="77777777" w:rsidR="00C55C27" w:rsidRDefault="00154CAC" w:rsidP="000B12BC">
      <w:pPr>
        <w:spacing w:after="0" w:line="480" w:lineRule="auto"/>
        <w:ind w:left="360" w:hanging="360"/>
      </w:pPr>
      <w:r>
        <w:t xml:space="preserve">Gruber, T.R., 1993. A translation approach to portable ontology specifications. Knowl. Acquis. 5(2), 199-220. </w:t>
      </w:r>
      <w:hyperlink r:id="rId69">
        <w:r>
          <w:t>https://doi.org/10.1006/knac.1993.1008</w:t>
        </w:r>
      </w:hyperlink>
      <w:r>
        <w:t>.</w:t>
      </w:r>
    </w:p>
    <w:p w14:paraId="1327647A" w14:textId="77777777" w:rsidR="00C55C27" w:rsidRDefault="00154CAC" w:rsidP="000B12BC">
      <w:pPr>
        <w:spacing w:after="0" w:line="480" w:lineRule="auto"/>
        <w:ind w:left="360" w:hanging="360"/>
      </w:pPr>
      <w:r>
        <w:t xml:space="preserve">Guarino, N., Oberle, D., Staab, S., 2009. What is an ontology? in: Staab, S., Studer, R. (Eds.), Handbook on ontologies, Springer, Dordrecht, </w:t>
      </w:r>
      <w:hyperlink r:id="rId70">
        <w:r>
          <w:rPr>
            <w:color w:val="000000"/>
          </w:rPr>
          <w:t>https://doi.org/10.1007/978-3-540-92673-3</w:t>
        </w:r>
      </w:hyperlink>
      <w:r>
        <w:t>, pp. 1-17.</w:t>
      </w:r>
    </w:p>
    <w:p w14:paraId="7A2526BA" w14:textId="77777777" w:rsidR="00BA46F4" w:rsidRDefault="00154CAC" w:rsidP="000B12BC">
      <w:pPr>
        <w:spacing w:after="0" w:line="480" w:lineRule="auto"/>
        <w:ind w:left="360" w:hanging="360"/>
      </w:pPr>
      <w:r>
        <w:lastRenderedPageBreak/>
        <w:t xml:space="preserve">Guizzardi, G., 2020. Ontology, ontologies and the “I” of FAIR. Data Intelligence 2 (1-2), 181-191. </w:t>
      </w:r>
      <w:hyperlink r:id="rId71">
        <w:r>
          <w:rPr>
            <w:color w:val="000000"/>
            <w:highlight w:val="white"/>
          </w:rPr>
          <w:t>https://doi.org/10.1162/dint_a_00040</w:t>
        </w:r>
      </w:hyperlink>
      <w:r>
        <w:t>.</w:t>
      </w:r>
    </w:p>
    <w:p w14:paraId="6A6F3543" w14:textId="20D99E56" w:rsidR="00BA46F4" w:rsidRPr="00BA46F4" w:rsidRDefault="00BA46F4" w:rsidP="000B12BC">
      <w:pPr>
        <w:spacing w:after="0" w:line="480" w:lineRule="auto"/>
        <w:ind w:left="360" w:hanging="360"/>
        <w:rPr>
          <w:rFonts w:asciiTheme="majorHAnsi" w:hAnsiTheme="majorHAnsi" w:cstheme="majorHAnsi"/>
        </w:rPr>
      </w:pPr>
      <w:r w:rsidRPr="00BA46F4">
        <w:rPr>
          <w:rStyle w:val="cf01"/>
          <w:rFonts w:asciiTheme="majorHAnsi" w:hAnsiTheme="majorHAnsi" w:cstheme="majorHAnsi"/>
          <w:sz w:val="22"/>
          <w:szCs w:val="22"/>
        </w:rPr>
        <w:t xml:space="preserve">Gupta, A., Mackereth, S., 2023. Definitions, in: Zalta, E.N., Nodelman U. (Eds.), The Stanford Encyclopedia of Philosophy (Fall 2023 Edition), https://plato.stanford.edu/archives/fall2023/entries/definitions/ </w:t>
      </w:r>
      <w:r w:rsidRPr="00BA46F4">
        <w:rPr>
          <w:rFonts w:asciiTheme="majorHAnsi" w:hAnsiTheme="majorHAnsi" w:cstheme="majorHAnsi"/>
        </w:rPr>
        <w:t>(accessed 12 September 2024).</w:t>
      </w:r>
    </w:p>
    <w:p w14:paraId="4BFC996D" w14:textId="77777777" w:rsidR="00C55C27" w:rsidRDefault="00154CAC" w:rsidP="000B12BC">
      <w:pPr>
        <w:spacing w:after="0" w:line="480" w:lineRule="auto"/>
        <w:ind w:left="360" w:hanging="360"/>
      </w:pPr>
      <w:r>
        <w:t>Guralnick, R., Walls, R. Jetz, W., 2018. Humboldt Core–toward a standardized capture of biological inventories for biodiversity monitoring, modeling and assessment. Ecography, 41(5), 713-725. https://doi.org/10.111/ecog.02942.</w:t>
      </w:r>
    </w:p>
    <w:p w14:paraId="0996B574" w14:textId="1DE092B2" w:rsidR="00A56937" w:rsidRPr="00A56937" w:rsidRDefault="00A56937" w:rsidP="000B12BC">
      <w:pPr>
        <w:spacing w:after="0" w:line="480" w:lineRule="auto"/>
        <w:ind w:left="360" w:hanging="360"/>
        <w:rPr>
          <w:rFonts w:asciiTheme="majorHAnsi" w:hAnsiTheme="majorHAnsi" w:cstheme="majorHAnsi"/>
        </w:rPr>
      </w:pPr>
      <w:r w:rsidRPr="00A56937">
        <w:rPr>
          <w:rStyle w:val="cf01"/>
          <w:rFonts w:asciiTheme="majorHAnsi" w:hAnsiTheme="majorHAnsi" w:cstheme="majorHAnsi"/>
          <w:sz w:val="22"/>
          <w:szCs w:val="22"/>
        </w:rPr>
        <w:t>Haller, A., Polleres, A., 2020. Are we better off with just one ontology on the Web? Semant. Web, 11(1), 87-99. http://doi.org/10.3233/SW-190379</w:t>
      </w:r>
    </w:p>
    <w:p w14:paraId="3496B53A" w14:textId="3060B89A" w:rsidR="00C55C27" w:rsidRDefault="00154CAC" w:rsidP="000B12BC">
      <w:pPr>
        <w:spacing w:after="0" w:line="480" w:lineRule="auto"/>
        <w:ind w:left="360" w:hanging="360"/>
      </w:pPr>
      <w:r>
        <w:t xml:space="preserve">Hampton, S.E., Strasser, C.A., Tewksbury, J.J., Gram, W.K., Budden, A.E., Batcheller, A.L., et al., 2013. Big data and the future of ecology. Front. Ecol. Environ. 11(3), 156-162. </w:t>
      </w:r>
      <w:hyperlink r:id="rId72">
        <w:r>
          <w:rPr>
            <w:color w:val="000000"/>
          </w:rPr>
          <w:t>https://doi.org/10.1890/120103</w:t>
        </w:r>
      </w:hyperlink>
      <w:r>
        <w:t>.</w:t>
      </w:r>
    </w:p>
    <w:p w14:paraId="14B3489E" w14:textId="77777777" w:rsidR="00C55C27" w:rsidRDefault="00154CAC" w:rsidP="000B12BC">
      <w:pPr>
        <w:spacing w:after="0" w:line="480" w:lineRule="auto"/>
        <w:ind w:left="360" w:hanging="360"/>
      </w:pPr>
      <w:r>
        <w:t xml:space="preserve">Hanson, K., Surkis, A., Yacobucci, K., 2012. Data sharing and management snafu in three short acts. NYU Health Sciences Libraries. </w:t>
      </w:r>
      <w:hyperlink r:id="rId73">
        <w:r>
          <w:t>https://www.youtube.com/watch?v=N2zK3sAtr-4</w:t>
        </w:r>
      </w:hyperlink>
      <w:r>
        <w:t>. (accessed 20 December 2023).</w:t>
      </w:r>
    </w:p>
    <w:p w14:paraId="3CF58102" w14:textId="77777777" w:rsidR="00C55C27" w:rsidRDefault="00154CAC" w:rsidP="000B12BC">
      <w:pPr>
        <w:spacing w:after="0" w:line="480" w:lineRule="auto"/>
        <w:ind w:left="360" w:hanging="360"/>
      </w:pPr>
      <w:r>
        <w:t xml:space="preserve">Hardisty, A.R., Michener, W.K., Agosti, D., Garcia, E.A., Bastin, L., Belbin, L., et al., 2019. The Bari Manifesto: An interoperability framework for essential biodiversity variables. Ecol. Inform. 49, 22-31. </w:t>
      </w:r>
      <w:hyperlink r:id="rId74">
        <w:r>
          <w:t>https://doi.org/10.1016/j.ecoinf.2018.11.003</w:t>
        </w:r>
      </w:hyperlink>
      <w:r>
        <w:t>.</w:t>
      </w:r>
    </w:p>
    <w:p w14:paraId="3162F8A1" w14:textId="77777777" w:rsidR="00C55C27" w:rsidRDefault="00154CAC" w:rsidP="000B12BC">
      <w:pPr>
        <w:spacing w:after="0" w:line="480" w:lineRule="auto"/>
        <w:ind w:left="360" w:hanging="360"/>
      </w:pPr>
      <w:r>
        <w:t xml:space="preserve">Heiler, S., 1995. Semantic interoperability. ACM Computing Surveys 27, 271–273. </w:t>
      </w:r>
      <w:hyperlink r:id="rId75">
        <w:r>
          <w:rPr>
            <w:color w:val="000000"/>
            <w:highlight w:val="white"/>
          </w:rPr>
          <w:t>https://doi.org/10.1145/210376.210392</w:t>
        </w:r>
      </w:hyperlink>
      <w:r>
        <w:t>.</w:t>
      </w:r>
    </w:p>
    <w:p w14:paraId="355E357B" w14:textId="2CF03FCA" w:rsidR="002F12CF" w:rsidRPr="002F12CF" w:rsidRDefault="002F12CF" w:rsidP="000B12BC">
      <w:pPr>
        <w:spacing w:after="0" w:line="480" w:lineRule="auto"/>
        <w:ind w:left="360" w:hanging="360"/>
        <w:rPr>
          <w:rFonts w:asciiTheme="majorHAnsi" w:hAnsiTheme="majorHAnsi" w:cstheme="majorHAnsi"/>
        </w:rPr>
      </w:pPr>
      <w:r w:rsidRPr="002F12CF">
        <w:rPr>
          <w:rStyle w:val="cf01"/>
          <w:rFonts w:asciiTheme="majorHAnsi" w:hAnsiTheme="majorHAnsi" w:cstheme="majorHAnsi"/>
          <w:sz w:val="22"/>
          <w:szCs w:val="22"/>
        </w:rPr>
        <w:t xml:space="preserve">Heink, U., Kowarik, I., 2010. What are indicators? On the definition of indicators in ecology and environmental planning. Ecol. Indic. 10(3), 584-593. </w:t>
      </w:r>
      <w:hyperlink r:id="rId76" w:tgtFrame="_blank" w:tooltip="Persistent link using digital object identifier" w:history="1">
        <w:r w:rsidRPr="002F12CF">
          <w:rPr>
            <w:rStyle w:val="anchor-text"/>
            <w:rFonts w:asciiTheme="majorHAnsi" w:hAnsiTheme="majorHAnsi" w:cstheme="majorHAnsi"/>
          </w:rPr>
          <w:t>https://doi.org/10.1016/j.ecolind.2009.09.009</w:t>
        </w:r>
      </w:hyperlink>
    </w:p>
    <w:p w14:paraId="38D0F4EE" w14:textId="1ABCFF72" w:rsidR="006129C6" w:rsidRPr="006129C6" w:rsidRDefault="006129C6" w:rsidP="000B12BC">
      <w:pPr>
        <w:spacing w:after="0" w:line="480" w:lineRule="auto"/>
        <w:ind w:left="360" w:hanging="360"/>
        <w:rPr>
          <w:rFonts w:asciiTheme="majorHAnsi" w:hAnsiTheme="majorHAnsi" w:cstheme="majorHAnsi"/>
        </w:rPr>
      </w:pPr>
      <w:r w:rsidRPr="006129C6">
        <w:rPr>
          <w:rFonts w:asciiTheme="majorHAnsi" w:hAnsiTheme="majorHAnsi" w:cstheme="majorHAnsi"/>
          <w:color w:val="222222"/>
          <w:shd w:val="clear" w:color="auto" w:fill="FFFFFF"/>
        </w:rPr>
        <w:lastRenderedPageBreak/>
        <w:t>ICGC/TCGA Pan-Cancer Analysis of Whole Genomes Consortium, 2020. Pan-cancer analysis of whole genomes. Nature 578:82-93.  https://doi.org/10.1038/s41586-020-1969-6</w:t>
      </w:r>
    </w:p>
    <w:p w14:paraId="02E2D7D5" w14:textId="77F0AA02" w:rsidR="00C55C27" w:rsidRDefault="00154CAC" w:rsidP="000B12BC">
      <w:pPr>
        <w:spacing w:after="0" w:line="480" w:lineRule="auto"/>
        <w:ind w:left="360" w:hanging="360"/>
      </w:pPr>
      <w:r>
        <w:t>IEEE, 1990. 610.12-1990 – IEEE Standard Glossary of Software Engineering Terminology. https://doi.org/</w:t>
      </w:r>
      <w:hyperlink r:id="rId77">
        <w:r>
          <w:rPr>
            <w:color w:val="000000"/>
            <w:highlight w:val="white"/>
          </w:rPr>
          <w:t>10.1109/IEEESTD.1990.101064</w:t>
        </w:r>
      </w:hyperlink>
      <w:r>
        <w:t>.</w:t>
      </w:r>
    </w:p>
    <w:p w14:paraId="537EBB34" w14:textId="77777777" w:rsidR="00C55C27" w:rsidRDefault="00154CAC" w:rsidP="000B12BC">
      <w:pPr>
        <w:spacing w:after="0" w:line="480" w:lineRule="auto"/>
        <w:ind w:left="360" w:hanging="360"/>
      </w:pPr>
      <w:r>
        <w:t xml:space="preserve">INCF, 2023. Session 8: FAIR Data: The role of journals. </w:t>
      </w:r>
      <w:hyperlink r:id="rId78">
        <w:r>
          <w:rPr>
            <w:color w:val="000000"/>
          </w:rPr>
          <w:t>https://training.incf.org/course/session-8-fair-data-role-journals</w:t>
        </w:r>
      </w:hyperlink>
      <w:r>
        <w:t xml:space="preserve"> (accessed 29 March 2024).</w:t>
      </w:r>
    </w:p>
    <w:p w14:paraId="3FE095E8" w14:textId="77777777" w:rsidR="00C55C27" w:rsidRDefault="00154CAC" w:rsidP="000B12BC">
      <w:pPr>
        <w:spacing w:after="0" w:line="480" w:lineRule="auto"/>
        <w:ind w:left="360" w:hanging="360"/>
      </w:pPr>
      <w:r>
        <w:t xml:space="preserve">INSPIRE, 2024. Technical guidance for the implementation of INSPIRE dataset and service metadata based on ISO/TS 19139:2007. </w:t>
      </w:r>
      <w:hyperlink r:id="rId79">
        <w:r>
          <w:rPr>
            <w:color w:val="0000FF"/>
            <w:u w:val="single"/>
          </w:rPr>
          <w:t>https://github.com/INSPIRE-MIF/technical-guidelines/tree/main/metadata/metadata-iso19139</w:t>
        </w:r>
      </w:hyperlink>
      <w:r>
        <w:t xml:space="preserve"> (accessed 1 May 2024).</w:t>
      </w:r>
    </w:p>
    <w:p w14:paraId="25E3B1DC" w14:textId="77777777" w:rsidR="00C55C27" w:rsidRDefault="00154CAC" w:rsidP="000B12BC">
      <w:pPr>
        <w:spacing w:after="0" w:line="480" w:lineRule="auto"/>
        <w:ind w:left="360" w:hanging="360"/>
      </w:pPr>
      <w:r>
        <w:t xml:space="preserve">Integrated Modelling Partnership. 2021. k.LAB: A semantic web platform for science. </w:t>
      </w:r>
      <w:hyperlink r:id="rId80">
        <w:r>
          <w:rPr>
            <w:color w:val="000000"/>
          </w:rPr>
          <w:t>https://docs.integratedmodelling.org/technote/</w:t>
        </w:r>
      </w:hyperlink>
      <w:r>
        <w:t xml:space="preserve"> (accessed 29 March 2024).</w:t>
      </w:r>
    </w:p>
    <w:p w14:paraId="2E314891" w14:textId="14A5723B" w:rsidR="00C55C27" w:rsidRDefault="00154CAC" w:rsidP="000B12BC">
      <w:pPr>
        <w:spacing w:after="0" w:line="480" w:lineRule="auto"/>
        <w:ind w:left="360" w:hanging="360"/>
      </w:pPr>
      <w:r>
        <w:t>IPBES, 2022</w:t>
      </w:r>
      <w:r w:rsidR="001C7239">
        <w:t>a</w:t>
      </w:r>
      <w:r>
        <w:t xml:space="preserve">. IPBES Data and Knowledge Management Policy ver. 2.0, Krug, R.M., Omare, B., Niamir, A. (Eds.) IPBES Secretariat, Bonn, Germany. </w:t>
      </w:r>
      <w:hyperlink r:id="rId81">
        <w:r>
          <w:rPr>
            <w:color w:val="0000FF"/>
            <w:u w:val="single"/>
          </w:rPr>
          <w:t>https://doi.org/10.5281/zenodo.6243095</w:t>
        </w:r>
      </w:hyperlink>
      <w:r>
        <w:t xml:space="preserve"> (accessed 8 April 2024).</w:t>
      </w:r>
    </w:p>
    <w:p w14:paraId="3BC2F0F3" w14:textId="49894056" w:rsidR="001C7239" w:rsidRDefault="001C7239" w:rsidP="000B12BC">
      <w:pPr>
        <w:spacing w:after="0" w:line="480" w:lineRule="auto"/>
        <w:ind w:left="360" w:hanging="360"/>
      </w:pPr>
      <w:r>
        <w:t>IPBES, 2022b.</w:t>
      </w:r>
      <w:r w:rsidR="00667817">
        <w:t xml:space="preserve"> Scoping report for a methodological assessment on monitoring biodiversity and nature’s contributions to people</w:t>
      </w:r>
      <w:r w:rsidR="002422B0">
        <w:t>. IPBES Secretariat, Bonn, Germany.</w:t>
      </w:r>
      <w:r>
        <w:t xml:space="preserve"> </w:t>
      </w:r>
      <w:hyperlink r:id="rId82" w:history="1">
        <w:r w:rsidR="00667817" w:rsidRPr="00AB40CA">
          <w:rPr>
            <w:rStyle w:val="Hyperlink"/>
          </w:rPr>
          <w:t>https://files.ipbes.net/ipbes-web-prod-public-files/2023-09/scoping_report_for_the_monitoring_assessment.pdf</w:t>
        </w:r>
      </w:hyperlink>
      <w:r w:rsidR="00667817">
        <w:t xml:space="preserve"> (accessed 25 November 2024).</w:t>
      </w:r>
    </w:p>
    <w:p w14:paraId="33B9BB51" w14:textId="77777777" w:rsidR="00C55C27" w:rsidRDefault="00154CAC" w:rsidP="000B12BC">
      <w:pPr>
        <w:spacing w:after="0" w:line="480" w:lineRule="auto"/>
        <w:ind w:left="360" w:hanging="360"/>
        <w:rPr>
          <w:b/>
        </w:rPr>
      </w:pPr>
      <w:r>
        <w:rPr>
          <w:highlight w:val="white"/>
        </w:rPr>
        <w:t>Ison, J., Kalaš, M., Jonassen, I., Bolser, D., Uludag, M., McWilliam, H., et al., 2013. EDAM: an ontology of bioinformatics operations, types of data and identifiers, topics and formats. </w:t>
      </w:r>
      <w:r>
        <w:rPr>
          <w:i/>
          <w:highlight w:val="white"/>
        </w:rPr>
        <w:t>Bioinformatics</w:t>
      </w:r>
      <w:r>
        <w:rPr>
          <w:highlight w:val="white"/>
        </w:rPr>
        <w:t xml:space="preserve"> 29(10), 1325–1332. </w:t>
      </w:r>
      <w:hyperlink r:id="rId83">
        <w:r>
          <w:rPr>
            <w:color w:val="000000"/>
            <w:highlight w:val="white"/>
          </w:rPr>
          <w:t>https://doi.org/10.1093/bioinformatics/btt113</w:t>
        </w:r>
      </w:hyperlink>
      <w:r>
        <w:t>.</w:t>
      </w:r>
    </w:p>
    <w:p w14:paraId="68EC6643" w14:textId="77777777" w:rsidR="00C55C27" w:rsidRDefault="00154CAC" w:rsidP="000B12BC">
      <w:pPr>
        <w:spacing w:after="0" w:line="480" w:lineRule="auto"/>
        <w:ind w:left="360" w:hanging="360"/>
      </w:pPr>
      <w:r>
        <w:lastRenderedPageBreak/>
        <w:t xml:space="preserve">Iwanaga, T., Wang, H., Hamilton, S.H., Grimm, V., Koralewski, T.E., Salado, A., et al., 2021. Socio-technical scales in socio-environmental modeling: Managing a system-of-systems modeling approach. Environ. Modell. Softw. 135, 104885. </w:t>
      </w:r>
      <w:hyperlink r:id="rId84">
        <w:r>
          <w:t>https://doi.org/10.1016/j.envsoft.2020.104885</w:t>
        </w:r>
      </w:hyperlink>
      <w:r>
        <w:t xml:space="preserve">. </w:t>
      </w:r>
    </w:p>
    <w:p w14:paraId="501C0702" w14:textId="77777777" w:rsidR="00C55C27" w:rsidRDefault="00154CAC" w:rsidP="000B12BC">
      <w:pPr>
        <w:spacing w:after="0" w:line="480" w:lineRule="auto"/>
        <w:ind w:left="360" w:hanging="360"/>
      </w:pPr>
      <w:r>
        <w:t xml:space="preserve">Jackson, R., Matentzoglu, N., Overton, J.A., Vita, R., Balhoff, J.P., Buttigieg, P.L., et al., 2021. OBO Foundry in 2021: operationalizing open data principles to evaluate ontologies. Database 2021, baab069. </w:t>
      </w:r>
      <w:hyperlink r:id="rId85">
        <w:r>
          <w:rPr>
            <w:color w:val="000000"/>
            <w:highlight w:val="white"/>
          </w:rPr>
          <w:t>https://doi.org/10.1093/database/baab069</w:t>
        </w:r>
      </w:hyperlink>
      <w:r>
        <w:t xml:space="preserve">.    </w:t>
      </w:r>
    </w:p>
    <w:p w14:paraId="7B473CC4" w14:textId="77777777" w:rsidR="001C7239" w:rsidRDefault="00154CAC" w:rsidP="000B12BC">
      <w:pPr>
        <w:spacing w:after="0" w:line="480" w:lineRule="auto"/>
        <w:ind w:left="360" w:hanging="360"/>
        <w:rPr>
          <w:color w:val="000000"/>
        </w:rPr>
      </w:pPr>
      <w:r>
        <w:t xml:space="preserve">Janowicz, K., van Harmelen, F., Hendler, J.A., Hitzler, P., 2015. Why the data train needs semantic rails. AI Magazine Spring 2015, 5-14. </w:t>
      </w:r>
      <w:hyperlink r:id="rId86">
        <w:r>
          <w:rPr>
            <w:color w:val="000000"/>
            <w:highlight w:val="white"/>
          </w:rPr>
          <w:t>https://doi.org/10.1609/aimag.v36i1.2560</w:t>
        </w:r>
      </w:hyperlink>
      <w:r>
        <w:rPr>
          <w:color w:val="000000"/>
          <w:highlight w:val="white"/>
        </w:rPr>
        <w:t>.</w:t>
      </w:r>
    </w:p>
    <w:p w14:paraId="0A877D8D" w14:textId="0B775010" w:rsidR="00616437" w:rsidRPr="00616437" w:rsidRDefault="00616437" w:rsidP="000B12BC">
      <w:pPr>
        <w:spacing w:after="0" w:line="480" w:lineRule="auto"/>
        <w:ind w:left="360" w:hanging="360"/>
        <w:rPr>
          <w:rFonts w:asciiTheme="majorHAnsi" w:hAnsiTheme="majorHAnsi" w:cstheme="majorHAnsi"/>
        </w:rPr>
      </w:pPr>
      <w:r w:rsidRPr="00616437">
        <w:rPr>
          <w:rStyle w:val="cf01"/>
          <w:rFonts w:asciiTheme="majorHAnsi" w:hAnsiTheme="majorHAnsi" w:cstheme="majorHAnsi"/>
          <w:sz w:val="22"/>
          <w:szCs w:val="22"/>
        </w:rPr>
        <w:t xml:space="preserve">Jax, K., Furman, E., Saarikoski, H., Barton, D.N., Delbaere, B., Dick, J., et al., 2018. Handling a messy world: Lessons learned when trying to make the ecosystem services concept operational. Ecosyst. Serv. 29C, 415-427. </w:t>
      </w:r>
      <w:hyperlink r:id="rId87" w:tgtFrame="_blank" w:tooltip="Persistent link using digital object identifier" w:history="1">
        <w:r w:rsidRPr="00616437">
          <w:rPr>
            <w:rStyle w:val="anchor-text"/>
            <w:rFonts w:asciiTheme="majorHAnsi" w:hAnsiTheme="majorHAnsi" w:cstheme="majorHAnsi"/>
          </w:rPr>
          <w:t>https://doi.org/10.1016/j.ecoser.2017.08.001</w:t>
        </w:r>
      </w:hyperlink>
    </w:p>
    <w:p w14:paraId="14B5FEDF" w14:textId="6C5D08D8" w:rsidR="00C55C27" w:rsidRDefault="002855BC" w:rsidP="000B12BC">
      <w:pPr>
        <w:spacing w:after="0" w:line="480" w:lineRule="auto"/>
        <w:ind w:left="360" w:hanging="360"/>
      </w:pPr>
      <w:r>
        <w:t>k</w:t>
      </w:r>
      <w:r w:rsidR="00154CAC">
        <w:t xml:space="preserve">.LAB 2024. k.LAB Python client. </w:t>
      </w:r>
      <w:hyperlink r:id="rId88">
        <w:r w:rsidR="00154CAC">
          <w:rPr>
            <w:color w:val="000000"/>
          </w:rPr>
          <w:t>https://github.com/integratedmodelling/klab-client-python</w:t>
        </w:r>
      </w:hyperlink>
      <w:r w:rsidR="00154CAC">
        <w:t xml:space="preserve"> (accessed 29 March 2024).</w:t>
      </w:r>
    </w:p>
    <w:p w14:paraId="24FF68D6" w14:textId="77777777" w:rsidR="00C55C27" w:rsidRDefault="00154CAC" w:rsidP="000B12BC">
      <w:pPr>
        <w:spacing w:after="0" w:line="480" w:lineRule="auto"/>
        <w:ind w:left="360" w:hanging="360"/>
      </w:pPr>
      <w:r>
        <w:t>Kareiva, P., Tallis, H., Ricketts, T.H., Daily, G.C., Polasky, S., 2011. Natural capital: Theory and practice of mapping ecosystem services. Oxford University Press, Oxford.</w:t>
      </w:r>
    </w:p>
    <w:p w14:paraId="7117A6D6" w14:textId="52B8FA54" w:rsidR="00F43C02" w:rsidRPr="00F37FAC" w:rsidRDefault="00F43C02" w:rsidP="000B12BC">
      <w:pPr>
        <w:spacing w:after="0" w:line="480" w:lineRule="auto"/>
        <w:ind w:left="360" w:hanging="360"/>
        <w:rPr>
          <w:rFonts w:asciiTheme="majorHAnsi" w:hAnsiTheme="majorHAnsi" w:cstheme="majorHAnsi"/>
        </w:rPr>
      </w:pPr>
      <w:r>
        <w:t>Keith</w:t>
      </w:r>
      <w:r w:rsidR="00BF2B77">
        <w:t>, D.A., Ferrer-Paris, J.R., Nicholson, E., Bishop, M.J., Polidoro, B.A., Ramirez-Llodra, E.,</w:t>
      </w:r>
      <w:r>
        <w:t xml:space="preserve"> et al. 2022</w:t>
      </w:r>
      <w:r w:rsidR="00191F4F">
        <w:t xml:space="preserve">. A function-based typology for Earth’s ecosystems. Nature </w:t>
      </w:r>
      <w:r w:rsidR="00BF2B77">
        <w:t xml:space="preserve">610, 513-518. </w:t>
      </w:r>
      <w:r w:rsidR="00F37FAC" w:rsidRPr="00F37FAC">
        <w:rPr>
          <w:rFonts w:asciiTheme="majorHAnsi" w:hAnsiTheme="majorHAnsi" w:cstheme="majorHAnsi"/>
          <w:color w:val="222222"/>
          <w:shd w:val="clear" w:color="auto" w:fill="FFFFFF"/>
        </w:rPr>
        <w:t>https://doi.org/10.1038/s41586-022-05318-4</w:t>
      </w:r>
      <w:r w:rsidRPr="00F37FAC">
        <w:rPr>
          <w:rFonts w:asciiTheme="majorHAnsi" w:hAnsiTheme="majorHAnsi" w:cstheme="majorHAnsi"/>
        </w:rPr>
        <w:t xml:space="preserve"> </w:t>
      </w:r>
    </w:p>
    <w:p w14:paraId="3BFBA99D" w14:textId="77777777" w:rsidR="00B05912" w:rsidRDefault="00154CAC" w:rsidP="000B12BC">
      <w:pPr>
        <w:spacing w:after="0" w:line="480" w:lineRule="auto"/>
        <w:ind w:left="360" w:hanging="360"/>
      </w:pPr>
      <w:r>
        <w:t xml:space="preserve">Kim, H., Peterson, G.D., Cheung, W.W.L., Ferrier, S., Alkemade, R., Arneth, A., et al. 2023. Towards a better future for biodiversity and people: Modelling nature futures. Global Environ. Chang. 82, 102681. </w:t>
      </w:r>
      <w:hyperlink r:id="rId89">
        <w:r>
          <w:rPr>
            <w:color w:val="000000"/>
          </w:rPr>
          <w:t>https://doi.org/10.1016/j.gloenvcha.2023.102681</w:t>
        </w:r>
      </w:hyperlink>
      <w:r>
        <w:t>.</w:t>
      </w:r>
    </w:p>
    <w:p w14:paraId="346728AE" w14:textId="3BB7BE34" w:rsidR="00B05912" w:rsidRPr="00B05912" w:rsidRDefault="00B05912" w:rsidP="000B12BC">
      <w:pPr>
        <w:spacing w:after="0" w:line="480" w:lineRule="auto"/>
        <w:ind w:left="360" w:hanging="360"/>
        <w:rPr>
          <w:rFonts w:asciiTheme="majorHAnsi" w:hAnsiTheme="majorHAnsi" w:cstheme="majorHAnsi"/>
        </w:rPr>
      </w:pPr>
      <w:r w:rsidRPr="00B05912">
        <w:rPr>
          <w:rFonts w:asciiTheme="majorHAnsi" w:hAnsiTheme="majorHAnsi" w:cstheme="majorHAnsi"/>
          <w:color w:val="000000"/>
        </w:rPr>
        <w:lastRenderedPageBreak/>
        <w:t>Kim, H., Rosa, I.M.D, Alkemade, R., Leadley, P., Hurtt, G., Popp, A., et al., 2018. A protocol for an intercomparison of biodiversity and ecosystem services models using harmonized land-use and climate scenarios. Geosci. Model Dev. 11(11), 4537-4562.</w:t>
      </w:r>
    </w:p>
    <w:p w14:paraId="55C1B9AD" w14:textId="77777777" w:rsidR="00C55C27" w:rsidRDefault="00154CAC" w:rsidP="000B12BC">
      <w:pPr>
        <w:spacing w:after="0" w:line="480" w:lineRule="auto"/>
        <w:ind w:left="360" w:hanging="360"/>
      </w:pPr>
      <w:r>
        <w:t xml:space="preserve">Kissling, W.D., Hardisty, A., Garcia, E.A., Santamaria, M., De Leo, F., Pesole, G., et al., 2015. Towards global interoperability for supporting biodiversity research on essential biodiversity variables (EBVs). Biodiversity 16(2-3), 99-107. </w:t>
      </w:r>
      <w:hyperlink r:id="rId90">
        <w:r>
          <w:rPr>
            <w:color w:val="000000"/>
          </w:rPr>
          <w:t>https://doi.org/10.1080/14888386.2015.1068709</w:t>
        </w:r>
      </w:hyperlink>
      <w:r>
        <w:t>.</w:t>
      </w:r>
    </w:p>
    <w:p w14:paraId="03FD05E2" w14:textId="77777777" w:rsidR="00C55C27" w:rsidRDefault="00154CAC" w:rsidP="000B12BC">
      <w:pPr>
        <w:spacing w:after="0" w:line="480" w:lineRule="auto"/>
        <w:ind w:left="360" w:hanging="360"/>
      </w:pPr>
      <w:r>
        <w:t xml:space="preserve">Kitchener, V. 2022. Three ways scholarly journals can promote FAIR data. </w:t>
      </w:r>
      <w:hyperlink r:id="rId91">
        <w:r>
          <w:rPr>
            <w:color w:val="000000"/>
          </w:rPr>
          <w:t>https://blog.scholasticahq.com/post/ways-journals-can-promote-fair-data/</w:t>
        </w:r>
      </w:hyperlink>
      <w:r>
        <w:t xml:space="preserve"> (accessed 29 March 2024).</w:t>
      </w:r>
    </w:p>
    <w:p w14:paraId="1CD74F06" w14:textId="77777777" w:rsidR="00C55C27" w:rsidRDefault="00154CAC" w:rsidP="000B12BC">
      <w:pPr>
        <w:spacing w:after="0" w:line="480" w:lineRule="auto"/>
        <w:ind w:left="360" w:hanging="360"/>
        <w:rPr>
          <w:highlight w:val="white"/>
        </w:rPr>
      </w:pPr>
      <w:r>
        <w:rPr>
          <w:highlight w:val="white"/>
        </w:rPr>
        <w:t>Kobluk, H.M., Salomon, A.K., Ford, A.T., Kadykalo, A.N., Hessami, M.A., Labranche, P.A., et al., 2024. Relational place-based solutions for environmental policy misalignments. Trends Ecol. Evol. https://doi.org/10.1016.j.tree.2024.01.001</w:t>
      </w:r>
    </w:p>
    <w:p w14:paraId="0AFF5B32" w14:textId="77777777" w:rsidR="00C55C27" w:rsidRDefault="00154CAC" w:rsidP="000B12BC">
      <w:pPr>
        <w:spacing w:after="0" w:line="480" w:lineRule="auto"/>
        <w:ind w:left="360" w:hanging="360"/>
      </w:pPr>
      <w:r>
        <w:t xml:space="preserve">Krasny, M.E., Russ, A., Tidball, K.G. Elmqvist, T., 2014. Civic ecology practices: Participatory approaches to generating and measuring ecosystem services in cities. Ecosyst. Serv., 7, 177-186. </w:t>
      </w:r>
      <w:hyperlink r:id="rId92">
        <w:r>
          <w:t>https://doi.org/10.1016/j.ecoser.2013.11.002</w:t>
        </w:r>
      </w:hyperlink>
    </w:p>
    <w:p w14:paraId="3B4DAB82" w14:textId="77777777" w:rsidR="00121794" w:rsidRDefault="00154CAC" w:rsidP="000B12BC">
      <w:pPr>
        <w:spacing w:after="0" w:line="480" w:lineRule="auto"/>
        <w:ind w:left="360" w:hanging="360"/>
      </w:pPr>
      <w:r>
        <w:t xml:space="preserve">La Notte, A., Rhodes, C., 2020. The theoretical frameworks behind integrated environmental, ecosystem, and economic accounting systems and their classifications. Environ. Impact Assess. 80, 106317. </w:t>
      </w:r>
      <w:hyperlink r:id="rId93">
        <w:r>
          <w:t>https://doi.org/10.1016/j.eiar.2019.106317</w:t>
        </w:r>
      </w:hyperlink>
      <w:r>
        <w:t>.</w:t>
      </w:r>
    </w:p>
    <w:p w14:paraId="5A2B307B" w14:textId="7F855A37" w:rsidR="00121794" w:rsidRDefault="00121794" w:rsidP="000B12BC">
      <w:pPr>
        <w:spacing w:after="0" w:line="480" w:lineRule="auto"/>
        <w:ind w:left="360" w:hanging="360"/>
      </w:pPr>
      <w:r>
        <w:rPr>
          <w:highlight w:val="white"/>
        </w:rPr>
        <w:t>La Notte, A., Vallecillo Rodriguez, S., Garcia Bendito, E., Grammatikopoulou, I., Czucz, B., Ferrini, et al., 2021. Ecosystem Services Accounting – Part III - Pilot accounts for habitat and species maintenance, on-site soil retention and water purification, EUR 30856 EN, Publications Office of the European Union, Luxembourg, ISBN 978-92-76-42051-4, https://doi.org/10.2760/636621, JRC126566.</w:t>
      </w:r>
    </w:p>
    <w:p w14:paraId="7E940391" w14:textId="77777777" w:rsidR="00C55C27" w:rsidRDefault="00154CAC" w:rsidP="000B12BC">
      <w:pPr>
        <w:spacing w:after="0" w:line="480" w:lineRule="auto"/>
        <w:ind w:left="360" w:hanging="360"/>
      </w:pPr>
      <w:r>
        <w:lastRenderedPageBreak/>
        <w:t xml:space="preserve">Lacayo, M., Rodila, D., Giuliani, G., Lehmann, A., 2021. A framework for ecosystem service assessment using GIS interoperability standards. Comput. Geosci. 154, 104821. </w:t>
      </w:r>
      <w:hyperlink r:id="rId94">
        <w:r>
          <w:t>https://doi.org/10.1016/j.cageo.2021.104821</w:t>
        </w:r>
      </w:hyperlink>
      <w:r>
        <w:t>.</w:t>
      </w:r>
    </w:p>
    <w:p w14:paraId="0F59C239" w14:textId="77777777" w:rsidR="00C55C27" w:rsidRDefault="00154CAC" w:rsidP="000B12BC">
      <w:pPr>
        <w:spacing w:after="0" w:line="480" w:lineRule="auto"/>
        <w:ind w:left="360" w:hanging="360"/>
      </w:pPr>
      <w:r>
        <w:t>Lamprecht, A., Garcia, L., Kuzak, M., Martinez, C., Ricardo, A., Martin Del Pico, E., et al. 2020. Toward FAIR principles for research software. Data Science 3(1), 37-59. https://doi.org/10.3233/DS-190026.</w:t>
      </w:r>
    </w:p>
    <w:p w14:paraId="017CBCFB" w14:textId="77777777" w:rsidR="00C55C27" w:rsidRDefault="00154CAC" w:rsidP="000B12BC">
      <w:pPr>
        <w:spacing w:after="0" w:line="480" w:lineRule="auto"/>
        <w:ind w:left="360" w:hanging="360"/>
      </w:pPr>
      <w:r>
        <w:t xml:space="preserve">Laniak, G.F., Olchin, G., Goodall, J., Voinov, A., Hill, M., Glynn, P., et al., 2013. Integrated environmental modeling: A vision and roadmap for the future. Environ. Modell. Softw. 39, 3-23. </w:t>
      </w:r>
      <w:hyperlink r:id="rId95">
        <w:r>
          <w:t>https://doi.org/10.1016/j.envsoft.2012.09.006</w:t>
        </w:r>
      </w:hyperlink>
      <w:r>
        <w:t>.</w:t>
      </w:r>
    </w:p>
    <w:p w14:paraId="296AAC79" w14:textId="77777777" w:rsidR="00C55C27" w:rsidRDefault="00154CAC" w:rsidP="000B12BC">
      <w:pPr>
        <w:spacing w:after="0" w:line="480" w:lineRule="auto"/>
        <w:ind w:left="360" w:hanging="360"/>
        <w:rPr>
          <w:b/>
        </w:rPr>
      </w:pPr>
      <w:r>
        <w:rPr>
          <w:highlight w:val="white"/>
        </w:rPr>
        <w:t>Lannom, L., Koureas, D., Hardisty, A.R., 2020. FAIR Data and Services in Biodiversity Science and Geoscience. Data Intelligence 2(1-2), 122–130. </w:t>
      </w:r>
      <w:hyperlink r:id="rId96">
        <w:r>
          <w:rPr>
            <w:color w:val="000000"/>
            <w:highlight w:val="white"/>
          </w:rPr>
          <w:t>https://doi.org/10.1162/dint_a_00034</w:t>
        </w:r>
      </w:hyperlink>
    </w:p>
    <w:p w14:paraId="2352A500" w14:textId="77777777" w:rsidR="00C55C27" w:rsidRDefault="00154CAC" w:rsidP="000B12BC">
      <w:pPr>
        <w:spacing w:after="0" w:line="480" w:lineRule="auto"/>
        <w:ind w:left="360" w:hanging="360"/>
      </w:pPr>
      <w:r>
        <w:t>Leadbetter, A., Smyth, D., Fuller, R., O’Grady, E., Shepherd, A., 2016. Where Big Data meets Linked Data: Applying standard data models to environmental data streams. IEEE International Conference on Big Data. https://doi.org/</w:t>
      </w:r>
      <w:hyperlink r:id="rId97">
        <w:r>
          <w:rPr>
            <w:color w:val="000000"/>
            <w:highlight w:val="white"/>
          </w:rPr>
          <w:t>10.1109/BigData.2016.7840943</w:t>
        </w:r>
      </w:hyperlink>
      <w:r>
        <w:t>.</w:t>
      </w:r>
    </w:p>
    <w:p w14:paraId="3490A9DF" w14:textId="77777777" w:rsidR="00C55C27" w:rsidRDefault="00154CAC" w:rsidP="000B12BC">
      <w:pPr>
        <w:spacing w:after="0" w:line="480" w:lineRule="auto"/>
        <w:ind w:left="360" w:hanging="360"/>
      </w:pPr>
      <w:r>
        <w:t xml:space="preserve">Leinfelder, B., Bowers, S., O’Brien, M., Jones, M.B., Schildhauer, M., 2011. Using semantic metadata for discovery and integration of heterogeneous ecological data.  </w:t>
      </w:r>
      <w:hyperlink r:id="rId98">
        <w:r>
          <w:t>https://www.researchgate.net/profile/Mark-Schildhauer/publication/266596977_Using_Semantic_Metadata_for_Discovery_and_Integration_of_Heterogeneous_Ecological_Data/links/545e96e30cf27487b44f0cc7/Using-Semantic-Metadata-for-Discovery-and-Integration-of-Heterogeneous-Ecological-Data.pdf</w:t>
        </w:r>
      </w:hyperlink>
      <w:r>
        <w:t xml:space="preserve"> (accessed 29 March 2024).</w:t>
      </w:r>
    </w:p>
    <w:p w14:paraId="2CD1A4AF" w14:textId="77777777" w:rsidR="00C55C27" w:rsidRDefault="00154CAC" w:rsidP="000B12BC">
      <w:pPr>
        <w:spacing w:after="0" w:line="480" w:lineRule="auto"/>
        <w:ind w:left="360" w:hanging="360"/>
        <w:rPr>
          <w:b/>
        </w:rPr>
      </w:pPr>
      <w:r>
        <w:rPr>
          <w:highlight w:val="white"/>
        </w:rPr>
        <w:t>Leyk, S., Gaughan, A.E., Adamo, S.B., de Sherbinin, A., Balk, D., Freire, S., et al., 2019. The spatial allocation of population: a review of large-scale gridded population data products and their fitness for use, Earth Syst. Sci. Data, 11, 1385–1409. https://doi.org/10.5194/essd-11-1385-2019.</w:t>
      </w:r>
    </w:p>
    <w:p w14:paraId="01A78ACB" w14:textId="77777777" w:rsidR="00C55C27" w:rsidRDefault="00154CAC" w:rsidP="000B12BC">
      <w:pPr>
        <w:spacing w:after="0" w:line="480" w:lineRule="auto"/>
        <w:ind w:left="360" w:hanging="360"/>
        <w:rPr>
          <w:highlight w:val="white"/>
        </w:rPr>
      </w:pPr>
      <w:r>
        <w:rPr>
          <w:highlight w:val="white"/>
        </w:rPr>
        <w:lastRenderedPageBreak/>
        <w:t>Lin, D., Crabtree, J., Dillo, I., Downs, R.R., Edmunds, R., Giaretta, D., </w:t>
      </w:r>
      <w:r>
        <w:rPr>
          <w:i/>
          <w:highlight w:val="white"/>
        </w:rPr>
        <w:t>et al., 2020.</w:t>
      </w:r>
      <w:r>
        <w:rPr>
          <w:highlight w:val="white"/>
        </w:rPr>
        <w:t> The TRUST Principles for digital repositories. </w:t>
      </w:r>
      <w:r>
        <w:rPr>
          <w:i/>
          <w:highlight w:val="white"/>
        </w:rPr>
        <w:t>Sci. Data</w:t>
      </w:r>
      <w:r>
        <w:rPr>
          <w:highlight w:val="white"/>
        </w:rPr>
        <w:t> 7, 144. https://doi.org/10.1038/s41597-020-0486-7</w:t>
      </w:r>
    </w:p>
    <w:p w14:paraId="13845096" w14:textId="77777777" w:rsidR="00C55C27" w:rsidRDefault="00154CAC" w:rsidP="000B12BC">
      <w:pPr>
        <w:spacing w:after="0" w:line="480" w:lineRule="auto"/>
        <w:ind w:left="360" w:hanging="360"/>
        <w:rPr>
          <w:b/>
        </w:rPr>
      </w:pPr>
      <w:r>
        <w:rPr>
          <w:highlight w:val="white"/>
        </w:rPr>
        <w:t>Maes, J., Bruzón, A.G., Barredo, J.I., Vallecillo, S., Vogt, P., Rivero, I.M., et al., 2023</w:t>
      </w:r>
      <w:r>
        <w:rPr>
          <w:i/>
          <w:highlight w:val="white"/>
        </w:rPr>
        <w:t>.</w:t>
      </w:r>
      <w:r>
        <w:rPr>
          <w:highlight w:val="white"/>
        </w:rPr>
        <w:t> Accounting for forest condition in Europe based on an international statistical standard. </w:t>
      </w:r>
      <w:r>
        <w:rPr>
          <w:i/>
          <w:highlight w:val="white"/>
        </w:rPr>
        <w:t>Nat. Commun.</w:t>
      </w:r>
      <w:r>
        <w:rPr>
          <w:highlight w:val="white"/>
        </w:rPr>
        <w:t xml:space="preserve"> 14, 3723. </w:t>
      </w:r>
      <w:hyperlink r:id="rId99">
        <w:r>
          <w:rPr>
            <w:color w:val="000000"/>
            <w:highlight w:val="white"/>
          </w:rPr>
          <w:t>https://doi.org/10.1038/s41467-023-39434-0</w:t>
        </w:r>
      </w:hyperlink>
      <w:r>
        <w:rPr>
          <w:highlight w:val="white"/>
        </w:rPr>
        <w:t>.</w:t>
      </w:r>
    </w:p>
    <w:p w14:paraId="56143EDE" w14:textId="77777777" w:rsidR="00C55C27" w:rsidRDefault="00154CAC" w:rsidP="000B12BC">
      <w:pPr>
        <w:spacing w:after="0" w:line="480" w:lineRule="auto"/>
        <w:ind w:left="360" w:hanging="360"/>
      </w:pPr>
      <w:r>
        <w:t>Maganga, B., Rosati, I., Stoica, M., Schindler, S., Moncoiffe, G., Devaraju, A., et al. 2021. The I-ADOPT interoperability framework for FAIRer data descriptions of biodiversity.  3</w:t>
      </w:r>
      <w:r>
        <w:rPr>
          <w:vertAlign w:val="superscript"/>
        </w:rPr>
        <w:t>rd</w:t>
      </w:r>
      <w:r>
        <w:t xml:space="preserve"> International Workshop on Semantics for Biodiversity, September 15, 2021, Bozen, Italy. </w:t>
      </w:r>
      <w:hyperlink r:id="rId100">
        <w:r>
          <w:rPr>
            <w:color w:val="000000"/>
          </w:rPr>
          <w:t>https://doi.org/10.48550/arXiv.2107.06547</w:t>
        </w:r>
      </w:hyperlink>
      <w:r>
        <w:t>.</w:t>
      </w:r>
    </w:p>
    <w:p w14:paraId="3F7EF874" w14:textId="7190FE78" w:rsidR="00B05912" w:rsidRPr="00B05912" w:rsidRDefault="00B05912" w:rsidP="000B12BC">
      <w:pPr>
        <w:spacing w:after="0" w:line="480" w:lineRule="auto"/>
        <w:ind w:left="360" w:hanging="360"/>
        <w:rPr>
          <w:rFonts w:asciiTheme="majorHAnsi" w:hAnsiTheme="majorHAnsi" w:cstheme="majorHAnsi"/>
        </w:rPr>
      </w:pPr>
      <w:r w:rsidRPr="00B05912">
        <w:rPr>
          <w:rStyle w:val="cf01"/>
          <w:rFonts w:asciiTheme="majorHAnsi" w:hAnsiTheme="majorHAnsi" w:cstheme="majorHAnsi"/>
          <w:sz w:val="22"/>
          <w:szCs w:val="22"/>
        </w:rPr>
        <w:t xml:space="preserve">Margolis, E., Laurence, S., 2023. Concepts, in: </w:t>
      </w:r>
      <w:bookmarkStart w:id="13" w:name="_Hlk183599386"/>
      <w:r w:rsidRPr="00B05912">
        <w:rPr>
          <w:rStyle w:val="cf01"/>
          <w:rFonts w:asciiTheme="majorHAnsi" w:hAnsiTheme="majorHAnsi" w:cstheme="majorHAnsi"/>
          <w:sz w:val="22"/>
          <w:szCs w:val="22"/>
        </w:rPr>
        <w:t xml:space="preserve">Zalta, E.N., Nodelman U. (Eds.), The Stanford Encyclopedia of Philosophy. https://plato.stanford.edu/archives/fall2023/entries/concepts/ </w:t>
      </w:r>
      <w:r w:rsidRPr="00B05912">
        <w:rPr>
          <w:rFonts w:asciiTheme="majorHAnsi" w:hAnsiTheme="majorHAnsi" w:cstheme="majorHAnsi"/>
        </w:rPr>
        <w:t>(accessed 12 September 2024).</w:t>
      </w:r>
      <w:bookmarkEnd w:id="13"/>
    </w:p>
    <w:p w14:paraId="1E877F65" w14:textId="77777777" w:rsidR="00C55C27" w:rsidRDefault="00154CAC" w:rsidP="000B12BC">
      <w:pPr>
        <w:spacing w:after="0" w:line="480" w:lineRule="auto"/>
        <w:ind w:left="360" w:hanging="360"/>
      </w:pPr>
      <w:r>
        <w:t>Martin-Clouaire, R., 2018. Ontological Foundation of Ecosystem Services and the Human Dimension of Agroecosystems. Agricultural Sciences 9, 525–545. https://doi.org/</w:t>
      </w:r>
      <w:hyperlink r:id="rId101">
        <w:r>
          <w:rPr>
            <w:color w:val="000000"/>
          </w:rPr>
          <w:t>10.4236/as.2018.95036</w:t>
        </w:r>
      </w:hyperlink>
      <w:r>
        <w:rPr>
          <w:highlight w:val="white"/>
        </w:rPr>
        <w:t>. </w:t>
      </w:r>
    </w:p>
    <w:p w14:paraId="4F2F0228" w14:textId="77777777" w:rsidR="00C55C27" w:rsidRDefault="00154CAC" w:rsidP="000B12BC">
      <w:pPr>
        <w:spacing w:after="0" w:line="480" w:lineRule="auto"/>
        <w:ind w:left="360" w:hanging="360"/>
      </w:pPr>
      <w:r>
        <w:t xml:space="preserve">Martínez-López, J., Bagstad, K.J., Balbi, S., Magrach, A., Voigt, B., Athanasiadis, I., et al., 2019. Towards globally customizable ecosystem service models. Sci. Total Environ. 650, 2325-2336. </w:t>
      </w:r>
      <w:hyperlink r:id="rId102">
        <w:r>
          <w:t>https://doi.org/10.1016/j.scitotenv.2018.09.371</w:t>
        </w:r>
      </w:hyperlink>
      <w:r>
        <w:t>.</w:t>
      </w:r>
    </w:p>
    <w:p w14:paraId="5972A8C6" w14:textId="77777777" w:rsidR="00C55C27" w:rsidRDefault="00154CAC" w:rsidP="000B12BC">
      <w:pPr>
        <w:spacing w:after="0" w:line="480" w:lineRule="auto"/>
        <w:ind w:left="360" w:hanging="360"/>
      </w:pPr>
      <w:r>
        <w:t xml:space="preserve">Mazzetti, P., Nativi, S., Santoro, M., Guiliani, G., Rodila, D., Folino, A., et al. 2022. Knowledge formalization for Earth science informed decision-making: The GEOEssential knowledge base. Environmental Science and Policy 131, 93-104. </w:t>
      </w:r>
      <w:hyperlink r:id="rId103">
        <w:r>
          <w:t>https://doi.org/10.1016/j.envsci.2021.12.023</w:t>
        </w:r>
      </w:hyperlink>
      <w:r>
        <w:t>.</w:t>
      </w:r>
    </w:p>
    <w:p w14:paraId="1EC19184" w14:textId="77777777" w:rsidR="00C55C27" w:rsidRDefault="00154CAC" w:rsidP="000B12BC">
      <w:pPr>
        <w:spacing w:after="0" w:line="480" w:lineRule="auto"/>
        <w:ind w:left="360" w:hanging="360"/>
      </w:pPr>
      <w:r>
        <w:t xml:space="preserve">Melsen, L.A., 2022. It takes a village to run a model–The social practices of hydrological modeling. Water Resources Research 58(2), e2021WR030600. </w:t>
      </w:r>
      <w:hyperlink r:id="rId104">
        <w:r>
          <w:rPr>
            <w:color w:val="000000"/>
            <w:highlight w:val="white"/>
          </w:rPr>
          <w:t>https://doi.org/10.1029/2021WR030600</w:t>
        </w:r>
      </w:hyperlink>
      <w:r>
        <w:t xml:space="preserve">. </w:t>
      </w:r>
    </w:p>
    <w:p w14:paraId="02F849C7" w14:textId="77777777" w:rsidR="00C55C27" w:rsidRDefault="00154CAC" w:rsidP="000B12BC">
      <w:pPr>
        <w:spacing w:after="0" w:line="480" w:lineRule="auto"/>
        <w:ind w:left="360" w:hanging="360"/>
      </w:pPr>
      <w:r>
        <w:lastRenderedPageBreak/>
        <w:t>Millennium Ecosystem Assessment (MEA), 2005. Millennium Ecosystem Assessment: living beyond our means-natural assets and human well-being. World Resources Institute, Washington, D.C.</w:t>
      </w:r>
    </w:p>
    <w:p w14:paraId="0A32FC16" w14:textId="77777777" w:rsidR="00C55C27" w:rsidRDefault="00154CAC" w:rsidP="000B12BC">
      <w:pPr>
        <w:spacing w:after="0" w:line="480" w:lineRule="auto"/>
        <w:ind w:left="360" w:hanging="360"/>
      </w:pPr>
      <w:r>
        <w:t xml:space="preserve">Mirtl, M., Borer, E.T., Djukic, I., Forsius, M., Haubold, H., Hugo, W., et al., 2018. Genesis, goals, and achievements of Long-Term Ecological Research at the global scale: A critical review of ILTER and future directions. Sci. Total Environ. 626, 1439-1462. </w:t>
      </w:r>
      <w:hyperlink r:id="rId105">
        <w:r>
          <w:t>https://doi.org/10.1016/j.scitotenv.2017.12.001</w:t>
        </w:r>
      </w:hyperlink>
      <w:r>
        <w:t>.</w:t>
      </w:r>
    </w:p>
    <w:p w14:paraId="60FD9296" w14:textId="77777777" w:rsidR="00C55C27" w:rsidRDefault="00154CAC" w:rsidP="000B12BC">
      <w:pPr>
        <w:spacing w:after="0" w:line="480" w:lineRule="auto"/>
        <w:ind w:left="360" w:hanging="360"/>
      </w:pPr>
      <w:r>
        <w:t>Mitchell, T.M., 1997. Machine Learning. McGraw-Hill Education.</w:t>
      </w:r>
    </w:p>
    <w:p w14:paraId="7AED76F8" w14:textId="77777777" w:rsidR="00C55C27" w:rsidRDefault="00154CAC" w:rsidP="000B12BC">
      <w:pPr>
        <w:spacing w:after="0" w:line="480" w:lineRule="auto"/>
        <w:ind w:left="360" w:hanging="360"/>
      </w:pPr>
      <w:r>
        <w:t xml:space="preserve">Moon, J.B., Dewitt, T.H., Errend, M.N., Bruins, R.J.F., Kentula, M.E., Chamberlain, S.J., et al., 2017. Model application niche analysis: Assessing the transferability and generalizability of ecological models. Ecosphere 8(10), e01974. </w:t>
      </w:r>
      <w:hyperlink r:id="rId106">
        <w:r>
          <w:rPr>
            <w:color w:val="000000"/>
          </w:rPr>
          <w:t>https://doi.org/10.1002/ecs2.1974</w:t>
        </w:r>
      </w:hyperlink>
      <w:r>
        <w:t>.</w:t>
      </w:r>
    </w:p>
    <w:p w14:paraId="02FA0DFF" w14:textId="77777777" w:rsidR="00C55C27" w:rsidRDefault="00154CAC" w:rsidP="000B12BC">
      <w:pPr>
        <w:spacing w:after="0" w:line="480" w:lineRule="auto"/>
        <w:ind w:left="360" w:hanging="360"/>
      </w:pPr>
      <w:r>
        <w:t xml:space="preserve">Munafo, M.R., Nosek, B.A., Bishop, D.V.M., Button, K.S., Chambers, C.D., du Sert, N.P., et al., 2017. A manifesto for reproducible science. Nat. Hum. Behav. 1, 0021. </w:t>
      </w:r>
      <w:r>
        <w:rPr>
          <w:highlight w:val="white"/>
        </w:rPr>
        <w:t>https://doi.org/10.1038/s41562-016-0021.</w:t>
      </w:r>
    </w:p>
    <w:p w14:paraId="4DF79387" w14:textId="77777777" w:rsidR="00C55C27" w:rsidRDefault="00154CAC" w:rsidP="000B12BC">
      <w:pPr>
        <w:spacing w:after="0" w:line="480" w:lineRule="auto"/>
        <w:ind w:left="360" w:hanging="360"/>
        <w:rPr>
          <w:b/>
        </w:rPr>
      </w:pPr>
      <w:r>
        <w:t>Natural Capital Project, 2024.</w:t>
      </w:r>
      <w:r>
        <w:rPr>
          <w:color w:val="2E2D29"/>
          <w:highlight w:val="white"/>
        </w:rPr>
        <w:t xml:space="preserve"> InVEST 3.14.1. Stanford University, University of Minnesota, Chinese Academy of Sciences, The Nature Conservancy, World Wildlife Fund, Stockholm Resilience Centre and the Royal Swedish Academy of Sciences. </w:t>
      </w:r>
      <w:hyperlink r:id="rId107">
        <w:r>
          <w:rPr>
            <w:color w:val="006B81"/>
            <w:highlight w:val="white"/>
            <w:u w:val="single"/>
          </w:rPr>
          <w:t>https://naturalcapitalproject.stanford.edu/software/invest</w:t>
        </w:r>
      </w:hyperlink>
      <w:r>
        <w:t xml:space="preserve"> (accessed 1 April 2024).</w:t>
      </w:r>
    </w:p>
    <w:p w14:paraId="2DE37C1C" w14:textId="77777777" w:rsidR="00C55C27" w:rsidRDefault="00154CAC" w:rsidP="000B12BC">
      <w:pPr>
        <w:spacing w:after="0" w:line="480" w:lineRule="auto"/>
        <w:ind w:left="360" w:hanging="360"/>
      </w:pPr>
      <w:r>
        <w:t xml:space="preserve">Nelson, B., 2009. Data sharing: Empty archives. Nature 461, 160-163. </w:t>
      </w:r>
      <w:r>
        <w:rPr>
          <w:highlight w:val="white"/>
        </w:rPr>
        <w:t>https://doi.org/10.1038/461160a.</w:t>
      </w:r>
    </w:p>
    <w:p w14:paraId="22C94F78" w14:textId="77777777" w:rsidR="00560C50" w:rsidRDefault="00154CAC" w:rsidP="000B12BC">
      <w:pPr>
        <w:spacing w:after="0" w:line="480" w:lineRule="auto"/>
        <w:ind w:left="360" w:hanging="360"/>
      </w:pPr>
      <w:r>
        <w:t>Nesic, S., Rizzoli, A.E., Athanasiadis, I.N., 2011. Towards a semantically unified environmental information space, in: Hrebicek, J., Schimak, G., Denzer, R. (Eds.), Environmental Software Systems. Frameworks of eEnvironment, ISESS 2011, IFIP Advances in Information and Communication Technology, vol. 359, Springer, Berlin, Heidelberg, pp. 407-418.</w:t>
      </w:r>
    </w:p>
    <w:p w14:paraId="4FE8AC4E" w14:textId="65A529C7" w:rsidR="00560C50" w:rsidRPr="00560C50" w:rsidRDefault="00560C50" w:rsidP="000B12BC">
      <w:pPr>
        <w:spacing w:after="0" w:line="480" w:lineRule="auto"/>
        <w:ind w:left="360" w:hanging="360"/>
        <w:rPr>
          <w:rFonts w:asciiTheme="majorHAnsi" w:hAnsiTheme="majorHAnsi" w:cstheme="majorHAnsi"/>
        </w:rPr>
      </w:pPr>
      <w:r w:rsidRPr="00560C50">
        <w:rPr>
          <w:rStyle w:val="cf01"/>
          <w:rFonts w:asciiTheme="majorHAnsi" w:hAnsiTheme="majorHAnsi" w:cstheme="majorHAnsi"/>
          <w:sz w:val="22"/>
          <w:szCs w:val="22"/>
        </w:rPr>
        <w:lastRenderedPageBreak/>
        <w:t>Neuhaus, F., Florescu, E., Galton, A., Gruninger, M., Guarino, N., Obrst, L., et al., 2011. Creating the Ontologists of the Future. Appl. Ontol. 6(1), 91-98. https://doi.org/10.5555/1971674.1971677.</w:t>
      </w:r>
    </w:p>
    <w:p w14:paraId="402F458B" w14:textId="6EAED666" w:rsidR="003F022E" w:rsidRPr="003F022E" w:rsidRDefault="003F022E" w:rsidP="000B12BC">
      <w:pPr>
        <w:spacing w:after="0" w:line="480" w:lineRule="auto"/>
        <w:ind w:left="360" w:hanging="360"/>
        <w:rPr>
          <w:rFonts w:asciiTheme="majorHAnsi" w:hAnsiTheme="majorHAnsi" w:cstheme="majorHAnsi"/>
        </w:rPr>
      </w:pPr>
      <w:r w:rsidRPr="003F022E">
        <w:rPr>
          <w:rStyle w:val="cf01"/>
          <w:rFonts w:asciiTheme="majorHAnsi" w:hAnsiTheme="majorHAnsi" w:cstheme="majorHAnsi"/>
          <w:sz w:val="22"/>
          <w:szCs w:val="22"/>
        </w:rPr>
        <w:t>Neuhaus, F., Hastings, J., 2022. Ontology development is consensus creation, not (merely) representation. Appl. Ontol. 17(4), 495-513. https://doi.org/10.3233/AO-220273</w:t>
      </w:r>
    </w:p>
    <w:p w14:paraId="0BBD3CDA" w14:textId="77777777" w:rsidR="005C4BE5" w:rsidRDefault="00154CAC" w:rsidP="000B12BC">
      <w:pPr>
        <w:spacing w:after="0" w:line="480" w:lineRule="auto"/>
        <w:ind w:left="360" w:hanging="360"/>
      </w:pPr>
      <w:r>
        <w:t xml:space="preserve">NLM. 2019. SNOMED CT. </w:t>
      </w:r>
      <w:hyperlink r:id="rId108">
        <w:r>
          <w:rPr>
            <w:color w:val="000000"/>
          </w:rPr>
          <w:t>https://www.nlm.nih.gov/healthit/snomedct/index.html</w:t>
        </w:r>
      </w:hyperlink>
      <w:r>
        <w:t xml:space="preserve"> (accessed 29 March 2024).</w:t>
      </w:r>
    </w:p>
    <w:p w14:paraId="6F608488" w14:textId="7BBFE4E6" w:rsidR="00FD0E34" w:rsidRPr="005C4BE5" w:rsidRDefault="00FD0E34" w:rsidP="000B12BC">
      <w:pPr>
        <w:spacing w:after="0" w:line="480" w:lineRule="auto"/>
        <w:ind w:left="360" w:hanging="360"/>
        <w:rPr>
          <w:rFonts w:asciiTheme="majorHAnsi" w:hAnsiTheme="majorHAnsi" w:cstheme="majorHAnsi"/>
        </w:rPr>
      </w:pPr>
      <w:r w:rsidRPr="005C4BE5">
        <w:rPr>
          <w:rFonts w:asciiTheme="majorHAnsi" w:hAnsiTheme="majorHAnsi" w:cstheme="majorHAnsi"/>
        </w:rPr>
        <w:t xml:space="preserve">Norström, A.V., Cvitanovic, C., Löf, M.F., West, S., Wyborn, C., Balvanera, P., et al. 2020. Principles for knowledge co-production in sustainability research. </w:t>
      </w:r>
      <w:r w:rsidRPr="005C4BE5">
        <w:rPr>
          <w:rFonts w:asciiTheme="majorHAnsi" w:hAnsiTheme="majorHAnsi" w:cstheme="majorHAnsi"/>
          <w:color w:val="000000"/>
        </w:rPr>
        <w:t>Nat. Sustain. 3,182-190.</w:t>
      </w:r>
      <w:r w:rsidRPr="005C4BE5">
        <w:rPr>
          <w:rFonts w:asciiTheme="majorHAnsi" w:hAnsiTheme="majorHAnsi" w:cstheme="majorHAnsi"/>
        </w:rPr>
        <w:t xml:space="preserve"> https://doi.org/10.1038/s41893-019-0448-2</w:t>
      </w:r>
      <w:r w:rsidR="005C4BE5" w:rsidRPr="005C4BE5">
        <w:rPr>
          <w:rStyle w:val="cf01"/>
          <w:rFonts w:asciiTheme="majorHAnsi" w:hAnsiTheme="majorHAnsi" w:cstheme="majorHAnsi"/>
          <w:sz w:val="22"/>
          <w:szCs w:val="22"/>
        </w:rPr>
        <w:t>.</w:t>
      </w:r>
    </w:p>
    <w:p w14:paraId="4292560F" w14:textId="6564AB65" w:rsidR="0003063F" w:rsidRPr="0003063F" w:rsidRDefault="0003063F" w:rsidP="000B12BC">
      <w:pPr>
        <w:spacing w:after="0" w:line="480" w:lineRule="auto"/>
        <w:ind w:left="360" w:hanging="360"/>
        <w:rPr>
          <w:rFonts w:asciiTheme="majorHAnsi" w:hAnsiTheme="majorHAnsi" w:cstheme="majorHAnsi"/>
        </w:rPr>
      </w:pPr>
      <w:r w:rsidRPr="0003063F">
        <w:rPr>
          <w:rFonts w:asciiTheme="majorHAnsi" w:hAnsiTheme="majorHAnsi" w:cstheme="majorHAnsi"/>
        </w:rPr>
        <w:t>O’Brien, M</w:t>
      </w:r>
      <w:r>
        <w:rPr>
          <w:rFonts w:asciiTheme="majorHAnsi" w:hAnsiTheme="majorHAnsi" w:cstheme="majorHAnsi"/>
        </w:rPr>
        <w:t>.</w:t>
      </w:r>
      <w:r w:rsidRPr="0003063F">
        <w:rPr>
          <w:rFonts w:asciiTheme="majorHAnsi" w:hAnsiTheme="majorHAnsi" w:cstheme="majorHAnsi"/>
        </w:rPr>
        <w:t>, Duerr, R</w:t>
      </w:r>
      <w:r>
        <w:rPr>
          <w:rFonts w:asciiTheme="majorHAnsi" w:hAnsiTheme="majorHAnsi" w:cstheme="majorHAnsi"/>
        </w:rPr>
        <w:t>.</w:t>
      </w:r>
      <w:r w:rsidRPr="0003063F">
        <w:rPr>
          <w:rFonts w:asciiTheme="majorHAnsi" w:hAnsiTheme="majorHAnsi" w:cstheme="majorHAnsi"/>
        </w:rPr>
        <w:t>, Taitingfong, R</w:t>
      </w:r>
      <w:r>
        <w:rPr>
          <w:rFonts w:asciiTheme="majorHAnsi" w:hAnsiTheme="majorHAnsi" w:cstheme="majorHAnsi"/>
        </w:rPr>
        <w:t>.</w:t>
      </w:r>
      <w:r w:rsidRPr="0003063F">
        <w:rPr>
          <w:rFonts w:asciiTheme="majorHAnsi" w:hAnsiTheme="majorHAnsi" w:cstheme="majorHAnsi"/>
        </w:rPr>
        <w:t>, Martinez, A</w:t>
      </w:r>
      <w:r>
        <w:rPr>
          <w:rFonts w:asciiTheme="majorHAnsi" w:hAnsiTheme="majorHAnsi" w:cstheme="majorHAnsi"/>
        </w:rPr>
        <w:t>.</w:t>
      </w:r>
      <w:r w:rsidRPr="0003063F">
        <w:rPr>
          <w:rFonts w:asciiTheme="majorHAnsi" w:hAnsiTheme="majorHAnsi" w:cstheme="majorHAnsi"/>
        </w:rPr>
        <w:t>, Vera, L</w:t>
      </w:r>
      <w:r>
        <w:rPr>
          <w:rFonts w:asciiTheme="majorHAnsi" w:hAnsiTheme="majorHAnsi" w:cstheme="majorHAnsi"/>
        </w:rPr>
        <w:t>.</w:t>
      </w:r>
      <w:r w:rsidRPr="0003063F">
        <w:rPr>
          <w:rFonts w:asciiTheme="majorHAnsi" w:hAnsiTheme="majorHAnsi" w:cstheme="majorHAnsi"/>
        </w:rPr>
        <w:t>, Jennings, L</w:t>
      </w:r>
      <w:r>
        <w:rPr>
          <w:rFonts w:asciiTheme="majorHAnsi" w:hAnsiTheme="majorHAnsi" w:cstheme="majorHAnsi"/>
        </w:rPr>
        <w:t>.</w:t>
      </w:r>
      <w:r w:rsidRPr="0003063F">
        <w:rPr>
          <w:rFonts w:asciiTheme="majorHAnsi" w:hAnsiTheme="majorHAnsi" w:cstheme="majorHAnsi"/>
        </w:rPr>
        <w:t>L</w:t>
      </w:r>
      <w:r>
        <w:rPr>
          <w:rFonts w:asciiTheme="majorHAnsi" w:hAnsiTheme="majorHAnsi" w:cstheme="majorHAnsi"/>
        </w:rPr>
        <w:t>.</w:t>
      </w:r>
      <w:r w:rsidRPr="0003063F">
        <w:rPr>
          <w:rFonts w:asciiTheme="majorHAnsi" w:hAnsiTheme="majorHAnsi" w:cstheme="majorHAnsi"/>
        </w:rPr>
        <w:t>, et al.</w:t>
      </w:r>
      <w:r>
        <w:rPr>
          <w:rFonts w:asciiTheme="majorHAnsi" w:hAnsiTheme="majorHAnsi" w:cstheme="majorHAnsi"/>
        </w:rPr>
        <w:t>,</w:t>
      </w:r>
      <w:r w:rsidRPr="0003063F">
        <w:rPr>
          <w:rFonts w:asciiTheme="majorHAnsi" w:hAnsiTheme="majorHAnsi" w:cstheme="majorHAnsi"/>
        </w:rPr>
        <w:t xml:space="preserve"> 2024 Earth Science Data Repositories: Implementing the CARE Principles. Data Science Journal, 23</w:t>
      </w:r>
      <w:r>
        <w:rPr>
          <w:rFonts w:asciiTheme="majorHAnsi" w:hAnsiTheme="majorHAnsi" w:cstheme="majorHAnsi"/>
        </w:rPr>
        <w:t>(</w:t>
      </w:r>
      <w:r w:rsidRPr="0003063F">
        <w:rPr>
          <w:rFonts w:asciiTheme="majorHAnsi" w:hAnsiTheme="majorHAnsi" w:cstheme="majorHAnsi"/>
        </w:rPr>
        <w:t>37</w:t>
      </w:r>
      <w:r>
        <w:rPr>
          <w:rFonts w:asciiTheme="majorHAnsi" w:hAnsiTheme="majorHAnsi" w:cstheme="majorHAnsi"/>
        </w:rPr>
        <w:t>),</w:t>
      </w:r>
      <w:r w:rsidRPr="0003063F">
        <w:rPr>
          <w:rFonts w:asciiTheme="majorHAnsi" w:hAnsiTheme="majorHAnsi" w:cstheme="majorHAnsi"/>
        </w:rPr>
        <w:t xml:space="preserve"> 1–29. https:// doi.org/10.5334/dsj-2024-037</w:t>
      </w:r>
      <w:r>
        <w:rPr>
          <w:rFonts w:asciiTheme="majorHAnsi" w:hAnsiTheme="majorHAnsi" w:cstheme="majorHAnsi"/>
        </w:rPr>
        <w:t>.</w:t>
      </w:r>
    </w:p>
    <w:p w14:paraId="7003240E" w14:textId="77777777" w:rsidR="00C55C27" w:rsidRDefault="00154CAC" w:rsidP="000B12BC">
      <w:pPr>
        <w:spacing w:after="0" w:line="480" w:lineRule="auto"/>
        <w:ind w:left="360" w:hanging="360"/>
      </w:pPr>
      <w:r>
        <w:t>Obrst, L., 2010. Ontological architectures, in: Poli, R., Healy, M., Kameas, A. (Eds.), Theory and Applications of Ontology: Computer Applications, Dordrecht: Springer Netherlands, pp. 27-66.</w:t>
      </w:r>
    </w:p>
    <w:p w14:paraId="438B14B6" w14:textId="77777777" w:rsidR="00C55C27" w:rsidRDefault="00154CAC" w:rsidP="000B12BC">
      <w:pPr>
        <w:spacing w:after="0" w:line="480" w:lineRule="auto"/>
        <w:ind w:left="360" w:hanging="360"/>
      </w:pPr>
      <w:r>
        <w:t xml:space="preserve">openEO. 2024. openEO. </w:t>
      </w:r>
      <w:hyperlink r:id="rId109">
        <w:r>
          <w:rPr>
            <w:color w:val="000000"/>
          </w:rPr>
          <w:t>https://openeo.org/</w:t>
        </w:r>
      </w:hyperlink>
      <w:r>
        <w:t xml:space="preserve"> (accessed 29 March 2024).</w:t>
      </w:r>
    </w:p>
    <w:p w14:paraId="49A66C0C" w14:textId="77777777" w:rsidR="00C55C27" w:rsidRDefault="00154CAC" w:rsidP="000B12BC">
      <w:pPr>
        <w:spacing w:after="0" w:line="480" w:lineRule="auto"/>
        <w:ind w:left="360" w:hanging="360"/>
      </w:pPr>
      <w:r>
        <w:t xml:space="preserve">Otte, J. N., Beverley, J., Ruttenberg, A., 2022. BFO: Basic formal ontology. Applied Ontology 17(1), 17-43. </w:t>
      </w:r>
      <w:hyperlink r:id="rId110">
        <w:r>
          <w:rPr>
            <w:color w:val="0000FF"/>
            <w:highlight w:val="white"/>
            <w:u w:val="single"/>
          </w:rPr>
          <w:t>https://doi.org/10.3233/AO-220262</w:t>
        </w:r>
      </w:hyperlink>
      <w:r>
        <w:t>.</w:t>
      </w:r>
    </w:p>
    <w:p w14:paraId="108BF1B6" w14:textId="77777777" w:rsidR="00C55C27" w:rsidRDefault="00154CAC" w:rsidP="000B12BC">
      <w:pPr>
        <w:spacing w:after="0" w:line="480" w:lineRule="auto"/>
        <w:ind w:left="360" w:hanging="360"/>
      </w:pPr>
      <w:r>
        <w:t>Palomo, I., Adamescu, M., Bagstad, K.J., Cazacu, C., Klug, H., Nedkov, S., 2017. Tools for mapping ecosystem services, in: Burkhard, B., Maes, J. (Eds.), Mapping ecosystem services, Pensoft, pp. 70-74.</w:t>
      </w:r>
    </w:p>
    <w:p w14:paraId="63C4956D" w14:textId="77777777" w:rsidR="00C55C27" w:rsidRDefault="00154CAC" w:rsidP="000B12BC">
      <w:pPr>
        <w:spacing w:after="0" w:line="480" w:lineRule="auto"/>
        <w:ind w:left="360" w:hanging="360"/>
      </w:pPr>
      <w:r>
        <w:t xml:space="preserve">Palomo, I., Willemen, L., Drakou, E., Burkhard, B., Crossman, N., Bellamy, C., et al., 2018. Practical solutions for bottlenecks in ecosystem services mapping. One Ecosystem 3, e20713. </w:t>
      </w:r>
      <w:hyperlink r:id="rId111">
        <w:r>
          <w:rPr>
            <w:color w:val="0000FF"/>
            <w:u w:val="single"/>
          </w:rPr>
          <w:t>https://doi.org/10.3897/oneeco.3.e20713</w:t>
        </w:r>
      </w:hyperlink>
      <w:r>
        <w:t>.</w:t>
      </w:r>
    </w:p>
    <w:p w14:paraId="11DB9F62" w14:textId="77777777" w:rsidR="00FB0B65" w:rsidRPr="00FB0B65" w:rsidRDefault="00FB0B65" w:rsidP="000B12BC">
      <w:pPr>
        <w:spacing w:after="0" w:line="480" w:lineRule="auto"/>
        <w:ind w:left="360" w:hanging="360"/>
        <w:rPr>
          <w:rFonts w:asciiTheme="majorHAnsi" w:hAnsiTheme="majorHAnsi" w:cstheme="majorHAnsi"/>
        </w:rPr>
      </w:pPr>
      <w:r w:rsidRPr="00FB0B65">
        <w:rPr>
          <w:rFonts w:asciiTheme="majorHAnsi" w:hAnsiTheme="majorHAnsi" w:cstheme="majorHAnsi"/>
        </w:rPr>
        <w:lastRenderedPageBreak/>
        <w:t xml:space="preserve">Panagos, P., Borrelli, P., Meusburger, K., Alewell, C., Lugato, E., Montanarella, L., 2015. Estimating the soil erosion cover-management factor at the European scale. Land Use Policy 48, 38-50. </w:t>
      </w:r>
      <w:hyperlink r:id="rId112">
        <w:r w:rsidRPr="00FB0B65">
          <w:rPr>
            <w:rFonts w:asciiTheme="majorHAnsi" w:hAnsiTheme="majorHAnsi" w:cstheme="majorHAnsi"/>
          </w:rPr>
          <w:t>https://doi.org/10.1016/j.landusepol.2015.05.021</w:t>
        </w:r>
      </w:hyperlink>
      <w:r w:rsidRPr="00FB0B65">
        <w:rPr>
          <w:rFonts w:asciiTheme="majorHAnsi" w:hAnsiTheme="majorHAnsi" w:cstheme="majorHAnsi"/>
        </w:rPr>
        <w:t>.</w:t>
      </w:r>
    </w:p>
    <w:p w14:paraId="07A56D4A" w14:textId="791742CD" w:rsidR="00C55C27" w:rsidRDefault="00154CAC" w:rsidP="000B12BC">
      <w:pPr>
        <w:spacing w:after="0" w:line="480" w:lineRule="auto"/>
        <w:ind w:left="360" w:hanging="360"/>
      </w:pPr>
      <w:r>
        <w:t xml:space="preserve">Papoutsoglou, E.A., Athanasiadis, I.N., Visser, R.G.F., Finkers, R., 2023. The benefits and struggles of FAIR data: the case of reusing plant phenotyping data. Scientific Data, 10(1), 457. </w:t>
      </w:r>
      <w:hyperlink r:id="rId113">
        <w:r>
          <w:rPr>
            <w:color w:val="0000FF"/>
            <w:u w:val="single"/>
          </w:rPr>
          <w:t>https://doi.org/10.1038/s41597-023-02364-z</w:t>
        </w:r>
      </w:hyperlink>
      <w:r>
        <w:t>.</w:t>
      </w:r>
    </w:p>
    <w:p w14:paraId="5E622522" w14:textId="77777777" w:rsidR="00BD7C1E" w:rsidRDefault="00154CAC" w:rsidP="000B12BC">
      <w:pPr>
        <w:spacing w:after="0" w:line="480" w:lineRule="auto"/>
        <w:ind w:left="360" w:hanging="360"/>
      </w:pPr>
      <w:r>
        <w:rPr>
          <w:highlight w:val="white"/>
        </w:rPr>
        <w:t xml:space="preserve">Pascual, U., Balvanera, P., Diaz, S., Pataki, G., Roth, E., Stenseke, M., et al., 2017. Valuing nature’s contributions to people: the IPBES approach. Curr. Opin. Env. Sust. 26-27, 7-16. </w:t>
      </w:r>
      <w:hyperlink r:id="rId114">
        <w:r>
          <w:t>https://doi.org/10.1016/j.cosust.2016.12.006</w:t>
        </w:r>
      </w:hyperlink>
      <w:r>
        <w:rPr>
          <w:highlight w:val="white"/>
        </w:rPr>
        <w:t>.</w:t>
      </w:r>
    </w:p>
    <w:p w14:paraId="04859DE2" w14:textId="0AD9BE31" w:rsidR="00B05912" w:rsidRPr="00B05912" w:rsidRDefault="00B05912" w:rsidP="000B12BC">
      <w:pPr>
        <w:spacing w:after="0" w:line="480" w:lineRule="auto"/>
        <w:ind w:left="360" w:hanging="360"/>
        <w:rPr>
          <w:rFonts w:asciiTheme="majorHAnsi" w:hAnsiTheme="majorHAnsi" w:cstheme="majorHAnsi"/>
        </w:rPr>
      </w:pPr>
      <w:r w:rsidRPr="00B05912">
        <w:rPr>
          <w:rStyle w:val="hlfld-contribauthor"/>
          <w:rFonts w:asciiTheme="majorHAnsi" w:hAnsiTheme="majorHAnsi" w:cstheme="majorHAnsi"/>
        </w:rPr>
        <w:t>Pereira, H.M</w:t>
      </w:r>
      <w:r w:rsidRPr="00B05912">
        <w:rPr>
          <w:rStyle w:val="hlfld-contribauthor"/>
          <w:rFonts w:asciiTheme="majorHAnsi" w:hAnsiTheme="majorHAnsi" w:cstheme="majorHAnsi"/>
          <w:i/>
          <w:iCs/>
        </w:rPr>
        <w:t xml:space="preserve">, </w:t>
      </w:r>
      <w:r w:rsidRPr="00B05912">
        <w:rPr>
          <w:rStyle w:val="hlfld-contribauthor"/>
          <w:rFonts w:asciiTheme="majorHAnsi" w:hAnsiTheme="majorHAnsi" w:cstheme="majorHAnsi"/>
        </w:rPr>
        <w:t>Martins, I.S., Rosa, I.M.D., Kim, H., Leadley, P., Popp, A.,</w:t>
      </w:r>
      <w:r w:rsidRPr="00B05912">
        <w:rPr>
          <w:rStyle w:val="hlfld-contribauthor"/>
          <w:rFonts w:asciiTheme="majorHAnsi" w:hAnsiTheme="majorHAnsi" w:cstheme="majorHAnsi"/>
          <w:i/>
          <w:iCs/>
        </w:rPr>
        <w:t xml:space="preserve"> </w:t>
      </w:r>
      <w:r w:rsidRPr="00B05912">
        <w:rPr>
          <w:rStyle w:val="Emphasis"/>
          <w:rFonts w:asciiTheme="majorHAnsi" w:hAnsiTheme="majorHAnsi" w:cstheme="majorHAnsi"/>
          <w:i w:val="0"/>
          <w:iCs w:val="0"/>
        </w:rPr>
        <w:t>et al., 2024</w:t>
      </w:r>
      <w:r w:rsidRPr="00B05912">
        <w:rPr>
          <w:rStyle w:val="Emphasis"/>
          <w:rFonts w:asciiTheme="majorHAnsi" w:hAnsiTheme="majorHAnsi" w:cstheme="majorHAnsi"/>
        </w:rPr>
        <w:t xml:space="preserve">. </w:t>
      </w:r>
      <w:r w:rsidRPr="00B05912">
        <w:rPr>
          <w:rStyle w:val="ml-1"/>
          <w:rFonts w:asciiTheme="majorHAnsi" w:hAnsiTheme="majorHAnsi" w:cstheme="majorHAnsi"/>
          <w:shd w:val="clear" w:color="auto" w:fill="FFFFFF"/>
        </w:rPr>
        <w:t>Global trends and scenarios for terrestrial biodiversity and ecosystem services from 1900 to 2050. Science</w:t>
      </w:r>
      <w:r w:rsidRPr="00B05912">
        <w:rPr>
          <w:rStyle w:val="ml-1"/>
          <w:rFonts w:asciiTheme="majorHAnsi" w:hAnsiTheme="majorHAnsi" w:cstheme="majorHAnsi"/>
          <w:i/>
          <w:iCs/>
          <w:shd w:val="clear" w:color="auto" w:fill="FFFFFF"/>
        </w:rPr>
        <w:t xml:space="preserve"> </w:t>
      </w:r>
      <w:r w:rsidRPr="00B05912">
        <w:rPr>
          <w:rStyle w:val="ml-1"/>
          <w:rFonts w:asciiTheme="majorHAnsi" w:hAnsiTheme="majorHAnsi" w:cstheme="majorHAnsi"/>
          <w:shd w:val="clear" w:color="auto" w:fill="FFFFFF"/>
        </w:rPr>
        <w:t>384, 458-465. https://doi.org/</w:t>
      </w:r>
      <w:r w:rsidRPr="00B05912">
        <w:rPr>
          <w:rStyle w:val="ml-1"/>
          <w:rFonts w:asciiTheme="majorHAnsi" w:hAnsiTheme="majorHAnsi" w:cstheme="majorHAnsi"/>
        </w:rPr>
        <w:t>10.1126/science.adn3441.</w:t>
      </w:r>
    </w:p>
    <w:p w14:paraId="4409BB69" w14:textId="77777777" w:rsidR="00EA0456" w:rsidRDefault="00154CAC" w:rsidP="000B12BC">
      <w:pPr>
        <w:spacing w:after="0" w:line="480" w:lineRule="auto"/>
        <w:ind w:left="360" w:hanging="360"/>
      </w:pPr>
      <w:r>
        <w:rPr>
          <w:highlight w:val="white"/>
        </w:rPr>
        <w:t xml:space="preserve">Perrier L., Blondal E., MacDonald H., 2020. The views, perspectives, and experiences of academic researchers with data sharing and reuse: A meta-synthesis. PLoS ONE 15(2), e0229182. </w:t>
      </w:r>
      <w:hyperlink r:id="rId115" w:history="1">
        <w:r w:rsidR="00EA0456" w:rsidRPr="00EC56BC">
          <w:rPr>
            <w:rStyle w:val="Hyperlink"/>
            <w:highlight w:val="white"/>
          </w:rPr>
          <w:t>https://doi.org/10.1371/journal.pone.0229182</w:t>
        </w:r>
      </w:hyperlink>
      <w:r>
        <w:rPr>
          <w:highlight w:val="white"/>
        </w:rPr>
        <w:t>.</w:t>
      </w:r>
    </w:p>
    <w:p w14:paraId="739F7027" w14:textId="7556789F" w:rsidR="0074640F" w:rsidRPr="00303EE1" w:rsidRDefault="0074640F" w:rsidP="000B12BC">
      <w:pPr>
        <w:spacing w:after="0" w:line="480" w:lineRule="auto"/>
        <w:ind w:left="360" w:hanging="360"/>
        <w:rPr>
          <w:rFonts w:asciiTheme="majorHAnsi" w:hAnsiTheme="majorHAnsi" w:cstheme="majorHAnsi"/>
          <w:shd w:val="clear" w:color="auto" w:fill="FFFFFF"/>
        </w:rPr>
      </w:pPr>
      <w:r>
        <w:rPr>
          <w:shd w:val="clear" w:color="auto" w:fill="FFFFFF"/>
        </w:rPr>
        <w:t xml:space="preserve">Potschin, M., Haines-Young, R., 2013. </w:t>
      </w:r>
      <w:r w:rsidR="00B0444E">
        <w:rPr>
          <w:shd w:val="clear" w:color="auto" w:fill="FFFFFF"/>
        </w:rPr>
        <w:t>Landscapes, sustainability and the place-based analysis of ecosystem services. Landscape Ecol</w:t>
      </w:r>
      <w:r w:rsidR="00303EE1">
        <w:rPr>
          <w:shd w:val="clear" w:color="auto" w:fill="FFFFFF"/>
        </w:rPr>
        <w:t>.</w:t>
      </w:r>
      <w:r w:rsidR="00B0444E">
        <w:rPr>
          <w:shd w:val="clear" w:color="auto" w:fill="FFFFFF"/>
        </w:rPr>
        <w:t xml:space="preserve"> 28,1053-1065. </w:t>
      </w:r>
      <w:r w:rsidR="00303EE1" w:rsidRPr="00303EE1">
        <w:rPr>
          <w:rFonts w:asciiTheme="majorHAnsi" w:hAnsiTheme="majorHAnsi" w:cstheme="majorHAnsi"/>
          <w:color w:val="222222"/>
          <w:shd w:val="clear" w:color="auto" w:fill="FFFFFF"/>
        </w:rPr>
        <w:t>https://doi.org/10.1007/s10980-012-9756-x</w:t>
      </w:r>
    </w:p>
    <w:p w14:paraId="040964C8" w14:textId="6B2E8B35" w:rsidR="00EA0456" w:rsidRDefault="00EA0456" w:rsidP="000B12BC">
      <w:pPr>
        <w:spacing w:after="0" w:line="480" w:lineRule="auto"/>
        <w:ind w:left="360" w:hanging="360"/>
      </w:pPr>
      <w:r w:rsidRPr="00A953C0">
        <w:rPr>
          <w:shd w:val="clear" w:color="auto" w:fill="FFFFFF"/>
        </w:rPr>
        <w:t>Potschin-Young, M., Burkhard, B., Czúcz, B., Santos-Martín, F., 2018. Glossary of ecosystem services mapping and assessment terminology. One Ecosystem 3, e27110. </w:t>
      </w:r>
      <w:hyperlink r:id="rId116" w:tgtFrame="_blank" w:history="1">
        <w:r w:rsidRPr="00A953C0">
          <w:rPr>
            <w:rStyle w:val="Hyperlink"/>
            <w:color w:val="auto"/>
            <w:shd w:val="clear" w:color="auto" w:fill="FFFFFF"/>
          </w:rPr>
          <w:t>https://doi.org/10.3897/oneeco.3.e27110</w:t>
        </w:r>
      </w:hyperlink>
    </w:p>
    <w:p w14:paraId="2553EC01" w14:textId="77777777" w:rsidR="00C55C27" w:rsidRDefault="00154CAC" w:rsidP="000B12BC">
      <w:pPr>
        <w:spacing w:after="0" w:line="480" w:lineRule="auto"/>
        <w:ind w:left="360" w:hanging="360"/>
      </w:pPr>
      <w:r>
        <w:t>Powers, S.M., Hampton, S.E., 2019. Open science, reproducibility, and transparency in ecology. Ecol. Appl. 29(1), e01822.</w:t>
      </w:r>
      <w:r>
        <w:rPr>
          <w:highlight w:val="white"/>
        </w:rPr>
        <w:t> </w:t>
      </w:r>
      <w:hyperlink r:id="rId117">
        <w:r>
          <w:rPr>
            <w:color w:val="000000"/>
          </w:rPr>
          <w:t>https://doi.org/10.1002/eap.1822</w:t>
        </w:r>
      </w:hyperlink>
      <w:r>
        <w:t>.</w:t>
      </w:r>
    </w:p>
    <w:p w14:paraId="1F91AF04" w14:textId="77777777" w:rsidR="00C55C27" w:rsidRDefault="00154CAC" w:rsidP="000B12BC">
      <w:pPr>
        <w:spacing w:after="0" w:line="480" w:lineRule="auto"/>
        <w:ind w:left="360" w:hanging="360"/>
      </w:pPr>
      <w:r>
        <w:lastRenderedPageBreak/>
        <w:t xml:space="preserve">Puy, A., Saltelli, A., 2023. Mind the hubris: Complexity can misfire. In: Saltelli, A., Di Fiore, M. (Eds.), The politics of modelling, Oxford University Press, Oxford, pp. 51-68. </w:t>
      </w:r>
    </w:p>
    <w:p w14:paraId="32F3FF53" w14:textId="77777777" w:rsidR="00C55C27" w:rsidRDefault="00154CAC" w:rsidP="000B12BC">
      <w:pPr>
        <w:spacing w:after="0" w:line="480" w:lineRule="auto"/>
        <w:ind w:left="360" w:hanging="360"/>
      </w:pPr>
      <w:r>
        <w:t xml:space="preserve">PyPi. 2023. natcap.invest 3.14.1. </w:t>
      </w:r>
      <w:hyperlink r:id="rId118">
        <w:r>
          <w:rPr>
            <w:color w:val="000000"/>
          </w:rPr>
          <w:t>https://pypi.org/project/natcap.invest/</w:t>
        </w:r>
      </w:hyperlink>
      <w:r>
        <w:t xml:space="preserve"> (accessed 29 March 2024).</w:t>
      </w:r>
    </w:p>
    <w:p w14:paraId="5596E8F2" w14:textId="77777777" w:rsidR="00C55C27" w:rsidRDefault="00154CAC" w:rsidP="000B12BC">
      <w:pPr>
        <w:spacing w:after="0" w:line="480" w:lineRule="auto"/>
        <w:ind w:left="360" w:hanging="360"/>
      </w:pPr>
      <w:r>
        <w:t xml:space="preserve">Ramage, S., Slotin, J., 2021. Why people are essential in data interoperability. </w:t>
      </w:r>
      <w:hyperlink r:id="rId119">
        <w:r>
          <w:rPr>
            <w:color w:val="000000"/>
          </w:rPr>
          <w:t>https://www.data4sdgs.org/news/why-people-are-essential-data-interoperability</w:t>
        </w:r>
      </w:hyperlink>
      <w:r>
        <w:t xml:space="preserve"> (accessed 29 March 2024).</w:t>
      </w:r>
    </w:p>
    <w:p w14:paraId="197364EE" w14:textId="77777777" w:rsidR="00C55C27" w:rsidRDefault="00154CAC" w:rsidP="000B12BC">
      <w:pPr>
        <w:spacing w:after="0" w:line="480" w:lineRule="auto"/>
        <w:ind w:left="360" w:hanging="360"/>
      </w:pPr>
      <w:r>
        <w:t xml:space="preserve">Ramirez-Gomez, S.O., Torres-Vitolas, C.A., Schreckenberg, K., Honzák, M., Cruz-Garcia, G.S., Willcock, S., et al., 2015. Analysis of ecosystem services provision in the Colombian Amazon using participatory research and mapping techniques. Ecosyst. Serv. 13, 93-107. </w:t>
      </w:r>
      <w:hyperlink r:id="rId120">
        <w:r>
          <w:t>https://doi.org/10.1016/j.ecoser.2014.12.009</w:t>
        </w:r>
      </w:hyperlink>
      <w:r>
        <w:t>.</w:t>
      </w:r>
    </w:p>
    <w:p w14:paraId="7AF3D034" w14:textId="77777777" w:rsidR="00C55C27" w:rsidRDefault="00154CAC" w:rsidP="000B12BC">
      <w:pPr>
        <w:spacing w:after="0" w:line="480" w:lineRule="auto"/>
        <w:ind w:left="360" w:hanging="360"/>
      </w:pPr>
      <w:r>
        <w:t xml:space="preserve">Revez, J., da Silva, C.G., Corujo, L., 2022. Knowledge organization and the UN 2030 Agenda through the lens of interoperability, in: Lykke, M., et al. (Eds.), Knowledge organization across disciplines, domains, services and technologies: Proceedings of the Seventeenth International ISKO Conference 6-8 July 2022, Aalborg, Denmark, </w:t>
      </w:r>
      <w:hyperlink r:id="rId121">
        <w:r>
          <w:rPr>
            <w:color w:val="000000"/>
          </w:rPr>
          <w:t>pp.</w:t>
        </w:r>
      </w:hyperlink>
      <w:r>
        <w:t xml:space="preserve"> 233-248. https://</w:t>
      </w:r>
      <w:hyperlink r:id="rId122">
        <w:r>
          <w:rPr>
            <w:color w:val="000000"/>
          </w:rPr>
          <w:t>doi.org/10.5771/9783956509568</w:t>
        </w:r>
      </w:hyperlink>
      <w:r>
        <w:t>.</w:t>
      </w:r>
    </w:p>
    <w:p w14:paraId="7687619C" w14:textId="77777777" w:rsidR="00C55C27" w:rsidRDefault="00154CAC" w:rsidP="000B12BC">
      <w:pPr>
        <w:spacing w:after="0" w:line="480" w:lineRule="auto"/>
        <w:ind w:left="360" w:hanging="360"/>
      </w:pPr>
      <w:r>
        <w:t xml:space="preserve">Rieb, J.T., Chaplin-Kramer, R., Daily, G.C., Armsworth, P.R., Bohning-Gaese, K., Bonn, A., et al., 2017. When, where, and how nature matters to ecosystem services: Challenges for the next generation of ecosystem service models. BioScience 67(9), 820-833. </w:t>
      </w:r>
      <w:hyperlink r:id="rId123">
        <w:r>
          <w:rPr>
            <w:color w:val="000000"/>
            <w:highlight w:val="white"/>
          </w:rPr>
          <w:t>https://doi.org/10.1093/biosci/bix075</w:t>
        </w:r>
      </w:hyperlink>
      <w:r>
        <w:t>.</w:t>
      </w:r>
    </w:p>
    <w:p w14:paraId="745F710C" w14:textId="48D94CBD" w:rsidR="00B05912" w:rsidRPr="00B05912" w:rsidRDefault="00B05912" w:rsidP="000B12BC">
      <w:pPr>
        <w:spacing w:after="0" w:line="480" w:lineRule="auto"/>
        <w:ind w:left="360" w:hanging="360"/>
        <w:rPr>
          <w:rFonts w:asciiTheme="majorHAnsi" w:hAnsiTheme="majorHAnsi" w:cstheme="majorHAnsi"/>
        </w:rPr>
      </w:pPr>
      <w:r w:rsidRPr="00B05912">
        <w:rPr>
          <w:rFonts w:asciiTheme="majorHAnsi" w:hAnsiTheme="majorHAnsi" w:cstheme="majorHAnsi"/>
          <w:color w:val="000000"/>
        </w:rPr>
        <w:t>Rosa, I.M.D., Purvis, A., Alkemade, R., Chaplin-Kramer, R., Ferrier, S., Guerra, C.A., et al., 2020. Challenges in producing policy-relevant global scenarios of biodiversity and ecosystem services. Global Ecology and Conservation 22,e00886 </w:t>
      </w:r>
      <w:r w:rsidRPr="00B05912">
        <w:rPr>
          <w:rFonts w:asciiTheme="majorHAnsi" w:hAnsiTheme="majorHAnsi" w:cstheme="majorHAnsi"/>
          <w:bdr w:val="none" w:sz="0" w:space="0" w:color="auto" w:frame="1"/>
        </w:rPr>
        <w:t>https://doi.org/10.1016/j.gecco.2019.e00886</w:t>
      </w:r>
    </w:p>
    <w:p w14:paraId="1643B85D" w14:textId="77777777" w:rsidR="00C55C27" w:rsidRDefault="00154CAC" w:rsidP="000B12BC">
      <w:pPr>
        <w:spacing w:after="0" w:line="480" w:lineRule="auto"/>
        <w:ind w:left="360" w:hanging="360"/>
      </w:pPr>
      <w:r>
        <w:t>Russell, S., Norvig, P., 2020. Artificial Intelligence: A Modern Approach, 4th ed. Prentice Hall, Upper Saddle River, NJ.</w:t>
      </w:r>
    </w:p>
    <w:p w14:paraId="3F0490B1" w14:textId="77777777" w:rsidR="00C55C27" w:rsidRDefault="00154CAC" w:rsidP="000B12BC">
      <w:pPr>
        <w:spacing w:after="0" w:line="480" w:lineRule="auto"/>
        <w:ind w:left="360" w:hanging="360"/>
      </w:pPr>
      <w:r>
        <w:lastRenderedPageBreak/>
        <w:t xml:space="preserve">Santoro, M., Mazzetti, P., Nativi, S., 2020. The VLab Framework: An orchestrator component to support data to knowledge transition. Remote Sensing 12(11), 1795. </w:t>
      </w:r>
      <w:hyperlink r:id="rId124">
        <w:r>
          <w:rPr>
            <w:color w:val="000000"/>
            <w:highlight w:val="white"/>
          </w:rPr>
          <w:t>https://doi.org/10.3390/rs12111795</w:t>
        </w:r>
      </w:hyperlink>
      <w:r>
        <w:t>.</w:t>
      </w:r>
    </w:p>
    <w:p w14:paraId="2D2FA607" w14:textId="77777777" w:rsidR="00C55C27" w:rsidRDefault="00154CAC" w:rsidP="000B12BC">
      <w:pPr>
        <w:spacing w:after="0" w:line="480" w:lineRule="auto"/>
        <w:ind w:left="360" w:hanging="360"/>
      </w:pPr>
      <w:r>
        <w:t xml:space="preserve">Saxena, A.K., Chatti, D., Overstreet, K., Dove, M.R., 2018. From moral ecology to diverse ontologies: relational values in human ecological research, past and present. Curr. Opin. Env. Sust. 35, 54-60. </w:t>
      </w:r>
      <w:hyperlink r:id="rId125">
        <w:r>
          <w:rPr>
            <w:color w:val="000000"/>
          </w:rPr>
          <w:t>https://doi.org/10.1016/j.cosust.2018.10.021</w:t>
        </w:r>
      </w:hyperlink>
      <w:r>
        <w:t xml:space="preserve">. </w:t>
      </w:r>
    </w:p>
    <w:p w14:paraId="01AE3E82" w14:textId="33680758" w:rsidR="002B6F25" w:rsidRDefault="002B6F25" w:rsidP="000B12BC">
      <w:pPr>
        <w:spacing w:after="0" w:line="480" w:lineRule="auto"/>
        <w:ind w:left="360" w:hanging="360"/>
      </w:pPr>
      <w:r>
        <w:t>Sayre</w:t>
      </w:r>
      <w:r w:rsidR="00B81CE8">
        <w:t>, R., Karagulle, D., Frye, C., Boucher, T., Wolff, N.H., Breyer, S.,</w:t>
      </w:r>
      <w:r>
        <w:t xml:space="preserve"> et al. 2020</w:t>
      </w:r>
      <w:r w:rsidR="00260E23">
        <w:t xml:space="preserve">. </w:t>
      </w:r>
      <w:r w:rsidR="00D34885">
        <w:t xml:space="preserve">An assessment of the representation of ecosystems in global protected areas using new maps of World Climate Regions and World Ecosystems. Global Ecology and Conservation 21, e00860. </w:t>
      </w:r>
      <w:hyperlink r:id="rId126" w:tgtFrame="_blank" w:tooltip="Persistent link using digital object identifier" w:history="1">
        <w:r w:rsidR="00B81CE8" w:rsidRPr="00087EC8">
          <w:rPr>
            <w:rStyle w:val="anchor-text"/>
            <w:rFonts w:asciiTheme="majorHAnsi" w:hAnsiTheme="majorHAnsi" w:cstheme="majorHAnsi"/>
            <w:color w:val="0000FF"/>
          </w:rPr>
          <w:t>https://doi.org/10.1016/j.gecco.2019.e00860</w:t>
        </w:r>
      </w:hyperlink>
      <w:r w:rsidR="005B69EF">
        <w:rPr>
          <w:rFonts w:asciiTheme="majorHAnsi" w:hAnsiTheme="majorHAnsi" w:cstheme="majorHAnsi"/>
        </w:rPr>
        <w:t>.</w:t>
      </w:r>
    </w:p>
    <w:p w14:paraId="18011836" w14:textId="77777777" w:rsidR="00C55C27" w:rsidRDefault="00154CAC" w:rsidP="000B12BC">
      <w:pPr>
        <w:spacing w:after="0" w:line="480" w:lineRule="auto"/>
        <w:ind w:left="360" w:hanging="360"/>
      </w:pPr>
      <w:r>
        <w:t xml:space="preserve">Schirpke, U., Ghermandi, A., Sinclair, M., van Berkel, D., Fox, N., Vargas, L., et al., 2023. Emerging technologies for assessing ecosystem services: a synthesis of opportunities and challenges. Ecosyst. Serv. 63, 101588. </w:t>
      </w:r>
      <w:hyperlink r:id="rId127">
        <w:r>
          <w:rPr>
            <w:color w:val="000000"/>
          </w:rPr>
          <w:t>https://doi.org/10.1016/j.ecoser.2023.101558</w:t>
        </w:r>
      </w:hyperlink>
      <w:r>
        <w:t>.</w:t>
      </w:r>
    </w:p>
    <w:p w14:paraId="7D0A95E6" w14:textId="77777777" w:rsidR="00C55C27" w:rsidRDefault="00154CAC" w:rsidP="000B12BC">
      <w:pPr>
        <w:spacing w:after="0" w:line="480" w:lineRule="auto"/>
        <w:ind w:left="360" w:hanging="360"/>
        <w:rPr>
          <w:b/>
        </w:rPr>
      </w:pPr>
      <w:r>
        <w:t xml:space="preserve">Schmidt, S., Seppelt, R., 2018. Information content of global ecosystem service databases and their suitability for decision advice. Ecosyst. Serv. 32A, 22-40. </w:t>
      </w:r>
      <w:hyperlink r:id="rId128">
        <w:r>
          <w:t>https://doi.org/10.1016/j.ecoser.2018.05.007</w:t>
        </w:r>
      </w:hyperlink>
      <w:r>
        <w:t>.</w:t>
      </w:r>
    </w:p>
    <w:p w14:paraId="1A2580EF" w14:textId="77777777" w:rsidR="00C55C27" w:rsidRDefault="00154CAC" w:rsidP="000B12BC">
      <w:pPr>
        <w:spacing w:after="0" w:line="480" w:lineRule="auto"/>
        <w:ind w:left="360" w:hanging="360"/>
      </w:pPr>
      <w:r>
        <w:t xml:space="preserve">Scholes, R.J., Walters, M., Turak, E., Saarenmaa, H., Heip, C.H., Tuama, et al., 2012. Building a global observing system for biodiversity. Curr. Opin. Environ. Sust. 4(1), 139-146. </w:t>
      </w:r>
      <w:hyperlink r:id="rId129">
        <w:r>
          <w:t>https://doi.org/10.1016/j.cosust.2011.12.005</w:t>
        </w:r>
      </w:hyperlink>
      <w:r>
        <w:t>.</w:t>
      </w:r>
    </w:p>
    <w:p w14:paraId="2BD0055A" w14:textId="68282FB4" w:rsidR="00C55C27" w:rsidRDefault="00154CAC" w:rsidP="000B12BC">
      <w:pPr>
        <w:spacing w:after="0" w:line="480" w:lineRule="auto"/>
        <w:ind w:left="360" w:hanging="360"/>
      </w:pPr>
      <w:r>
        <w:t>Schwantes, A.M., Firkowski C.R., Affinito F., Rodriguez P.S., Fortin M.J., Gonzalez A., </w:t>
      </w:r>
      <w:r w:rsidR="00946B11">
        <w:t>2024</w:t>
      </w:r>
      <w:r>
        <w:t>. Monitoring ecosystem services with Essential Ecosystem Service Variables. Front. Ecol. Environ.</w:t>
      </w:r>
      <w:r w:rsidR="00946B11">
        <w:t xml:space="preserve"> e2792. https://doi.org/</w:t>
      </w:r>
      <w:r w:rsidR="00946B11" w:rsidRPr="00946B11">
        <w:t>10.1002/fee.2792</w:t>
      </w:r>
      <w:r w:rsidR="00946B11">
        <w:t>.</w:t>
      </w:r>
      <w:r w:rsidR="00946B11" w:rsidRPr="00946B11" w:rsidDel="00946B11">
        <w:t xml:space="preserve"> </w:t>
      </w:r>
    </w:p>
    <w:p w14:paraId="666A0DD5" w14:textId="77777777" w:rsidR="00C55C27" w:rsidRDefault="00154CAC" w:rsidP="000B12BC">
      <w:pPr>
        <w:spacing w:after="0" w:line="480" w:lineRule="auto"/>
        <w:ind w:left="360" w:hanging="360"/>
      </w:pPr>
      <w:r>
        <w:t xml:space="preserve">SDMX, 2024. Statistical Data and Metadata eXchange. </w:t>
      </w:r>
      <w:hyperlink r:id="rId130">
        <w:r>
          <w:rPr>
            <w:color w:val="000000"/>
          </w:rPr>
          <w:t>https://sdmx.org/</w:t>
        </w:r>
      </w:hyperlink>
      <w:r>
        <w:t xml:space="preserve"> (accessed 29 March 2024).</w:t>
      </w:r>
    </w:p>
    <w:p w14:paraId="0DA190CE" w14:textId="77777777" w:rsidR="00C55C27" w:rsidRDefault="00154CAC" w:rsidP="000B12BC">
      <w:pPr>
        <w:spacing w:after="0" w:line="480" w:lineRule="auto"/>
        <w:ind w:left="360" w:hanging="360"/>
      </w:pPr>
      <w:r>
        <w:lastRenderedPageBreak/>
        <w:t xml:space="preserve">Semmens, D.J., Sherrouse, B.C., Ancona, Z.H., 2019. Using social-context matchning to improve spatial function-transfer performance for cultural ecosystem service models. Ecosyst. Serv. 38, 100945. </w:t>
      </w:r>
      <w:hyperlink r:id="rId131">
        <w:r>
          <w:t>https://doi.org/10.1016/j.ecoser.2019.100945</w:t>
        </w:r>
      </w:hyperlink>
      <w:r>
        <w:t>.</w:t>
      </w:r>
    </w:p>
    <w:p w14:paraId="0A3CDBF2" w14:textId="77777777" w:rsidR="00C55C27" w:rsidRDefault="00154CAC" w:rsidP="000B12BC">
      <w:pPr>
        <w:spacing w:after="0" w:line="480" w:lineRule="auto"/>
        <w:ind w:left="360" w:hanging="360"/>
      </w:pPr>
      <w:r>
        <w:t>Smith, B., Ashburner, M., Rosse, C., Bard, J., Bug, W., Ceusters, W., et al., 2007. The OBO Foundry: coordinated evolution of ontologies to support biomedical data integration. Nat. Biotechnol. 25(11), 1251–1255. https://doi.org/</w:t>
      </w:r>
      <w:r>
        <w:rPr>
          <w:highlight w:val="white"/>
        </w:rPr>
        <w:t>10.1038/nbt1346.</w:t>
      </w:r>
    </w:p>
    <w:p w14:paraId="5BCE93BA" w14:textId="77777777" w:rsidR="00C55C27" w:rsidRDefault="00154CAC" w:rsidP="000B12BC">
      <w:pPr>
        <w:pBdr>
          <w:top w:val="nil"/>
          <w:left w:val="nil"/>
          <w:bottom w:val="nil"/>
          <w:right w:val="nil"/>
          <w:between w:val="nil"/>
        </w:pBdr>
        <w:spacing w:after="0" w:line="480" w:lineRule="auto"/>
        <w:ind w:left="360" w:hanging="360"/>
      </w:pPr>
      <w:r>
        <w:t>Smith, B., 2023. Biomedical Ontologies, in Elkin, P.E. (Ed.), Terminology, Ontology and their Implementations, Springer International Publishing, Cham, pp. 125-169.</w:t>
      </w:r>
    </w:p>
    <w:p w14:paraId="1F0624FB" w14:textId="77777777" w:rsidR="00C55C27" w:rsidRDefault="00154CAC" w:rsidP="000B12BC">
      <w:pPr>
        <w:spacing w:after="0" w:line="480" w:lineRule="auto"/>
        <w:ind w:left="360" w:hanging="360"/>
        <w:rPr>
          <w:b/>
        </w:rPr>
      </w:pPr>
      <w:r>
        <w:t xml:space="preserve">Spake, R., Bellamy, C., Graham, L.J., Watts, K., Wilson, T., Norton, L.R., et al., 2019. An analytical framework for spatially targeted management of natural capital. Nat. Sustain. 2, 90-97. </w:t>
      </w:r>
      <w:r>
        <w:rPr>
          <w:highlight w:val="white"/>
        </w:rPr>
        <w:t>https://doi.org/10.1038/s41893-019-0223-4.</w:t>
      </w:r>
    </w:p>
    <w:p w14:paraId="49C585ED" w14:textId="77777777" w:rsidR="00C55C27" w:rsidRDefault="00154CAC" w:rsidP="000B12BC">
      <w:pPr>
        <w:spacing w:after="0" w:line="480" w:lineRule="auto"/>
        <w:ind w:left="360" w:hanging="360"/>
        <w:rPr>
          <w:b/>
        </w:rPr>
      </w:pPr>
      <w:r>
        <w:t xml:space="preserve">Spiekermann, R., Jolly, B., Herzig, A., Burleigh, T., Medyckyj-Scott, D., 2019. Implementations of fine-grained automated data provenance to support transparent environmental modelling. Environ. Modell. Softw. 118, 134-145. </w:t>
      </w:r>
      <w:hyperlink r:id="rId132">
        <w:r>
          <w:t>https://doi.org/10.1016/j.envsoft.2019.04.009</w:t>
        </w:r>
      </w:hyperlink>
      <w:r>
        <w:t>.</w:t>
      </w:r>
    </w:p>
    <w:p w14:paraId="317811BA" w14:textId="1392378C" w:rsidR="0003063F" w:rsidRDefault="00154CAC" w:rsidP="000B12BC">
      <w:pPr>
        <w:spacing w:after="0" w:line="480" w:lineRule="auto"/>
        <w:ind w:left="360" w:hanging="360"/>
      </w:pPr>
      <w:r>
        <w:t xml:space="preserve">STAC 2024. SpatioTemporal Asset Catalogs. </w:t>
      </w:r>
      <w:hyperlink r:id="rId133">
        <w:r>
          <w:rPr>
            <w:color w:val="000000"/>
          </w:rPr>
          <w:t>https://stacspec.org/en</w:t>
        </w:r>
      </w:hyperlink>
      <w:r>
        <w:t>. (accessed 28 March 2024</w:t>
      </w:r>
      <w:r w:rsidR="0003063F">
        <w:t>).</w:t>
      </w:r>
    </w:p>
    <w:p w14:paraId="2F4C5C86" w14:textId="089991ED" w:rsidR="00674A9B" w:rsidRPr="00565301" w:rsidRDefault="00674A9B" w:rsidP="000B12BC">
      <w:pPr>
        <w:spacing w:after="0" w:line="480" w:lineRule="auto"/>
        <w:ind w:left="360" w:hanging="360"/>
        <w:rPr>
          <w:rFonts w:asciiTheme="majorHAnsi" w:hAnsiTheme="majorHAnsi" w:cstheme="majorHAnsi"/>
        </w:rPr>
      </w:pPr>
      <w:r w:rsidRPr="00565301">
        <w:rPr>
          <w:rStyle w:val="cf01"/>
          <w:rFonts w:asciiTheme="majorHAnsi" w:hAnsiTheme="majorHAnsi" w:cstheme="majorHAnsi"/>
          <w:sz w:val="22"/>
          <w:szCs w:val="22"/>
        </w:rPr>
        <w:t>Steger, C., Hirsch, S., Evers, C., Branoff, B., Petrova, M., Nielsen-Pincus, M., et al., 2018. Ecosystem services as boundary objects for transdisciplinary collaboration. Ecol. Econ. 143, 153-160. https://doi.org/</w:t>
      </w:r>
      <w:r w:rsidRPr="00565301">
        <w:rPr>
          <w:rFonts w:asciiTheme="majorHAnsi" w:hAnsiTheme="majorHAnsi" w:cstheme="majorHAnsi"/>
        </w:rPr>
        <w:t>10.1016/j.ecolecon.2017.07.016</w:t>
      </w:r>
      <w:r w:rsidR="00565301">
        <w:rPr>
          <w:rFonts w:asciiTheme="majorHAnsi" w:hAnsiTheme="majorHAnsi" w:cstheme="majorHAnsi"/>
        </w:rPr>
        <w:t>.</w:t>
      </w:r>
    </w:p>
    <w:p w14:paraId="195254EF" w14:textId="2CF432C4" w:rsidR="00C55C27" w:rsidRDefault="00154CAC" w:rsidP="000B12BC">
      <w:pPr>
        <w:spacing w:after="0" w:line="480" w:lineRule="auto"/>
        <w:ind w:left="360" w:hanging="360"/>
      </w:pPr>
      <w:r>
        <w:rPr>
          <w:highlight w:val="white"/>
        </w:rPr>
        <w:t>Stoeckl, N., Jarvis, D., Larson, S., Larson, A. and Grainger, D., 2021. Australian Indigenous insights into ecosystem services: Beyond services towards connectedness–People, place and time. </w:t>
      </w:r>
      <w:r>
        <w:t>Ecosyst. Serv.</w:t>
      </w:r>
      <w:r>
        <w:rPr>
          <w:highlight w:val="white"/>
        </w:rPr>
        <w:t>, 50, 101341.</w:t>
      </w:r>
      <w:r>
        <w:t xml:space="preserve"> </w:t>
      </w:r>
      <w:hyperlink r:id="rId134">
        <w:r>
          <w:t>https://doi.org/10.1016/j.ecoser.2021.101341</w:t>
        </w:r>
      </w:hyperlink>
      <w:r>
        <w:t>.</w:t>
      </w:r>
    </w:p>
    <w:p w14:paraId="06910382" w14:textId="77777777" w:rsidR="00C55C27" w:rsidRDefault="00154CAC" w:rsidP="000B12BC">
      <w:pPr>
        <w:spacing w:after="0" w:line="480" w:lineRule="auto"/>
        <w:ind w:left="360" w:hanging="360"/>
      </w:pPr>
      <w:r>
        <w:t>Stoica, M., Peckham, S.D., 2019.</w:t>
      </w:r>
      <w:r>
        <w:rPr>
          <w:b/>
        </w:rPr>
        <w:t xml:space="preserve"> </w:t>
      </w:r>
      <w:r>
        <w:t xml:space="preserve">The Scientific Variables Ontology: A Blueprint for Custom Manual and Automated Creation and Alignment of Machine-Interpretable Qualitative and Quantitative Variable </w:t>
      </w:r>
      <w:r>
        <w:lastRenderedPageBreak/>
        <w:t xml:space="preserve">Concepts. Modeling the world’s systems, 2019. </w:t>
      </w:r>
      <w:hyperlink r:id="rId135">
        <w:r>
          <w:rPr>
            <w:color w:val="000000"/>
          </w:rPr>
          <w:t>http://mint-project.info/assets/publications/stoica-peckham-cwm19.pdf</w:t>
        </w:r>
      </w:hyperlink>
      <w:r>
        <w:t xml:space="preserve"> (accessed 29 March 2024).</w:t>
      </w:r>
    </w:p>
    <w:p w14:paraId="4CDE2037" w14:textId="71855F8F" w:rsidR="0017455A" w:rsidRPr="0017455A" w:rsidRDefault="0017455A" w:rsidP="000B12BC">
      <w:pPr>
        <w:spacing w:after="0" w:line="480" w:lineRule="auto"/>
        <w:ind w:left="360" w:hanging="360"/>
        <w:rPr>
          <w:rFonts w:asciiTheme="majorHAnsi" w:hAnsiTheme="majorHAnsi" w:cstheme="majorHAnsi"/>
          <w:b/>
        </w:rPr>
      </w:pPr>
      <w:r w:rsidRPr="0017455A">
        <w:rPr>
          <w:rStyle w:val="cf01"/>
          <w:rFonts w:asciiTheme="majorHAnsi" w:hAnsiTheme="majorHAnsi" w:cstheme="majorHAnsi"/>
          <w:sz w:val="22"/>
          <w:szCs w:val="22"/>
        </w:rPr>
        <w:t>Strobl, P.A., Woolliams, E.R., Molch, K., 2024. Lost in translation: The need for common vocabularies and an interoperable thesaurus in Earth Observation Sciences. Surv. Geophys. https://doi.org/10.1007/s10712-024-09854-8</w:t>
      </w:r>
    </w:p>
    <w:p w14:paraId="1BAA07F3" w14:textId="77777777" w:rsidR="00EF26DE" w:rsidRDefault="003F022E" w:rsidP="000B12BC">
      <w:pPr>
        <w:spacing w:after="0" w:line="480" w:lineRule="auto"/>
        <w:ind w:left="360" w:hanging="360"/>
        <w:rPr>
          <w:rFonts w:asciiTheme="majorHAnsi" w:hAnsiTheme="majorHAnsi" w:cstheme="majorHAnsi"/>
        </w:rPr>
      </w:pPr>
      <w:r w:rsidRPr="003F022E">
        <w:rPr>
          <w:rStyle w:val="cf01"/>
          <w:rFonts w:asciiTheme="majorHAnsi" w:hAnsiTheme="majorHAnsi" w:cstheme="majorHAnsi"/>
          <w:sz w:val="22"/>
          <w:szCs w:val="22"/>
        </w:rPr>
        <w:t xml:space="preserve">Studer, R., Benjamins, V. R., Fensel, D., 1998. Knowledge engineering: Principles and methods. Data &amp; Knowledge Engineering 25(1-2), 161-197. </w:t>
      </w:r>
      <w:hyperlink r:id="rId136" w:tgtFrame="_blank" w:tooltip="Persistent link using digital object identifier" w:history="1">
        <w:r w:rsidRPr="003F022E">
          <w:rPr>
            <w:rStyle w:val="anchor-text"/>
            <w:rFonts w:asciiTheme="majorHAnsi" w:hAnsiTheme="majorHAnsi" w:cstheme="majorHAnsi"/>
          </w:rPr>
          <w:t>https://doi.org/10.1016/S0169-023X(97)00056-6</w:t>
        </w:r>
      </w:hyperlink>
    </w:p>
    <w:p w14:paraId="08E9D91D" w14:textId="131DBE01" w:rsidR="00EF26DE" w:rsidRPr="00EF26DE" w:rsidRDefault="00EF26DE" w:rsidP="000B12BC">
      <w:pPr>
        <w:spacing w:after="0" w:line="480" w:lineRule="auto"/>
        <w:ind w:left="360" w:hanging="360"/>
        <w:rPr>
          <w:rStyle w:val="cf01"/>
          <w:rFonts w:asciiTheme="majorHAnsi" w:hAnsiTheme="majorHAnsi" w:cstheme="majorHAnsi"/>
          <w:sz w:val="22"/>
          <w:szCs w:val="22"/>
        </w:rPr>
      </w:pPr>
      <w:r w:rsidRPr="00EF26DE">
        <w:rPr>
          <w:rStyle w:val="cf01"/>
          <w:rFonts w:asciiTheme="majorHAnsi" w:hAnsiTheme="majorHAnsi" w:cstheme="majorHAnsi"/>
          <w:sz w:val="22"/>
          <w:szCs w:val="22"/>
        </w:rPr>
        <w:t xml:space="preserve">Taylor, K., Haller, A., Lefrançois, M., Cox, S. J., Janowicz, K., Garcia-Castro, R., et al., 2019. The Semantic Sensor Network Ontology, Revamped. In JT@ ISWC. </w:t>
      </w:r>
      <w:hyperlink r:id="rId137" w:history="1">
        <w:r w:rsidRPr="00EF26DE">
          <w:rPr>
            <w:rStyle w:val="Hyperlink"/>
            <w:rFonts w:asciiTheme="majorHAnsi" w:hAnsiTheme="majorHAnsi" w:cstheme="majorHAnsi"/>
          </w:rPr>
          <w:t>https://ceur-ws.org/Vol-2576/paper11.pdf</w:t>
        </w:r>
      </w:hyperlink>
      <w:r w:rsidRPr="00EF26DE">
        <w:rPr>
          <w:rStyle w:val="cf01"/>
          <w:rFonts w:asciiTheme="majorHAnsi" w:hAnsiTheme="majorHAnsi" w:cstheme="majorHAnsi"/>
          <w:sz w:val="22"/>
          <w:szCs w:val="22"/>
        </w:rPr>
        <w:t xml:space="preserve"> (accessed 23 October 2024).</w:t>
      </w:r>
    </w:p>
    <w:p w14:paraId="0BFECCA0" w14:textId="1C9F43AA" w:rsidR="00F84B5C" w:rsidRDefault="00F84B5C" w:rsidP="000B12BC">
      <w:pPr>
        <w:spacing w:after="0" w:line="480" w:lineRule="auto"/>
        <w:ind w:left="360" w:hanging="360"/>
        <w:rPr>
          <w:rStyle w:val="cf01"/>
          <w:rFonts w:asciiTheme="majorHAnsi" w:hAnsiTheme="majorHAnsi" w:cstheme="majorHAnsi"/>
          <w:sz w:val="22"/>
          <w:szCs w:val="22"/>
        </w:rPr>
      </w:pPr>
      <w:r w:rsidRPr="00F84B5C">
        <w:rPr>
          <w:rStyle w:val="cf01"/>
          <w:rFonts w:asciiTheme="majorHAnsi" w:hAnsiTheme="majorHAnsi" w:cstheme="majorHAnsi"/>
          <w:sz w:val="22"/>
          <w:szCs w:val="22"/>
        </w:rPr>
        <w:t>Thomasson, A., 2022. "Categories", The Stanford Encyclopedia of Philosophy (Winter 2022 Edition), Zalta, E.N., Nodelman, U., (Eds.). https://plato.stanford.edu/archives/win2022/entries/categories/ (accessed 23 October 2024).</w:t>
      </w:r>
    </w:p>
    <w:p w14:paraId="5C5A94A4" w14:textId="38092C23" w:rsidR="00F62D6A" w:rsidRPr="00F84B5C" w:rsidRDefault="00F62D6A" w:rsidP="000B12BC">
      <w:pPr>
        <w:spacing w:after="0" w:line="480" w:lineRule="auto"/>
        <w:ind w:left="360" w:hanging="360"/>
        <w:rPr>
          <w:rFonts w:asciiTheme="majorHAnsi" w:hAnsiTheme="majorHAnsi" w:cstheme="majorHAnsi"/>
        </w:rPr>
      </w:pPr>
      <w:r>
        <w:rPr>
          <w:rStyle w:val="cf01"/>
          <w:rFonts w:asciiTheme="majorHAnsi" w:hAnsiTheme="majorHAnsi" w:cstheme="majorHAnsi"/>
          <w:sz w:val="22"/>
          <w:szCs w:val="22"/>
        </w:rPr>
        <w:t xml:space="preserve">Tiokhin, </w:t>
      </w:r>
      <w:r w:rsidR="001B48AB">
        <w:rPr>
          <w:rStyle w:val="cf01"/>
          <w:rFonts w:asciiTheme="majorHAnsi" w:hAnsiTheme="majorHAnsi" w:cstheme="majorHAnsi"/>
          <w:sz w:val="22"/>
          <w:szCs w:val="22"/>
        </w:rPr>
        <w:t xml:space="preserve">L., Panchanathan, K., </w:t>
      </w:r>
      <w:r w:rsidR="002C1462">
        <w:rPr>
          <w:rStyle w:val="cf01"/>
          <w:rFonts w:asciiTheme="majorHAnsi" w:hAnsiTheme="majorHAnsi" w:cstheme="majorHAnsi"/>
          <w:sz w:val="22"/>
          <w:szCs w:val="22"/>
        </w:rPr>
        <w:t xml:space="preserve">Smaldino, P.E., Lakens, D., </w:t>
      </w:r>
      <w:r>
        <w:rPr>
          <w:rStyle w:val="cf01"/>
          <w:rFonts w:asciiTheme="majorHAnsi" w:hAnsiTheme="majorHAnsi" w:cstheme="majorHAnsi"/>
          <w:sz w:val="22"/>
          <w:szCs w:val="22"/>
        </w:rPr>
        <w:t>2023.</w:t>
      </w:r>
      <w:r w:rsidR="002C1462">
        <w:rPr>
          <w:rStyle w:val="cf01"/>
          <w:rFonts w:asciiTheme="majorHAnsi" w:hAnsiTheme="majorHAnsi" w:cstheme="majorHAnsi"/>
          <w:sz w:val="22"/>
          <w:szCs w:val="22"/>
        </w:rPr>
        <w:t xml:space="preserve"> Shifting the level of selection in science. Perspect</w:t>
      </w:r>
      <w:r w:rsidR="000A7B7B">
        <w:rPr>
          <w:rStyle w:val="cf01"/>
          <w:rFonts w:asciiTheme="majorHAnsi" w:hAnsiTheme="majorHAnsi" w:cstheme="majorHAnsi"/>
          <w:sz w:val="22"/>
          <w:szCs w:val="22"/>
        </w:rPr>
        <w:t xml:space="preserve">. </w:t>
      </w:r>
      <w:r w:rsidR="002C1462">
        <w:rPr>
          <w:rStyle w:val="cf01"/>
          <w:rFonts w:asciiTheme="majorHAnsi" w:hAnsiTheme="majorHAnsi" w:cstheme="majorHAnsi"/>
          <w:sz w:val="22"/>
          <w:szCs w:val="22"/>
        </w:rPr>
        <w:t>Psychol</w:t>
      </w:r>
      <w:r w:rsidR="000A7B7B">
        <w:rPr>
          <w:rStyle w:val="cf01"/>
          <w:rFonts w:asciiTheme="majorHAnsi" w:hAnsiTheme="majorHAnsi" w:cstheme="majorHAnsi"/>
          <w:sz w:val="22"/>
          <w:szCs w:val="22"/>
        </w:rPr>
        <w:t>.</w:t>
      </w:r>
      <w:r w:rsidR="002C1462">
        <w:rPr>
          <w:rStyle w:val="cf01"/>
          <w:rFonts w:asciiTheme="majorHAnsi" w:hAnsiTheme="majorHAnsi" w:cstheme="majorHAnsi"/>
          <w:sz w:val="22"/>
          <w:szCs w:val="22"/>
        </w:rPr>
        <w:t xml:space="preserve"> Sci</w:t>
      </w:r>
      <w:r w:rsidR="000A7B7B">
        <w:rPr>
          <w:rStyle w:val="cf01"/>
          <w:rFonts w:asciiTheme="majorHAnsi" w:hAnsiTheme="majorHAnsi" w:cstheme="majorHAnsi"/>
          <w:sz w:val="22"/>
          <w:szCs w:val="22"/>
        </w:rPr>
        <w:t>.</w:t>
      </w:r>
      <w:r w:rsidR="00115EE4">
        <w:rPr>
          <w:rStyle w:val="cf01"/>
          <w:rFonts w:asciiTheme="majorHAnsi" w:hAnsiTheme="majorHAnsi" w:cstheme="majorHAnsi"/>
          <w:sz w:val="22"/>
          <w:szCs w:val="22"/>
        </w:rPr>
        <w:t xml:space="preserve">, </w:t>
      </w:r>
      <w:hyperlink r:id="rId138" w:history="1">
        <w:r w:rsidR="00115EE4" w:rsidRPr="00115EE4">
          <w:rPr>
            <w:rStyle w:val="Hyperlink"/>
            <w:rFonts w:asciiTheme="majorHAnsi" w:hAnsiTheme="majorHAnsi" w:cstheme="majorHAnsi"/>
            <w:shd w:val="clear" w:color="auto" w:fill="FFFFFF"/>
          </w:rPr>
          <w:t>https://doi.org/10.1177/17456916231182568</w:t>
        </w:r>
      </w:hyperlink>
      <w:r w:rsidR="002C1462">
        <w:rPr>
          <w:rStyle w:val="cf01"/>
          <w:rFonts w:asciiTheme="majorHAnsi" w:hAnsiTheme="majorHAnsi" w:cstheme="majorHAnsi"/>
          <w:sz w:val="22"/>
          <w:szCs w:val="22"/>
        </w:rPr>
        <w:t xml:space="preserve"> </w:t>
      </w:r>
      <w:r>
        <w:rPr>
          <w:rStyle w:val="cf01"/>
          <w:rFonts w:asciiTheme="majorHAnsi" w:hAnsiTheme="majorHAnsi" w:cstheme="majorHAnsi"/>
          <w:sz w:val="22"/>
          <w:szCs w:val="22"/>
        </w:rPr>
        <w:t xml:space="preserve"> </w:t>
      </w:r>
    </w:p>
    <w:p w14:paraId="31AD7154" w14:textId="2A11C95F" w:rsidR="00C55C27" w:rsidRDefault="00154CAC" w:rsidP="000B12BC">
      <w:pPr>
        <w:spacing w:after="0" w:line="480" w:lineRule="auto"/>
        <w:ind w:left="360" w:hanging="360"/>
        <w:rPr>
          <w:highlight w:val="white"/>
        </w:rPr>
      </w:pPr>
      <w:r>
        <w:rPr>
          <w:highlight w:val="white"/>
        </w:rPr>
        <w:t>TNFD, 2024</w:t>
      </w:r>
      <w:r w:rsidR="00CA348C">
        <w:rPr>
          <w:highlight w:val="white"/>
        </w:rPr>
        <w:t>a</w:t>
      </w:r>
      <w:r>
        <w:rPr>
          <w:highlight w:val="white"/>
        </w:rPr>
        <w:t xml:space="preserve">. Taskforce on Nature-related Financial Disclosures. </w:t>
      </w:r>
      <w:hyperlink r:id="rId139">
        <w:r>
          <w:rPr>
            <w:color w:val="0000FF"/>
            <w:highlight w:val="white"/>
            <w:u w:val="single"/>
          </w:rPr>
          <w:t>https://tnfd.global/</w:t>
        </w:r>
      </w:hyperlink>
      <w:r>
        <w:rPr>
          <w:highlight w:val="white"/>
        </w:rPr>
        <w:t xml:space="preserve"> (accessed 1 April 2024).</w:t>
      </w:r>
    </w:p>
    <w:p w14:paraId="04EDF142" w14:textId="49CEE112" w:rsidR="00CA348C" w:rsidRDefault="00CA348C" w:rsidP="000B12BC">
      <w:pPr>
        <w:spacing w:after="0" w:line="480" w:lineRule="auto"/>
        <w:ind w:left="360" w:hanging="360"/>
      </w:pPr>
      <w:r>
        <w:t xml:space="preserve">TNFD, 2024b. A roadmap for upgrading market access to decision-useful nature-related data, October 2024. </w:t>
      </w:r>
      <w:r w:rsidRPr="00CA348C">
        <w:t>https://tnfd.global/wp-content/uploads/2024/10/Discussion-paper_Roadmap-for-enhancing-market-access-to-nature-data.pdf?v=1729942807</w:t>
      </w:r>
      <w:r w:rsidRPr="00CA348C" w:rsidDel="00CA348C">
        <w:t xml:space="preserve"> </w:t>
      </w:r>
      <w:r>
        <w:t>(accessed 28 October 2024).</w:t>
      </w:r>
    </w:p>
    <w:p w14:paraId="65E18020" w14:textId="4EC2095C" w:rsidR="00C55C27" w:rsidRDefault="00154CAC" w:rsidP="000B12BC">
      <w:pPr>
        <w:spacing w:after="0" w:line="480" w:lineRule="auto"/>
        <w:ind w:left="360" w:hanging="360"/>
        <w:rPr>
          <w:highlight w:val="white"/>
        </w:rPr>
      </w:pPr>
      <w:r>
        <w:rPr>
          <w:highlight w:val="white"/>
        </w:rPr>
        <w:t xml:space="preserve">Tucker, G.E., Hutton, E.W.H., Piper, M.D., Campforts, B., Gan, T., Barnhart, K.R., et al., 2022. CSDMS: a community platform for numerical modeling of Earth surface processes, Geosci. Model Dev. 15, 1413–1439. </w:t>
      </w:r>
      <w:hyperlink r:id="rId140">
        <w:r>
          <w:rPr>
            <w:color w:val="0000FF"/>
            <w:highlight w:val="white"/>
            <w:u w:val="single"/>
          </w:rPr>
          <w:t>https://doi.org/10.5194/gmd-15-1413-2022</w:t>
        </w:r>
      </w:hyperlink>
      <w:r>
        <w:rPr>
          <w:highlight w:val="white"/>
        </w:rPr>
        <w:t>.</w:t>
      </w:r>
    </w:p>
    <w:p w14:paraId="16FD38F3" w14:textId="77777777" w:rsidR="00C55C27" w:rsidRDefault="00154CAC" w:rsidP="000B12BC">
      <w:pPr>
        <w:spacing w:after="0" w:line="480" w:lineRule="auto"/>
        <w:ind w:left="360" w:hanging="360"/>
        <w:rPr>
          <w:b/>
        </w:rPr>
      </w:pPr>
      <w:r>
        <w:rPr>
          <w:highlight w:val="white"/>
        </w:rPr>
        <w:lastRenderedPageBreak/>
        <w:t xml:space="preserve">Tykhonov, V., 2024. Dataverse introduction: the past, present and future. </w:t>
      </w:r>
      <w:hyperlink r:id="rId141">
        <w:r>
          <w:rPr>
            <w:color w:val="0000FF"/>
            <w:u w:val="single"/>
          </w:rPr>
          <w:t>https://zenodo.org/records/10949034</w:t>
        </w:r>
      </w:hyperlink>
      <w:r>
        <w:t xml:space="preserve"> (accessed 1 May 2024).</w:t>
      </w:r>
    </w:p>
    <w:p w14:paraId="44E7D67E" w14:textId="77777777" w:rsidR="003902B5" w:rsidRDefault="003902B5" w:rsidP="000B12BC">
      <w:pPr>
        <w:spacing w:after="0" w:line="480" w:lineRule="auto"/>
        <w:ind w:left="360" w:hanging="360"/>
      </w:pPr>
      <w:r>
        <w:t xml:space="preserve">U.N., 2021. </w:t>
      </w:r>
      <w:r w:rsidRPr="003902B5">
        <w:t>System of Environmental-Economic Accounting—Ecosystem Accounting (SEEA EA)</w:t>
      </w:r>
      <w:r>
        <w:t xml:space="preserve">, </w:t>
      </w:r>
      <w:r w:rsidRPr="003902B5">
        <w:t>Online supplement: Ecosystem Services Reference List Crosswalk to Selected Ecosystem Services Classifications and Typologies</w:t>
      </w:r>
      <w:r>
        <w:t xml:space="preserve">. </w:t>
      </w:r>
      <w:r w:rsidRPr="003902B5">
        <w:t xml:space="preserve">https://seea.un.org/sites/seea.un.org/files/documents/EA/seea_ea_online_supplement_ecosystem_services_reference_list_crosswalk.xlsx </w:t>
      </w:r>
      <w:r>
        <w:t>(accessed 23 October 2024).</w:t>
      </w:r>
    </w:p>
    <w:p w14:paraId="2E90A742" w14:textId="77777777" w:rsidR="003902B5" w:rsidRDefault="003902B5" w:rsidP="000B12BC">
      <w:pPr>
        <w:spacing w:after="0" w:line="480" w:lineRule="auto"/>
        <w:ind w:left="360" w:hanging="360"/>
      </w:pPr>
      <w:r>
        <w:t xml:space="preserve">U.N., 2022. ARIES for SEEA. </w:t>
      </w:r>
      <w:hyperlink r:id="rId142">
        <w:r>
          <w:rPr>
            <w:color w:val="0000FF"/>
            <w:u w:val="single"/>
          </w:rPr>
          <w:t>https://seea.un.org/content/aries-for-seea</w:t>
        </w:r>
      </w:hyperlink>
      <w:r>
        <w:t xml:space="preserve"> (accessed 1 April 2024).</w:t>
      </w:r>
    </w:p>
    <w:p w14:paraId="36F2AB6E" w14:textId="77777777" w:rsidR="003902B5" w:rsidRDefault="003902B5" w:rsidP="000B12BC">
      <w:pPr>
        <w:spacing w:after="0" w:line="480" w:lineRule="auto"/>
        <w:ind w:left="360" w:hanging="360"/>
      </w:pPr>
      <w:r>
        <w:t xml:space="preserve">U.N., 2024. UN ARIES for SEEA Sector Hub, </w:t>
      </w:r>
      <w:hyperlink r:id="rId143">
        <w:r>
          <w:rPr>
            <w:color w:val="000000"/>
          </w:rPr>
          <w:t>https://unstats.un.org/bigdata/hubs/spain/</w:t>
        </w:r>
      </w:hyperlink>
      <w:r>
        <w:t xml:space="preserve"> (Accessed 29 March 2024).</w:t>
      </w:r>
    </w:p>
    <w:p w14:paraId="66645D61" w14:textId="1AD34B0B" w:rsidR="00D84C2A" w:rsidRDefault="00154CAC" w:rsidP="000B12BC">
      <w:pPr>
        <w:spacing w:after="0" w:line="480" w:lineRule="auto"/>
        <w:ind w:left="360" w:hanging="360"/>
      </w:pPr>
      <w:r>
        <w:t>U.N., European Commission, Food and Agriculture Organization of the United Nations, International Monetary Fund, Organisation for Economic Co-operation and Development, World Bank, 2014. System of Environmental-Economic Accounting 2021 – Central Framework. United Nations, New York.</w:t>
      </w:r>
    </w:p>
    <w:p w14:paraId="0D8C5DE2" w14:textId="046B2B57" w:rsidR="00C55C27" w:rsidRDefault="00154CAC" w:rsidP="000B12BC">
      <w:pPr>
        <w:spacing w:after="0" w:line="480" w:lineRule="auto"/>
        <w:ind w:left="360" w:hanging="360"/>
      </w:pPr>
      <w:r>
        <w:t xml:space="preserve">U.N., </w:t>
      </w:r>
      <w:r w:rsidR="00D84C2A" w:rsidRPr="00D84C2A">
        <w:rPr>
          <w:shd w:val="clear" w:color="auto" w:fill="FFFFFF"/>
        </w:rPr>
        <w:t xml:space="preserve">European Union, Food and Agriculture Organization of the United Nations, International Monetary Fund, Organisation for Economic Co-operation and Development The International Bank for Reconstruction and Development/The World Bank, </w:t>
      </w:r>
      <w:r>
        <w:t xml:space="preserve">2021. SEEA EA. System of Environmental-Economic Accounting – Ecosystem Accounting (SEEA EA). White cover publication, pre-edited text subject to official editing. </w:t>
      </w:r>
      <w:hyperlink r:id="rId144">
        <w:r>
          <w:rPr>
            <w:color w:val="0000FF"/>
            <w:u w:val="single"/>
          </w:rPr>
          <w:t>https://seea.un.org/ecosystem-accounting</w:t>
        </w:r>
      </w:hyperlink>
      <w:r>
        <w:t xml:space="preserve"> (accessed 1 April 2024).</w:t>
      </w:r>
    </w:p>
    <w:p w14:paraId="0CCD81CB" w14:textId="77777777" w:rsidR="00C55C27" w:rsidRDefault="00154CAC" w:rsidP="000B12BC">
      <w:pPr>
        <w:spacing w:after="0" w:line="480" w:lineRule="auto"/>
        <w:ind w:left="360" w:hanging="360"/>
      </w:pPr>
      <w:r>
        <w:t xml:space="preserve">U.N., UNEP, Basque Centre for Climate Change, and USGS. 2023. An interoperability strategy for the next generation of SEEA accounting. </w:t>
      </w:r>
      <w:hyperlink r:id="rId145">
        <w:r>
          <w:rPr>
            <w:color w:val="0000FF"/>
            <w:u w:val="single"/>
          </w:rPr>
          <w:t>https://seea.un.org/sites/seea.un.org/files/interoperability_strategy_2023.pdf</w:t>
        </w:r>
      </w:hyperlink>
      <w:r>
        <w:t xml:space="preserve"> (accessed 1 April 2024).</w:t>
      </w:r>
    </w:p>
    <w:p w14:paraId="64E28906" w14:textId="77777777" w:rsidR="00C55C27" w:rsidRDefault="00154CAC" w:rsidP="000B12BC">
      <w:pPr>
        <w:spacing w:after="0" w:line="480" w:lineRule="auto"/>
        <w:ind w:left="360" w:hanging="360"/>
      </w:pPr>
      <w:r>
        <w:lastRenderedPageBreak/>
        <w:t xml:space="preserve">UNESCO, 2022. UNESCO Thesaurus. </w:t>
      </w:r>
      <w:hyperlink r:id="rId146">
        <w:r>
          <w:rPr>
            <w:color w:val="0000FF"/>
            <w:u w:val="single"/>
          </w:rPr>
          <w:t>https://vocabularies.unesco.org/browser/thesaurus/en/page/?uri=http%3A%2F%2Fvocabularies.unesco.org%2Fthesaurus%2Fconcept4772</w:t>
        </w:r>
      </w:hyperlink>
      <w:r>
        <w:t xml:space="preserve"> (accessed 3 April 2024).</w:t>
      </w:r>
    </w:p>
    <w:p w14:paraId="61AF992C" w14:textId="77777777" w:rsidR="00C55C27" w:rsidRDefault="00154CAC" w:rsidP="000B12BC">
      <w:pPr>
        <w:spacing w:after="0" w:line="480" w:lineRule="auto"/>
        <w:ind w:left="360" w:hanging="360"/>
        <w:rPr>
          <w:highlight w:val="white"/>
        </w:rPr>
      </w:pPr>
      <w:r>
        <w:t>U.S. Environmental Protection Agency (USEPA), 2019. EcoService Models Library (ESML).</w:t>
      </w:r>
      <w:hyperlink r:id="rId147">
        <w:r>
          <w:rPr>
            <w:color w:val="000000"/>
          </w:rPr>
          <w:t xml:space="preserve"> https://esml.epa.gov/</w:t>
        </w:r>
      </w:hyperlink>
      <w:r>
        <w:t xml:space="preserve"> (accessed 29 March 2024).</w:t>
      </w:r>
    </w:p>
    <w:p w14:paraId="28941FB4" w14:textId="77777777" w:rsidR="00C55C27" w:rsidRDefault="00154CAC" w:rsidP="000B12BC">
      <w:pPr>
        <w:spacing w:after="0" w:line="480" w:lineRule="auto"/>
        <w:ind w:left="360" w:hanging="360"/>
      </w:pPr>
      <w:r>
        <w:t>van der Werf, B., Adamescu, M., Ayromlou, M., Bertrand, N., Boussard, H., Cazacu, C., et al., 2009. A Long-Term Biodiversity, Ecosystem and Awareness Research Network SERONTO ontology. https://edepot.wur.nl/134909 (accessed 29 March 2024).</w:t>
      </w:r>
    </w:p>
    <w:p w14:paraId="5590F363" w14:textId="77777777" w:rsidR="00C55C27" w:rsidRDefault="00154CAC" w:rsidP="000B12BC">
      <w:pPr>
        <w:spacing w:after="0" w:line="480" w:lineRule="auto"/>
        <w:ind w:left="360" w:hanging="360"/>
      </w:pPr>
      <w:r>
        <w:t xml:space="preserve">Van Riper, C.J., Landon, A.C., Kidd, S., Bitterman, P., Fitzgerald, L.A., Granek, E.F., et al., 2017. Incorporating sociocultural phenomena into ecosystem-service valuation: the importance of critical pluralism. BioScience 67(3), 233-244. </w:t>
      </w:r>
      <w:hyperlink r:id="rId148">
        <w:r>
          <w:rPr>
            <w:color w:val="000000"/>
            <w:highlight w:val="white"/>
          </w:rPr>
          <w:t>https://doi.org/10.1093/biosci/biw170</w:t>
        </w:r>
      </w:hyperlink>
      <w:r>
        <w:t xml:space="preserve"> </w:t>
      </w:r>
    </w:p>
    <w:p w14:paraId="433CF27B" w14:textId="444F58BD" w:rsidR="007D3A0A" w:rsidRDefault="007D3A0A" w:rsidP="000B12BC">
      <w:pPr>
        <w:spacing w:after="0" w:line="480" w:lineRule="auto"/>
        <w:ind w:left="360" w:hanging="360"/>
      </w:pPr>
      <w:r>
        <w:t xml:space="preserve">Vári, A., </w:t>
      </w:r>
      <w:r w:rsidR="00D546DA">
        <w:t xml:space="preserve">Gonzalez, A., Bennett, E.M., 2024. </w:t>
      </w:r>
      <w:r w:rsidR="00F41545">
        <w:t xml:space="preserve">Monitor social-ecological systems to achieve global goals for biodiversity and nature’s contributions to people. </w:t>
      </w:r>
      <w:hyperlink r:id="rId149" w:history="1">
        <w:r w:rsidR="00F41545" w:rsidRPr="00EF6AFB">
          <w:rPr>
            <w:rStyle w:val="Hyperlink"/>
            <w:rFonts w:asciiTheme="majorHAnsi" w:hAnsiTheme="majorHAnsi" w:cstheme="majorHAnsi"/>
            <w:color w:val="039BE5"/>
            <w:shd w:val="clear" w:color="auto" w:fill="FFFFFF"/>
          </w:rPr>
          <w:t>https://doi.org/10.32942/X2W614</w:t>
        </w:r>
      </w:hyperlink>
      <w:r w:rsidR="00EF6AFB">
        <w:t xml:space="preserve"> (accessed 29 November 2024).</w:t>
      </w:r>
    </w:p>
    <w:p w14:paraId="34D6033E" w14:textId="77777777" w:rsidR="00C55C27" w:rsidRDefault="00154CAC" w:rsidP="000B12BC">
      <w:pPr>
        <w:spacing w:after="0" w:line="480" w:lineRule="auto"/>
        <w:ind w:left="360" w:hanging="360"/>
      </w:pPr>
      <w:r>
        <w:t xml:space="preserve">Vaz, A.S., Selomane, O., Jones, L., Gosal, A.S., Ziv, G., Muller-Karger, F.E., et al., 2021. The journey to monitoring ecosystem services: Are we there yet? Ecosyst. Serv. 50, 101313. </w:t>
      </w:r>
      <w:hyperlink r:id="rId150">
        <w:r>
          <w:t>https://doi.org/10.1016/j.ecoser.2021.101313</w:t>
        </w:r>
      </w:hyperlink>
      <w:r>
        <w:t xml:space="preserve">. </w:t>
      </w:r>
    </w:p>
    <w:p w14:paraId="5FC3523D" w14:textId="57D23D20" w:rsidR="00A9357C" w:rsidRDefault="00A9357C" w:rsidP="000B12BC">
      <w:pPr>
        <w:spacing w:after="0" w:line="480" w:lineRule="auto"/>
        <w:ind w:left="360" w:hanging="360"/>
      </w:pPr>
      <w:r>
        <w:rPr>
          <w:highlight w:val="white"/>
        </w:rPr>
        <w:t xml:space="preserve">Villa, F., Adamo, G., 2024. Ontology of Descriptions and Observations for Integrated Modelling (ODO-IM). </w:t>
      </w:r>
      <w:r w:rsidRPr="00A9357C">
        <w:t>https://github.com/integratedmodelling/odo-im</w:t>
      </w:r>
      <w:r>
        <w:t xml:space="preserve"> (accessed 11 September 2024).</w:t>
      </w:r>
    </w:p>
    <w:p w14:paraId="1147390B" w14:textId="77777777" w:rsidR="00C55C27" w:rsidRDefault="00154CAC" w:rsidP="000B12BC">
      <w:pPr>
        <w:spacing w:after="0" w:line="480" w:lineRule="auto"/>
        <w:ind w:left="360" w:hanging="360"/>
        <w:rPr>
          <w:highlight w:val="white"/>
        </w:rPr>
      </w:pPr>
      <w:r>
        <w:rPr>
          <w:highlight w:val="white"/>
        </w:rPr>
        <w:t xml:space="preserve">Villa, F., Athanasiadis, I.N., Rizzoli, A.E., 2009. Modelling with knowledge: A review of emerging semantic approaches to environmental modelling. </w:t>
      </w:r>
      <w:r>
        <w:t xml:space="preserve">Environ. Modell. Softw. </w:t>
      </w:r>
      <w:r>
        <w:rPr>
          <w:highlight w:val="white"/>
        </w:rPr>
        <w:t xml:space="preserve">24(5), 577-587. </w:t>
      </w:r>
      <w:hyperlink r:id="rId151">
        <w:r>
          <w:t>https://doi.org/10.1016/j.envsoft.2008.09.009</w:t>
        </w:r>
      </w:hyperlink>
      <w:r>
        <w:t>.</w:t>
      </w:r>
    </w:p>
    <w:p w14:paraId="74641477" w14:textId="77777777" w:rsidR="00C55C27" w:rsidRDefault="00154CAC" w:rsidP="000B12BC">
      <w:pPr>
        <w:spacing w:after="0" w:line="480" w:lineRule="auto"/>
        <w:ind w:left="360" w:hanging="360"/>
        <w:rPr>
          <w:highlight w:val="white"/>
        </w:rPr>
      </w:pPr>
      <w:r>
        <w:rPr>
          <w:highlight w:val="white"/>
        </w:rPr>
        <w:lastRenderedPageBreak/>
        <w:t>Villa, F., Bagstad, K.J., Voigt, B., Johnson, G.W., Portela, R., Honzak, M., et al., 2014. A methodology for adaptable and robust ecosystem services assessment. PLoS ONE 9(3), e91001. https://doi.org/</w:t>
      </w:r>
      <w:hyperlink r:id="rId152">
        <w:r>
          <w:rPr>
            <w:color w:val="000000"/>
          </w:rPr>
          <w:t>10.1371/journal.pone.0091001</w:t>
        </w:r>
      </w:hyperlink>
      <w:r>
        <w:rPr>
          <w:highlight w:val="white"/>
        </w:rPr>
        <w:t>.</w:t>
      </w:r>
    </w:p>
    <w:p w14:paraId="336833A1" w14:textId="38B64A67" w:rsidR="0096437B" w:rsidRPr="00900EC5" w:rsidRDefault="00F8753D" w:rsidP="000B12BC">
      <w:pPr>
        <w:spacing w:after="0" w:line="480" w:lineRule="auto"/>
        <w:ind w:left="360" w:hanging="360"/>
        <w:rPr>
          <w:rFonts w:asciiTheme="majorHAnsi" w:hAnsiTheme="majorHAnsi" w:cstheme="majorHAnsi"/>
          <w:shd w:val="clear" w:color="auto" w:fill="FFFFFF"/>
        </w:rPr>
      </w:pPr>
      <w:r w:rsidRPr="00900EC5">
        <w:rPr>
          <w:rFonts w:asciiTheme="majorHAnsi" w:hAnsiTheme="majorHAnsi" w:cstheme="majorHAnsi"/>
          <w:shd w:val="clear" w:color="auto" w:fill="FFFFFF"/>
        </w:rPr>
        <w:t xml:space="preserve">Wallace K.J., Jago M., 2017. Category mistakes: A barrier to effective environmental management. J. Environ. Manage. 199, 13-20. </w:t>
      </w:r>
      <w:r w:rsidR="00900EC5" w:rsidRPr="00900EC5">
        <w:rPr>
          <w:rFonts w:asciiTheme="majorHAnsi" w:hAnsiTheme="majorHAnsi" w:cstheme="majorHAnsi"/>
          <w:shd w:val="clear" w:color="auto" w:fill="FFFFFF"/>
        </w:rPr>
        <w:t>https://doi.org/10.1016/j.jenvman.2017.05.029</w:t>
      </w:r>
      <w:r w:rsidRPr="00900EC5">
        <w:rPr>
          <w:rFonts w:asciiTheme="majorHAnsi" w:hAnsiTheme="majorHAnsi" w:cstheme="majorHAnsi"/>
          <w:shd w:val="clear" w:color="auto" w:fill="FFFFFF"/>
        </w:rPr>
        <w:t>.</w:t>
      </w:r>
    </w:p>
    <w:p w14:paraId="00120EAE" w14:textId="249E94BF" w:rsidR="00404014" w:rsidRPr="00900EC5" w:rsidRDefault="00404014" w:rsidP="000B12BC">
      <w:pPr>
        <w:spacing w:after="0" w:line="480" w:lineRule="auto"/>
        <w:ind w:left="360" w:hanging="360"/>
        <w:rPr>
          <w:rFonts w:asciiTheme="majorHAnsi" w:hAnsiTheme="majorHAnsi" w:cstheme="majorHAnsi"/>
          <w:shd w:val="clear" w:color="auto" w:fill="FFFFFF"/>
        </w:rPr>
      </w:pPr>
      <w:r w:rsidRPr="00900EC5">
        <w:rPr>
          <w:rFonts w:asciiTheme="majorHAnsi" w:hAnsiTheme="majorHAnsi" w:cstheme="majorHAnsi"/>
          <w:shd w:val="clear" w:color="auto" w:fill="FFFFFF"/>
        </w:rPr>
        <w:t>Wallace, K.J., Kim, M.K., Rogers, A., Jago, M., 2020. Classifying human wellbeing values for planning the cojnservation and use of natural resources. J</w:t>
      </w:r>
      <w:r w:rsidR="00900EC5" w:rsidRPr="00900EC5">
        <w:rPr>
          <w:rFonts w:asciiTheme="majorHAnsi" w:hAnsiTheme="majorHAnsi" w:cstheme="majorHAnsi"/>
          <w:shd w:val="clear" w:color="auto" w:fill="FFFFFF"/>
        </w:rPr>
        <w:t xml:space="preserve">. </w:t>
      </w:r>
      <w:r w:rsidRPr="00900EC5">
        <w:rPr>
          <w:rFonts w:asciiTheme="majorHAnsi" w:hAnsiTheme="majorHAnsi" w:cstheme="majorHAnsi"/>
          <w:shd w:val="clear" w:color="auto" w:fill="FFFFFF"/>
        </w:rPr>
        <w:t>E</w:t>
      </w:r>
      <w:r w:rsidR="00900EC5" w:rsidRPr="00900EC5">
        <w:rPr>
          <w:rFonts w:asciiTheme="majorHAnsi" w:hAnsiTheme="majorHAnsi" w:cstheme="majorHAnsi"/>
          <w:shd w:val="clear" w:color="auto" w:fill="FFFFFF"/>
        </w:rPr>
        <w:t xml:space="preserve">nviron. </w:t>
      </w:r>
      <w:r w:rsidRPr="00900EC5">
        <w:rPr>
          <w:rFonts w:asciiTheme="majorHAnsi" w:hAnsiTheme="majorHAnsi" w:cstheme="majorHAnsi"/>
          <w:shd w:val="clear" w:color="auto" w:fill="FFFFFF"/>
        </w:rPr>
        <w:t>M</w:t>
      </w:r>
      <w:r w:rsidR="00900EC5" w:rsidRPr="00900EC5">
        <w:rPr>
          <w:rFonts w:asciiTheme="majorHAnsi" w:hAnsiTheme="majorHAnsi" w:cstheme="majorHAnsi"/>
          <w:shd w:val="clear" w:color="auto" w:fill="FFFFFF"/>
        </w:rPr>
        <w:t>anage.</w:t>
      </w:r>
      <w:r w:rsidRPr="00900EC5">
        <w:rPr>
          <w:rFonts w:asciiTheme="majorHAnsi" w:hAnsiTheme="majorHAnsi" w:cstheme="majorHAnsi"/>
          <w:shd w:val="clear" w:color="auto" w:fill="FFFFFF"/>
        </w:rPr>
        <w:t xml:space="preserve"> 256, 109955. </w:t>
      </w:r>
      <w:r w:rsidR="0096437B" w:rsidRPr="00900EC5">
        <w:rPr>
          <w:rFonts w:asciiTheme="majorHAnsi" w:hAnsiTheme="majorHAnsi" w:cstheme="majorHAnsi"/>
        </w:rPr>
        <w:t>https://doi.org/10.1016/j.jenvman.2019.109955</w:t>
      </w:r>
      <w:r w:rsidR="00565301">
        <w:rPr>
          <w:rFonts w:asciiTheme="majorHAnsi" w:hAnsiTheme="majorHAnsi" w:cstheme="majorHAnsi"/>
        </w:rPr>
        <w:t>.</w:t>
      </w:r>
    </w:p>
    <w:p w14:paraId="3E71FF49" w14:textId="52B808BF" w:rsidR="00C55C27" w:rsidRDefault="00154CAC" w:rsidP="000B12BC">
      <w:pPr>
        <w:spacing w:after="0" w:line="480" w:lineRule="auto"/>
        <w:ind w:left="360" w:hanging="360"/>
      </w:pPr>
      <w:r>
        <w:t xml:space="preserve">Walter, M., Suina, M., 2019. Indigenous data, indigenous methodologies and indigenous data sovereignty. Int. J. Soc. Res. Method. 22(3), 233-243. </w:t>
      </w:r>
      <w:hyperlink r:id="rId153">
        <w:r>
          <w:rPr>
            <w:color w:val="000000"/>
          </w:rPr>
          <w:t>https://doi.org/10.1080/13645579.2018.1531228</w:t>
        </w:r>
      </w:hyperlink>
      <w:r>
        <w:t>.</w:t>
      </w:r>
    </w:p>
    <w:p w14:paraId="365B5648" w14:textId="77777777" w:rsidR="00C55C27" w:rsidRDefault="00154CAC" w:rsidP="000B12BC">
      <w:pPr>
        <w:spacing w:after="0" w:line="480" w:lineRule="auto"/>
        <w:ind w:left="360" w:hanging="360"/>
      </w:pPr>
      <w:r>
        <w:t xml:space="preserve">Wang, W., Tolk, A., Wang, W., 2009. The Levels of Conceptual Interoperability Model: Applying Systems Engineering Principles to M&amp;S. ArXiv09080191 Cs. </w:t>
      </w:r>
      <w:hyperlink r:id="rId154">
        <w:r>
          <w:rPr>
            <w:color w:val="000000"/>
          </w:rPr>
          <w:t>https://arxiv.org/ftp/arxiv/papers/0908/0908.0191.pdf</w:t>
        </w:r>
      </w:hyperlink>
      <w:r>
        <w:t xml:space="preserve"> (accessed 9 Feb 2022).</w:t>
      </w:r>
    </w:p>
    <w:p w14:paraId="6909DBED" w14:textId="77777777" w:rsidR="00C55C27" w:rsidRDefault="00154CAC" w:rsidP="000B12BC">
      <w:pPr>
        <w:spacing w:after="0" w:line="480" w:lineRule="auto"/>
        <w:ind w:left="360" w:hanging="360"/>
      </w:pPr>
      <w:r>
        <w:t xml:space="preserve">W3C, 2010. What is provenance. </w:t>
      </w:r>
      <w:hyperlink r:id="rId155">
        <w:r>
          <w:rPr>
            <w:color w:val="0000FF"/>
            <w:u w:val="single"/>
          </w:rPr>
          <w:t>https://www.w3.org/2005/Incubator/prov/wiki/What_Is_Provenance</w:t>
        </w:r>
      </w:hyperlink>
      <w:r>
        <w:t xml:space="preserve"> (accessed 5 April 2024).</w:t>
      </w:r>
    </w:p>
    <w:p w14:paraId="3A46EFC9" w14:textId="77777777" w:rsidR="00C55C27" w:rsidRDefault="00154CAC" w:rsidP="000B12BC">
      <w:pPr>
        <w:spacing w:after="0" w:line="480" w:lineRule="auto"/>
        <w:ind w:left="360" w:hanging="360"/>
        <w:rPr>
          <w:b/>
        </w:rPr>
      </w:pPr>
      <w:r>
        <w:t xml:space="preserve">Wieczorek, J., Bloom, D., Guralnick, R., Blum, S., Döring, M., Giovanni, R., et al., 2012. Darwin Core: an evolving community-developed biodiversity data standard. PloS one, 7(1), e29715. </w:t>
      </w:r>
      <w:hyperlink r:id="rId156">
        <w:r>
          <w:rPr>
            <w:color w:val="000000"/>
          </w:rPr>
          <w:t>https://doi.org/10.1371/journal.pone.0029715</w:t>
        </w:r>
      </w:hyperlink>
      <w:r>
        <w:rPr>
          <w:b/>
        </w:rPr>
        <w:t>.</w:t>
      </w:r>
    </w:p>
    <w:p w14:paraId="4E69BFF2" w14:textId="77777777" w:rsidR="00C55C27" w:rsidRDefault="00154CAC" w:rsidP="000B12BC">
      <w:pPr>
        <w:spacing w:after="0" w:line="480" w:lineRule="auto"/>
        <w:ind w:left="360" w:hanging="360"/>
        <w:rPr>
          <w:b/>
          <w:highlight w:val="white"/>
        </w:rPr>
      </w:pPr>
      <w:r>
        <w:rPr>
          <w:highlight w:val="white"/>
        </w:rPr>
        <w:t>Wilkinson M.D., Dumontier M., Aalbersberg I.J., Appleton, G., Axton, M., Baak, A., et al., 2016. The FAIR Guiding Principles for scientific data management and stewardship. Sci. Data 3, 160018.</w:t>
      </w:r>
      <w:r>
        <w:rPr>
          <w:b/>
          <w:highlight w:val="white"/>
        </w:rPr>
        <w:t xml:space="preserve"> </w:t>
      </w:r>
      <w:r>
        <w:rPr>
          <w:highlight w:val="white"/>
        </w:rPr>
        <w:t>https://doi.org/10.1038/sdata.2016.18.</w:t>
      </w:r>
    </w:p>
    <w:p w14:paraId="49F57D28" w14:textId="77777777" w:rsidR="00C55C27" w:rsidRDefault="00154CAC" w:rsidP="000B12BC">
      <w:pPr>
        <w:spacing w:after="0" w:line="480" w:lineRule="auto"/>
        <w:ind w:left="360" w:hanging="360"/>
        <w:rPr>
          <w:highlight w:val="white"/>
        </w:rPr>
      </w:pPr>
      <w:r>
        <w:rPr>
          <w:highlight w:val="white"/>
        </w:rPr>
        <w:lastRenderedPageBreak/>
        <w:t xml:space="preserve">Wilkinson, M.D., Sansone, S., Schultes, E., Doorn, P., Bonino da Silva Santos, L.O., Dumontier, M., 2018. A design framework and exemplar metrics for FAIRness. Sci. Data 5, 180118. </w:t>
      </w:r>
      <w:r>
        <w:t>https://doi.org/</w:t>
      </w:r>
      <w:hyperlink r:id="rId157">
        <w:r>
          <w:rPr>
            <w:color w:val="000000"/>
          </w:rPr>
          <w:t>10.1038/sdata.2018.118</w:t>
        </w:r>
      </w:hyperlink>
      <w:r>
        <w:rPr>
          <w:highlight w:val="white"/>
        </w:rPr>
        <w:t>.</w:t>
      </w:r>
    </w:p>
    <w:p w14:paraId="0BC6CFF7" w14:textId="77777777" w:rsidR="00FB0B65" w:rsidRPr="00FB0B65" w:rsidRDefault="00FB0B65" w:rsidP="000B12BC">
      <w:pPr>
        <w:spacing w:after="0" w:line="480" w:lineRule="auto"/>
        <w:ind w:left="360" w:hanging="360"/>
        <w:rPr>
          <w:rFonts w:asciiTheme="majorHAnsi" w:hAnsiTheme="majorHAnsi" w:cstheme="majorHAnsi"/>
        </w:rPr>
      </w:pPr>
      <w:r w:rsidRPr="00FB0B65">
        <w:rPr>
          <w:rFonts w:asciiTheme="majorHAnsi" w:hAnsiTheme="majorHAnsi" w:cstheme="majorHAnsi"/>
          <w:shd w:val="clear" w:color="auto" w:fill="FFFFFF"/>
        </w:rPr>
        <w:t xml:space="preserve">Wilkinson, S.N., Dougall, C., Kinsey-Henderson, A.E., Searle, R.D., Ellis, R.J., Bartley, R., 2014. Development of a time-stepping sediment budget model for assessing land use impacts in large river basins. Sci. Total Environ. 468-469, 1210–24. </w:t>
      </w:r>
      <w:r w:rsidRPr="00FB0B65">
        <w:rPr>
          <w:rStyle w:val="anchor-text"/>
          <w:rFonts w:asciiTheme="majorHAnsi" w:hAnsiTheme="majorHAnsi" w:cstheme="majorHAnsi"/>
        </w:rPr>
        <w:t>https://doi.org/10.1016/j.scitotenv.2013.07.049.</w:t>
      </w:r>
    </w:p>
    <w:p w14:paraId="4F7046A8" w14:textId="77777777" w:rsidR="00C55C27" w:rsidRDefault="00154CAC" w:rsidP="000B12BC">
      <w:pPr>
        <w:spacing w:after="0" w:line="480" w:lineRule="auto"/>
        <w:ind w:left="360" w:hanging="360"/>
      </w:pPr>
      <w:r>
        <w:t xml:space="preserve">WMO, 2024. WMO Integrated Global Observing System (WIGOS). </w:t>
      </w:r>
      <w:hyperlink r:id="rId158">
        <w:r>
          <w:rPr>
            <w:color w:val="000000"/>
          </w:rPr>
          <w:t>https://community.wmo.int/en/activity-areas/WIGOS</w:t>
        </w:r>
      </w:hyperlink>
      <w:r>
        <w:t xml:space="preserve"> (accessed 29 March 2024).</w:t>
      </w:r>
    </w:p>
    <w:p w14:paraId="0BEB6282" w14:textId="75630260" w:rsidR="00E35F44" w:rsidRDefault="00E35F44" w:rsidP="000B12BC">
      <w:pPr>
        <w:spacing w:after="0" w:line="480" w:lineRule="auto"/>
        <w:ind w:left="360" w:hanging="360"/>
      </w:pPr>
      <w:r w:rsidRPr="00B05912">
        <w:rPr>
          <w:rStyle w:val="cf01"/>
          <w:rFonts w:asciiTheme="majorHAnsi" w:hAnsiTheme="majorHAnsi" w:cstheme="majorHAnsi"/>
          <w:sz w:val="22"/>
          <w:szCs w:val="22"/>
        </w:rPr>
        <w:t xml:space="preserve">Zalta, E.N., Nodelman U. (Eds.), </w:t>
      </w:r>
      <w:r w:rsidR="00E31741">
        <w:rPr>
          <w:rStyle w:val="cf01"/>
          <w:rFonts w:asciiTheme="majorHAnsi" w:hAnsiTheme="majorHAnsi" w:cstheme="majorHAnsi"/>
          <w:sz w:val="22"/>
          <w:szCs w:val="22"/>
        </w:rPr>
        <w:t xml:space="preserve">2024. </w:t>
      </w:r>
      <w:r w:rsidRPr="00B05912">
        <w:rPr>
          <w:rStyle w:val="cf01"/>
          <w:rFonts w:asciiTheme="majorHAnsi" w:hAnsiTheme="majorHAnsi" w:cstheme="majorHAnsi"/>
          <w:sz w:val="22"/>
          <w:szCs w:val="22"/>
        </w:rPr>
        <w:t xml:space="preserve">The Stanford Encyclopedia of Philosophy. https://plato.stanford.edu/ </w:t>
      </w:r>
      <w:r w:rsidRPr="00B05912">
        <w:rPr>
          <w:rFonts w:asciiTheme="majorHAnsi" w:hAnsiTheme="majorHAnsi" w:cstheme="majorHAnsi"/>
        </w:rPr>
        <w:t xml:space="preserve">(accessed </w:t>
      </w:r>
      <w:r>
        <w:rPr>
          <w:rFonts w:asciiTheme="majorHAnsi" w:hAnsiTheme="majorHAnsi" w:cstheme="majorHAnsi"/>
        </w:rPr>
        <w:t>27</w:t>
      </w:r>
      <w:r w:rsidRPr="00B05912">
        <w:rPr>
          <w:rFonts w:asciiTheme="majorHAnsi" w:hAnsiTheme="majorHAnsi" w:cstheme="majorHAnsi"/>
        </w:rPr>
        <w:t xml:space="preserve"> </w:t>
      </w:r>
      <w:r>
        <w:rPr>
          <w:rFonts w:asciiTheme="majorHAnsi" w:hAnsiTheme="majorHAnsi" w:cstheme="majorHAnsi"/>
        </w:rPr>
        <w:t>November</w:t>
      </w:r>
      <w:r w:rsidRPr="00B05912">
        <w:rPr>
          <w:rFonts w:asciiTheme="majorHAnsi" w:hAnsiTheme="majorHAnsi" w:cstheme="majorHAnsi"/>
        </w:rPr>
        <w:t xml:space="preserve"> 2024).</w:t>
      </w:r>
    </w:p>
    <w:p w14:paraId="21537DA4" w14:textId="77777777" w:rsidR="00C55C27" w:rsidRDefault="00154CAC" w:rsidP="000B12BC">
      <w:pPr>
        <w:spacing w:after="0" w:line="480" w:lineRule="auto"/>
        <w:ind w:left="360" w:hanging="360"/>
      </w:pPr>
      <w:r>
        <w:t xml:space="preserve">Zhang, F., Chen, M., Ames, D.P., Shen, C., Yue, S., Wen, Y., et al., 2019. Design and development of a service-oriented wrapper system for sharing and reusing distributed geoanalysis models on the web. Environ. Modell. Softw. 111, 498-509. </w:t>
      </w:r>
      <w:hyperlink r:id="rId159">
        <w:r>
          <w:t>https://doi.org/10.1016/j.envsoft.2018.11.002</w:t>
        </w:r>
      </w:hyperlink>
      <w:r>
        <w:t>.</w:t>
      </w:r>
    </w:p>
    <w:p w14:paraId="1B07B18E" w14:textId="77777777" w:rsidR="00C55C27" w:rsidRDefault="00154CAC" w:rsidP="000B12BC">
      <w:pPr>
        <w:spacing w:after="0" w:line="480" w:lineRule="auto"/>
        <w:ind w:left="360" w:hanging="360"/>
      </w:pPr>
      <w:r>
        <w:t xml:space="preserve">Zulian, G., Stange, E., Woods, H., Carvalho, L., Dick, J., Andrews, C., et al., 2018. Practical application of spatial ecosystem service models to aid decision support. Ecosyst. Serv. 29C, 465-480. </w:t>
      </w:r>
      <w:hyperlink r:id="rId160">
        <w:r>
          <w:t>https://doi.org/10.1016/j.ecoser.2017.11.005</w:t>
        </w:r>
      </w:hyperlink>
      <w:r>
        <w:t>.</w:t>
      </w:r>
    </w:p>
    <w:p w14:paraId="1133582D" w14:textId="77777777" w:rsidR="00C55C27" w:rsidRDefault="00C55C27" w:rsidP="000B12BC">
      <w:pPr>
        <w:spacing w:after="0" w:line="480" w:lineRule="auto"/>
        <w:ind w:left="360" w:hanging="360"/>
      </w:pPr>
    </w:p>
    <w:p w14:paraId="79CA63AD" w14:textId="77777777" w:rsidR="00C55C27" w:rsidRDefault="00C55C27" w:rsidP="000B12BC">
      <w:pPr>
        <w:spacing w:after="0" w:line="480" w:lineRule="auto"/>
        <w:ind w:left="360" w:hanging="360"/>
      </w:pPr>
    </w:p>
    <w:p w14:paraId="645EDFED" w14:textId="77777777" w:rsidR="00C55C27" w:rsidRDefault="00C55C27" w:rsidP="000B12BC">
      <w:pPr>
        <w:spacing w:after="0" w:line="480" w:lineRule="auto"/>
        <w:ind w:left="360" w:hanging="360"/>
      </w:pPr>
    </w:p>
    <w:p w14:paraId="26C17F82" w14:textId="77777777" w:rsidR="00C55C27" w:rsidRDefault="00C55C27" w:rsidP="000B12BC">
      <w:pPr>
        <w:spacing w:after="0" w:line="480" w:lineRule="auto"/>
        <w:ind w:left="360" w:hanging="360"/>
      </w:pPr>
    </w:p>
    <w:p w14:paraId="68457418" w14:textId="77777777" w:rsidR="00C55C27" w:rsidRDefault="00C55C27" w:rsidP="000B12BC">
      <w:pPr>
        <w:spacing w:after="0" w:line="480" w:lineRule="auto"/>
        <w:ind w:left="360" w:hanging="360"/>
      </w:pPr>
    </w:p>
    <w:p w14:paraId="4B839CB4" w14:textId="77777777" w:rsidR="00C55C27" w:rsidRDefault="00C55C27" w:rsidP="000B12BC">
      <w:pPr>
        <w:spacing w:after="0" w:line="480" w:lineRule="auto"/>
        <w:ind w:left="360" w:hanging="360"/>
      </w:pPr>
    </w:p>
    <w:p w14:paraId="131F7305" w14:textId="77777777" w:rsidR="00C55C27" w:rsidRDefault="00C55C27" w:rsidP="000B12BC">
      <w:pPr>
        <w:spacing w:after="0" w:line="480" w:lineRule="auto"/>
        <w:ind w:left="360" w:hanging="360"/>
      </w:pPr>
    </w:p>
    <w:p w14:paraId="388C4130" w14:textId="77777777" w:rsidR="00C55C27" w:rsidRDefault="00C55C27" w:rsidP="000B12BC">
      <w:pPr>
        <w:spacing w:after="0" w:line="480" w:lineRule="auto"/>
        <w:ind w:left="360" w:hanging="360"/>
      </w:pPr>
    </w:p>
    <w:p w14:paraId="3D286EB3" w14:textId="77777777" w:rsidR="000B12BC" w:rsidRDefault="000B12BC" w:rsidP="000B12BC">
      <w:pPr>
        <w:spacing w:after="0" w:line="480" w:lineRule="auto"/>
        <w:ind w:left="360" w:hanging="360"/>
      </w:pPr>
    </w:p>
    <w:p w14:paraId="5D316021" w14:textId="77777777" w:rsidR="000B12BC" w:rsidRDefault="000B12BC" w:rsidP="000B12BC">
      <w:pPr>
        <w:spacing w:after="0" w:line="480" w:lineRule="auto"/>
        <w:ind w:left="360" w:hanging="360"/>
      </w:pPr>
    </w:p>
    <w:p w14:paraId="77EB53B5" w14:textId="77777777" w:rsidR="000B12BC" w:rsidRDefault="000B12BC" w:rsidP="000B12BC">
      <w:pPr>
        <w:spacing w:after="0" w:line="480" w:lineRule="auto"/>
        <w:ind w:left="360" w:hanging="360"/>
      </w:pPr>
    </w:p>
    <w:p w14:paraId="6D89ED14" w14:textId="77777777" w:rsidR="000B12BC" w:rsidRDefault="000B12BC" w:rsidP="000B12BC">
      <w:pPr>
        <w:spacing w:after="0" w:line="480" w:lineRule="auto"/>
        <w:ind w:left="360" w:hanging="360"/>
      </w:pPr>
    </w:p>
    <w:p w14:paraId="235638DE" w14:textId="77777777" w:rsidR="000B12BC" w:rsidRDefault="000B12BC" w:rsidP="000B12BC">
      <w:pPr>
        <w:spacing w:after="0" w:line="480" w:lineRule="auto"/>
        <w:ind w:left="360" w:hanging="360"/>
      </w:pPr>
    </w:p>
    <w:p w14:paraId="4B42DF12" w14:textId="77777777" w:rsidR="00CD64F3" w:rsidRDefault="00CD64F3" w:rsidP="000B12BC">
      <w:pPr>
        <w:spacing w:after="0" w:line="480" w:lineRule="auto"/>
      </w:pPr>
      <w:r w:rsidRPr="00E45911">
        <w:rPr>
          <w:b/>
          <w:bCs/>
        </w:rPr>
        <w:t xml:space="preserve">Box </w:t>
      </w:r>
      <w:r>
        <w:rPr>
          <w:b/>
          <w:bCs/>
        </w:rPr>
        <w:t>1</w:t>
      </w:r>
      <w:r w:rsidRPr="00E45911">
        <w:rPr>
          <w:b/>
          <w:bCs/>
        </w:rPr>
        <w:t>.</w:t>
      </w:r>
      <w:r>
        <w:t xml:space="preserve"> Definitions of acronyms.</w:t>
      </w:r>
    </w:p>
    <w:p w14:paraId="5F749CCA" w14:textId="77777777" w:rsidR="00CD64F3" w:rsidRPr="0086060F" w:rsidRDefault="00CD64F3" w:rsidP="000B12BC">
      <w:pPr>
        <w:spacing w:after="0" w:line="480" w:lineRule="auto"/>
      </w:pPr>
      <w:r w:rsidRPr="0086060F">
        <w:t>AI – Artificial Intelligence</w:t>
      </w:r>
    </w:p>
    <w:p w14:paraId="17AFD6C3" w14:textId="77777777" w:rsidR="00CD64F3" w:rsidRPr="0086060F" w:rsidRDefault="00CD64F3" w:rsidP="000B12BC">
      <w:pPr>
        <w:spacing w:after="0" w:line="480" w:lineRule="auto"/>
      </w:pPr>
      <w:r w:rsidRPr="0086060F">
        <w:t>API – Application Programming Interface</w:t>
      </w:r>
    </w:p>
    <w:p w14:paraId="4FCEC776" w14:textId="77777777" w:rsidR="00CD64F3" w:rsidRPr="0086060F" w:rsidRDefault="00CD64F3" w:rsidP="000B12BC">
      <w:pPr>
        <w:spacing w:after="0" w:line="480" w:lineRule="auto"/>
      </w:pPr>
      <w:r w:rsidRPr="0086060F">
        <w:t>ARIES – Artificial Intelligence for Environment and Sustainability</w:t>
      </w:r>
    </w:p>
    <w:p w14:paraId="4AC6E4CA" w14:textId="77777777" w:rsidR="00CD64F3" w:rsidRPr="0086060F" w:rsidRDefault="00CD64F3" w:rsidP="000B12BC">
      <w:pPr>
        <w:spacing w:after="0" w:line="480" w:lineRule="auto"/>
      </w:pPr>
      <w:r w:rsidRPr="0086060F">
        <w:t xml:space="preserve">BFO </w:t>
      </w:r>
      <w:r>
        <w:t>–</w:t>
      </w:r>
      <w:r w:rsidRPr="0086060F">
        <w:t xml:space="preserve"> Basic Formal Ontology</w:t>
      </w:r>
    </w:p>
    <w:p w14:paraId="4B43FAF0" w14:textId="77777777" w:rsidR="00CD64F3" w:rsidRPr="0086060F" w:rsidRDefault="00CD64F3" w:rsidP="000B12BC">
      <w:pPr>
        <w:spacing w:after="0" w:line="480" w:lineRule="auto"/>
      </w:pPr>
      <w:r w:rsidRPr="0086060F">
        <w:t xml:space="preserve">CARE </w:t>
      </w:r>
      <w:r>
        <w:t>–</w:t>
      </w:r>
      <w:r w:rsidRPr="0086060F">
        <w:t xml:space="preserve"> </w:t>
      </w:r>
      <w:r>
        <w:rPr>
          <w:color w:val="000000"/>
        </w:rPr>
        <w:t>Collective benefit, Authority to control, Responsibility, Ethics</w:t>
      </w:r>
    </w:p>
    <w:p w14:paraId="09FEB610" w14:textId="77777777" w:rsidR="00CD64F3" w:rsidRPr="0086060F" w:rsidRDefault="00CD64F3" w:rsidP="000B12BC">
      <w:pPr>
        <w:spacing w:after="0" w:line="480" w:lineRule="auto"/>
      </w:pPr>
      <w:r w:rsidRPr="0086060F">
        <w:t>DOI – Digital Object Identifier</w:t>
      </w:r>
    </w:p>
    <w:p w14:paraId="0B9B345F" w14:textId="77777777" w:rsidR="00CD64F3" w:rsidRPr="0086060F" w:rsidRDefault="00CD64F3" w:rsidP="000B12BC">
      <w:pPr>
        <w:spacing w:after="0" w:line="480" w:lineRule="auto"/>
      </w:pPr>
      <w:r w:rsidRPr="0086060F">
        <w:t>DOLCE – Descriptive Ontology for Linguistic and Cognitive Engineering</w:t>
      </w:r>
    </w:p>
    <w:p w14:paraId="5C34C899" w14:textId="77777777" w:rsidR="00CD64F3" w:rsidRPr="0086060F" w:rsidRDefault="00CD64F3" w:rsidP="000B12BC">
      <w:pPr>
        <w:spacing w:after="0" w:line="480" w:lineRule="auto"/>
      </w:pPr>
      <w:r w:rsidRPr="0086060F">
        <w:t>EBV – Essential Biodiversity Variable</w:t>
      </w:r>
    </w:p>
    <w:p w14:paraId="7000763D" w14:textId="77777777" w:rsidR="00CD64F3" w:rsidRPr="0086060F" w:rsidRDefault="00CD64F3" w:rsidP="000B12BC">
      <w:pPr>
        <w:spacing w:after="0" w:line="480" w:lineRule="auto"/>
      </w:pPr>
      <w:r w:rsidRPr="0086060F">
        <w:t>EESV – Essential Ecosystem Service Variable</w:t>
      </w:r>
    </w:p>
    <w:p w14:paraId="5CC4E823" w14:textId="77777777" w:rsidR="00CD64F3" w:rsidRPr="0086060F" w:rsidRDefault="00CD64F3" w:rsidP="000B12BC">
      <w:pPr>
        <w:spacing w:after="0" w:line="480" w:lineRule="auto"/>
      </w:pPr>
      <w:r w:rsidRPr="0086060F">
        <w:t>ENVO – Environment Ontology</w:t>
      </w:r>
    </w:p>
    <w:p w14:paraId="090A68CD" w14:textId="77777777" w:rsidR="00CD64F3" w:rsidRPr="0086060F" w:rsidRDefault="00CD64F3" w:rsidP="000B12BC">
      <w:pPr>
        <w:spacing w:after="0" w:line="480" w:lineRule="auto"/>
      </w:pPr>
      <w:r w:rsidRPr="0086060F">
        <w:t>ES – Ecosystem Services</w:t>
      </w:r>
    </w:p>
    <w:p w14:paraId="6F632B08" w14:textId="77777777" w:rsidR="00CD64F3" w:rsidRPr="0086060F" w:rsidRDefault="00CD64F3" w:rsidP="000B12BC">
      <w:pPr>
        <w:spacing w:after="0" w:line="480" w:lineRule="auto"/>
      </w:pPr>
      <w:r w:rsidRPr="0086060F">
        <w:t>ESTIMAP – Ecosystem Services Mapping Tool</w:t>
      </w:r>
    </w:p>
    <w:p w14:paraId="4A76B257" w14:textId="77777777" w:rsidR="00CD64F3" w:rsidRPr="0086060F" w:rsidRDefault="00CD64F3" w:rsidP="000B12BC">
      <w:pPr>
        <w:spacing w:after="0" w:line="480" w:lineRule="auto"/>
      </w:pPr>
      <w:r w:rsidRPr="0086060F">
        <w:t xml:space="preserve">FAIR – Findable, Accessible, Interoperable, Reusable </w:t>
      </w:r>
    </w:p>
    <w:p w14:paraId="46A484C1" w14:textId="77777777" w:rsidR="00CD64F3" w:rsidRPr="0086060F" w:rsidRDefault="00CD64F3" w:rsidP="000B12BC">
      <w:pPr>
        <w:spacing w:after="0" w:line="480" w:lineRule="auto"/>
      </w:pPr>
      <w:r w:rsidRPr="0086060F">
        <w:t>GBiOS – Global Biodiversity Observation System</w:t>
      </w:r>
    </w:p>
    <w:p w14:paraId="3085AF17" w14:textId="77777777" w:rsidR="00CD64F3" w:rsidRPr="0086060F" w:rsidRDefault="00CD64F3" w:rsidP="000B12BC">
      <w:pPr>
        <w:spacing w:after="0" w:line="480" w:lineRule="auto"/>
      </w:pPr>
      <w:r w:rsidRPr="0086060F">
        <w:t>GEO BON – Group on Earth Observations Biodiversity Observation Network</w:t>
      </w:r>
    </w:p>
    <w:p w14:paraId="139ACA11" w14:textId="77777777" w:rsidR="00CD64F3" w:rsidRPr="0086060F" w:rsidRDefault="00CD64F3" w:rsidP="000B12BC">
      <w:pPr>
        <w:spacing w:after="0" w:line="480" w:lineRule="auto"/>
      </w:pPr>
      <w:r w:rsidRPr="0086060F">
        <w:t xml:space="preserve">I-ADOPT </w:t>
      </w:r>
      <w:r>
        <w:t>–</w:t>
      </w:r>
      <w:r w:rsidRPr="0086060F">
        <w:t> </w:t>
      </w:r>
      <w:r w:rsidRPr="0086060F">
        <w:rPr>
          <w:shd w:val="clear" w:color="auto" w:fill="FFFFFF"/>
        </w:rPr>
        <w:t>InteroperAble Descriptions of Observable Property Terminology</w:t>
      </w:r>
    </w:p>
    <w:p w14:paraId="3446B74F" w14:textId="77777777" w:rsidR="00CD64F3" w:rsidRPr="0086060F" w:rsidRDefault="00CD64F3" w:rsidP="000B12BC">
      <w:pPr>
        <w:spacing w:after="0" w:line="480" w:lineRule="auto"/>
      </w:pPr>
      <w:r w:rsidRPr="0086060F">
        <w:lastRenderedPageBreak/>
        <w:t>INCA – Integrated System for Natural Capital Accounting</w:t>
      </w:r>
    </w:p>
    <w:p w14:paraId="17F30FF8" w14:textId="77777777" w:rsidR="00CD64F3" w:rsidRPr="0086060F" w:rsidRDefault="00CD64F3" w:rsidP="000B12BC">
      <w:pPr>
        <w:spacing w:after="0" w:line="480" w:lineRule="auto"/>
      </w:pPr>
      <w:r w:rsidRPr="0086060F">
        <w:t xml:space="preserve">INSPIRE – </w:t>
      </w:r>
      <w:r w:rsidRPr="0086060F">
        <w:rPr>
          <w:shd w:val="clear" w:color="auto" w:fill="FFFFFF"/>
        </w:rPr>
        <w:t>Infrastructure for Spatial Information in the European Community</w:t>
      </w:r>
    </w:p>
    <w:p w14:paraId="62B84E65" w14:textId="77777777" w:rsidR="00CD64F3" w:rsidRPr="0086060F" w:rsidRDefault="00CD64F3" w:rsidP="000B12BC">
      <w:pPr>
        <w:spacing w:after="0" w:line="480" w:lineRule="auto"/>
      </w:pPr>
      <w:r w:rsidRPr="0086060F">
        <w:t>InVEST – Integrated Valuation of Ecosystem Services and Tradeoffs</w:t>
      </w:r>
    </w:p>
    <w:p w14:paraId="53A46676" w14:textId="257C2CC9" w:rsidR="00CD64F3" w:rsidRPr="0086060F" w:rsidRDefault="00CD64F3" w:rsidP="000B12BC">
      <w:pPr>
        <w:spacing w:after="0" w:line="480" w:lineRule="auto"/>
      </w:pPr>
      <w:r w:rsidRPr="0086060F">
        <w:t xml:space="preserve">IPBES – Intergovernmental </w:t>
      </w:r>
      <w:r w:rsidR="00453A81">
        <w:t xml:space="preserve">Science-Policy </w:t>
      </w:r>
      <w:r w:rsidRPr="0086060F">
        <w:t>Panel on Biodiversity and Ecosystem Services</w:t>
      </w:r>
    </w:p>
    <w:p w14:paraId="64FB9AAD" w14:textId="77777777" w:rsidR="00CD64F3" w:rsidRPr="0086060F" w:rsidRDefault="00CD64F3" w:rsidP="000B12BC">
      <w:pPr>
        <w:spacing w:after="0" w:line="480" w:lineRule="auto"/>
      </w:pPr>
      <w:r w:rsidRPr="0086060F">
        <w:t>k.LAB – Knowledge Laboratory</w:t>
      </w:r>
    </w:p>
    <w:p w14:paraId="2369C893" w14:textId="77777777" w:rsidR="00CD64F3" w:rsidRPr="0086060F" w:rsidRDefault="00CD64F3" w:rsidP="000B12BC">
      <w:pPr>
        <w:spacing w:after="0" w:line="480" w:lineRule="auto"/>
      </w:pPr>
      <w:r w:rsidRPr="0086060F">
        <w:t>ORCID – Open Researcher and Contributor Identifiers</w:t>
      </w:r>
    </w:p>
    <w:p w14:paraId="2C406E32" w14:textId="77777777" w:rsidR="00CD64F3" w:rsidRPr="0086060F" w:rsidRDefault="00CD64F3" w:rsidP="000B12BC">
      <w:pPr>
        <w:spacing w:after="0" w:line="480" w:lineRule="auto"/>
      </w:pPr>
      <w:r w:rsidRPr="0086060F">
        <w:t>PURL – Persistent Uniform Resource Locator</w:t>
      </w:r>
    </w:p>
    <w:p w14:paraId="3ED02FE2" w14:textId="77777777" w:rsidR="00CD64F3" w:rsidRPr="0086060F" w:rsidRDefault="00CD64F3" w:rsidP="000B12BC">
      <w:pPr>
        <w:spacing w:after="0" w:line="480" w:lineRule="auto"/>
      </w:pPr>
      <w:r w:rsidRPr="0086060F">
        <w:t xml:space="preserve">SEEA – System of Environmental-Economic Accounting </w:t>
      </w:r>
    </w:p>
    <w:p w14:paraId="53C9C206" w14:textId="77777777" w:rsidR="00CD64F3" w:rsidRPr="0086060F" w:rsidRDefault="00CD64F3" w:rsidP="000B12BC">
      <w:pPr>
        <w:spacing w:after="0" w:line="480" w:lineRule="auto"/>
      </w:pPr>
      <w:r w:rsidRPr="0086060F">
        <w:t>SEEA EA – System of Environmental-Economic Accounting Ecosystem Accounting</w:t>
      </w:r>
    </w:p>
    <w:p w14:paraId="7E25409C" w14:textId="77777777" w:rsidR="00CD64F3" w:rsidRPr="0086060F" w:rsidRDefault="00CD64F3" w:rsidP="000B12BC">
      <w:pPr>
        <w:spacing w:after="0" w:line="480" w:lineRule="auto"/>
      </w:pPr>
      <w:r w:rsidRPr="0086060F">
        <w:t xml:space="preserve">TRUST </w:t>
      </w:r>
      <w:r>
        <w:t>–</w:t>
      </w:r>
      <w:r w:rsidRPr="0086060F">
        <w:t xml:space="preserve"> </w:t>
      </w:r>
      <w:r>
        <w:rPr>
          <w:color w:val="000000"/>
        </w:rPr>
        <w:t>Transparency, Responsibility, User focus, Sustainability, Technology</w:t>
      </w:r>
    </w:p>
    <w:p w14:paraId="762C981B" w14:textId="77777777" w:rsidR="00CD64F3" w:rsidRPr="0086060F" w:rsidRDefault="00CD64F3" w:rsidP="000B12BC">
      <w:pPr>
        <w:spacing w:after="0" w:line="480" w:lineRule="auto"/>
      </w:pPr>
      <w:r w:rsidRPr="0086060F">
        <w:t>URL – Uniform Resource Locator</w:t>
      </w:r>
    </w:p>
    <w:p w14:paraId="77AD9504" w14:textId="77777777" w:rsidR="00C55C27" w:rsidRDefault="00C55C27" w:rsidP="000B12BC">
      <w:pPr>
        <w:spacing w:after="0" w:line="480" w:lineRule="auto"/>
        <w:ind w:left="360" w:hanging="360"/>
      </w:pPr>
    </w:p>
    <w:p w14:paraId="739CBFA5" w14:textId="77777777" w:rsidR="000B12BC" w:rsidRDefault="000B12BC" w:rsidP="000B12BC">
      <w:pPr>
        <w:spacing w:after="0" w:line="480" w:lineRule="auto"/>
        <w:ind w:left="360" w:hanging="360"/>
      </w:pPr>
    </w:p>
    <w:p w14:paraId="1EA65EF9" w14:textId="77777777" w:rsidR="000B12BC" w:rsidRDefault="000B12BC" w:rsidP="000B12BC">
      <w:pPr>
        <w:spacing w:after="0" w:line="480" w:lineRule="auto"/>
        <w:ind w:left="360" w:hanging="360"/>
      </w:pPr>
    </w:p>
    <w:p w14:paraId="27616E90" w14:textId="77777777" w:rsidR="000B12BC" w:rsidRDefault="000B12BC" w:rsidP="000B12BC">
      <w:pPr>
        <w:spacing w:after="0" w:line="480" w:lineRule="auto"/>
        <w:ind w:left="360" w:hanging="360"/>
      </w:pPr>
    </w:p>
    <w:p w14:paraId="5670455B" w14:textId="77777777" w:rsidR="000B12BC" w:rsidRDefault="000B12BC" w:rsidP="000B12BC">
      <w:pPr>
        <w:spacing w:after="0" w:line="480" w:lineRule="auto"/>
        <w:ind w:left="360" w:hanging="360"/>
      </w:pPr>
    </w:p>
    <w:p w14:paraId="36743537" w14:textId="77777777" w:rsidR="000B12BC" w:rsidRDefault="000B12BC" w:rsidP="000B12BC">
      <w:pPr>
        <w:spacing w:after="0" w:line="480" w:lineRule="auto"/>
        <w:ind w:left="360" w:hanging="360"/>
      </w:pPr>
    </w:p>
    <w:p w14:paraId="0C301993" w14:textId="77777777" w:rsidR="000B12BC" w:rsidRDefault="000B12BC" w:rsidP="000B12BC">
      <w:pPr>
        <w:spacing w:after="0" w:line="480" w:lineRule="auto"/>
        <w:ind w:left="360" w:hanging="360"/>
      </w:pPr>
    </w:p>
    <w:p w14:paraId="5015E6CC" w14:textId="77777777" w:rsidR="000B12BC" w:rsidRDefault="000B12BC" w:rsidP="000B12BC">
      <w:pPr>
        <w:spacing w:after="0" w:line="480" w:lineRule="auto"/>
        <w:ind w:left="360" w:hanging="360"/>
      </w:pPr>
    </w:p>
    <w:p w14:paraId="3DFC94AA" w14:textId="77777777" w:rsidR="000B12BC" w:rsidRDefault="000B12BC" w:rsidP="000B12BC">
      <w:pPr>
        <w:spacing w:after="0" w:line="480" w:lineRule="auto"/>
        <w:ind w:left="360" w:hanging="360"/>
      </w:pPr>
    </w:p>
    <w:p w14:paraId="3C266A6F" w14:textId="77777777" w:rsidR="000B12BC" w:rsidRDefault="000B12BC" w:rsidP="000B12BC">
      <w:pPr>
        <w:spacing w:after="0" w:line="480" w:lineRule="auto"/>
        <w:ind w:left="360" w:hanging="360"/>
      </w:pPr>
    </w:p>
    <w:p w14:paraId="02698AC8" w14:textId="77777777" w:rsidR="000B12BC" w:rsidRDefault="000B12BC" w:rsidP="000B12BC">
      <w:pPr>
        <w:spacing w:after="0" w:line="480" w:lineRule="auto"/>
        <w:ind w:left="360" w:hanging="360"/>
      </w:pPr>
    </w:p>
    <w:p w14:paraId="2DD4004D" w14:textId="77777777" w:rsidR="000B12BC" w:rsidRDefault="000B12BC" w:rsidP="000B12BC">
      <w:pPr>
        <w:spacing w:after="0" w:line="480" w:lineRule="auto"/>
        <w:ind w:left="360" w:hanging="360"/>
      </w:pPr>
    </w:p>
    <w:p w14:paraId="2C4681F2" w14:textId="77777777" w:rsidR="000B12BC" w:rsidRDefault="000B12BC" w:rsidP="000B12BC">
      <w:pPr>
        <w:spacing w:after="0" w:line="480" w:lineRule="auto"/>
        <w:ind w:left="360" w:hanging="360"/>
      </w:pPr>
    </w:p>
    <w:p w14:paraId="7CE88B6C" w14:textId="77777777" w:rsidR="000B12BC" w:rsidRDefault="000B12BC" w:rsidP="000B12BC">
      <w:pPr>
        <w:spacing w:after="0" w:line="480" w:lineRule="auto"/>
        <w:ind w:left="360" w:hanging="360"/>
      </w:pPr>
    </w:p>
    <w:p w14:paraId="13808CF4" w14:textId="77777777" w:rsidR="000B12BC" w:rsidRDefault="000B12BC" w:rsidP="000B12BC">
      <w:pPr>
        <w:spacing w:after="0" w:line="480" w:lineRule="auto"/>
        <w:ind w:left="360" w:hanging="360"/>
      </w:pPr>
    </w:p>
    <w:p w14:paraId="261D0B1F" w14:textId="77777777" w:rsidR="000B12BC" w:rsidRDefault="000B12BC" w:rsidP="000B12BC">
      <w:pPr>
        <w:spacing w:after="0" w:line="480" w:lineRule="auto"/>
        <w:ind w:left="360" w:hanging="360"/>
      </w:pPr>
    </w:p>
    <w:p w14:paraId="665F7DB3" w14:textId="77777777" w:rsidR="000B12BC" w:rsidRDefault="000B12BC" w:rsidP="000B12BC">
      <w:pPr>
        <w:spacing w:after="0" w:line="480" w:lineRule="auto"/>
        <w:ind w:left="360" w:hanging="360"/>
      </w:pPr>
    </w:p>
    <w:p w14:paraId="1BF5CA81" w14:textId="77777777" w:rsidR="000B12BC" w:rsidRDefault="000B12BC" w:rsidP="000B12BC">
      <w:pPr>
        <w:spacing w:after="0" w:line="480" w:lineRule="auto"/>
        <w:ind w:left="360" w:hanging="360"/>
      </w:pPr>
    </w:p>
    <w:p w14:paraId="593ABEB3" w14:textId="23D7B24D" w:rsidR="00C55C27" w:rsidRDefault="00154CAC" w:rsidP="000B12BC">
      <w:pPr>
        <w:spacing w:before="240" w:after="240" w:line="480" w:lineRule="auto"/>
      </w:pPr>
      <w:r>
        <w:rPr>
          <w:b/>
        </w:rPr>
        <w:t xml:space="preserve">Box </w:t>
      </w:r>
      <w:r w:rsidR="00A9357C">
        <w:rPr>
          <w:b/>
        </w:rPr>
        <w:t>2</w:t>
      </w:r>
      <w:r>
        <w:rPr>
          <w:b/>
        </w:rPr>
        <w:t xml:space="preserve">. </w:t>
      </w:r>
      <w:r>
        <w:t>Definitions of key terms.</w:t>
      </w:r>
    </w:p>
    <w:p w14:paraId="3DB2C9CB" w14:textId="77777777" w:rsidR="00C55C27" w:rsidRDefault="00154CAC" w:rsidP="000B12BC">
      <w:pPr>
        <w:spacing w:after="0" w:line="480" w:lineRule="auto"/>
        <w:ind w:left="360" w:hanging="360"/>
        <w:rPr>
          <w:b/>
        </w:rPr>
      </w:pPr>
      <w:r>
        <w:rPr>
          <w:b/>
        </w:rPr>
        <w:t xml:space="preserve">Application programming interface (API): </w:t>
      </w:r>
      <w:r>
        <w:t>a set of software protocols that enables two applications to exchange information.</w:t>
      </w:r>
    </w:p>
    <w:p w14:paraId="0EF458C0" w14:textId="34238D7E" w:rsidR="00C55C27" w:rsidRDefault="00154CAC" w:rsidP="000B12BC">
      <w:pPr>
        <w:spacing w:after="0" w:line="480" w:lineRule="auto"/>
        <w:ind w:left="360" w:hanging="360"/>
        <w:rPr>
          <w:b/>
        </w:rPr>
      </w:pPr>
      <w:r>
        <w:rPr>
          <w:b/>
        </w:rPr>
        <w:t>Artificial Intelligence</w:t>
      </w:r>
      <w:r w:rsidR="00C60F9F">
        <w:rPr>
          <w:b/>
        </w:rPr>
        <w:t xml:space="preserve"> (AI)</w:t>
      </w:r>
      <w:r>
        <w:rPr>
          <w:b/>
        </w:rPr>
        <w:t xml:space="preserve">: </w:t>
      </w:r>
      <w:r>
        <w:t>the science and engineering underlying the development of intelligent machines, especially computer programs or robots. AI encompasses approaches including machine reasoning, semantic annotation, machine learning, and others (see Russell and Norvig, 2020).</w:t>
      </w:r>
    </w:p>
    <w:p w14:paraId="4EFD75B9" w14:textId="77777777" w:rsidR="00C55C27" w:rsidRDefault="00154CAC" w:rsidP="000B12BC">
      <w:pPr>
        <w:spacing w:after="0" w:line="480" w:lineRule="auto"/>
        <w:ind w:left="360" w:hanging="360"/>
      </w:pPr>
      <w:r>
        <w:rPr>
          <w:b/>
        </w:rPr>
        <w:t xml:space="preserve">CARE Principles: </w:t>
      </w:r>
      <w:r>
        <w:t>Principles for Indigenous Data Governance (Carroll et al., 2020), encompassing:</w:t>
      </w:r>
    </w:p>
    <w:p w14:paraId="6C9A07FB" w14:textId="77777777" w:rsidR="00C55C27" w:rsidRDefault="00154CAC" w:rsidP="000B12BC">
      <w:pPr>
        <w:spacing w:after="0" w:line="480" w:lineRule="auto"/>
        <w:ind w:left="360" w:hanging="360"/>
      </w:pPr>
      <w:r>
        <w:rPr>
          <w:b/>
        </w:rPr>
        <w:tab/>
        <w:t>Collective benefit</w:t>
      </w:r>
      <w:r>
        <w:t>: benefits “for Indigenous Peoples to achieve inclusive development and innovation, improve governance and citizen engagement, and realize equitable outcomes.”</w:t>
      </w:r>
    </w:p>
    <w:p w14:paraId="6C3116DA" w14:textId="77777777" w:rsidR="00C55C27" w:rsidRDefault="00154CAC" w:rsidP="000B12BC">
      <w:pPr>
        <w:spacing w:after="0" w:line="480" w:lineRule="auto"/>
        <w:ind w:left="360"/>
      </w:pPr>
      <w:r>
        <w:rPr>
          <w:b/>
        </w:rPr>
        <w:t>Authority to control</w:t>
      </w:r>
      <w:r>
        <w:t xml:space="preserve">: Indigenous determination of “data governance protocols (and)… stewardship decisions for Indigenous data that are held by other entities.” </w:t>
      </w:r>
    </w:p>
    <w:p w14:paraId="32468DFA" w14:textId="77777777" w:rsidR="00C55C27" w:rsidRDefault="00154CAC" w:rsidP="000B12BC">
      <w:pPr>
        <w:spacing w:after="0" w:line="480" w:lineRule="auto"/>
        <w:ind w:left="360"/>
      </w:pPr>
      <w:r>
        <w:rPr>
          <w:b/>
        </w:rPr>
        <w:t>Responsibility</w:t>
      </w:r>
      <w:r>
        <w:t>: by non-Indigenous researchers to “nurture respectful relationships with Indigenous Peoples from whom the data originate… (including) investing in capacity development, increasing community data capabilities, and embedding data within Indigenous languages and cultures.”</w:t>
      </w:r>
    </w:p>
    <w:p w14:paraId="57C16F22" w14:textId="77777777" w:rsidR="00C55C27" w:rsidRDefault="00154CAC" w:rsidP="000B12BC">
      <w:pPr>
        <w:spacing w:after="0" w:line="480" w:lineRule="auto"/>
        <w:ind w:left="360"/>
      </w:pPr>
      <w:r>
        <w:rPr>
          <w:b/>
        </w:rPr>
        <w:t>Ethics</w:t>
      </w:r>
      <w:r>
        <w:t>: accounting for Indigenous rights and wellbeing “to minimize harm, maximize benefits, promote justice, and allow for future use.”</w:t>
      </w:r>
    </w:p>
    <w:p w14:paraId="181FC3E3" w14:textId="5E109A5E" w:rsidR="008E4D07" w:rsidRPr="0046129F" w:rsidRDefault="00924F70" w:rsidP="000B12BC">
      <w:pPr>
        <w:spacing w:after="0" w:line="480" w:lineRule="auto"/>
        <w:ind w:left="360" w:hanging="360"/>
        <w:rPr>
          <w:rFonts w:asciiTheme="majorHAnsi" w:hAnsiTheme="majorHAnsi" w:cstheme="majorHAnsi"/>
        </w:rPr>
      </w:pPr>
      <w:r w:rsidRPr="00924F70">
        <w:rPr>
          <w:b/>
          <w:bCs/>
        </w:rPr>
        <w:lastRenderedPageBreak/>
        <w:t>Classification/typology</w:t>
      </w:r>
      <w:r>
        <w:t xml:space="preserve">: </w:t>
      </w:r>
      <w:r w:rsidR="008E4D07" w:rsidRPr="0046129F">
        <w:rPr>
          <w:rFonts w:asciiTheme="majorHAnsi" w:hAnsiTheme="majorHAnsi" w:cstheme="majorHAnsi"/>
          <w:color w:val="444746"/>
          <w:spacing w:val="3"/>
          <w:shd w:val="clear" w:color="auto" w:fill="FFFFFF"/>
        </w:rPr>
        <w:t>The organi</w:t>
      </w:r>
      <w:r w:rsidR="00030FDE" w:rsidRPr="0046129F">
        <w:rPr>
          <w:rFonts w:asciiTheme="majorHAnsi" w:hAnsiTheme="majorHAnsi" w:cstheme="majorHAnsi"/>
          <w:color w:val="444746"/>
          <w:spacing w:val="3"/>
          <w:shd w:val="clear" w:color="auto" w:fill="FFFFFF"/>
        </w:rPr>
        <w:t>z</w:t>
      </w:r>
      <w:r w:rsidR="008E4D07" w:rsidRPr="0046129F">
        <w:rPr>
          <w:rFonts w:asciiTheme="majorHAnsi" w:hAnsiTheme="majorHAnsi" w:cstheme="majorHAnsi"/>
          <w:color w:val="444746"/>
          <w:spacing w:val="3"/>
          <w:shd w:val="clear" w:color="auto" w:fill="FFFFFF"/>
        </w:rPr>
        <w:t xml:space="preserve">ation of elements </w:t>
      </w:r>
      <w:r w:rsidR="00030FDE" w:rsidRPr="0046129F">
        <w:rPr>
          <w:rFonts w:asciiTheme="majorHAnsi" w:hAnsiTheme="majorHAnsi" w:cstheme="majorHAnsi"/>
          <w:color w:val="444746"/>
          <w:spacing w:val="3"/>
          <w:shd w:val="clear" w:color="auto" w:fill="FFFFFF"/>
        </w:rPr>
        <w:t xml:space="preserve">by grouping them </w:t>
      </w:r>
      <w:r w:rsidR="008E4D07" w:rsidRPr="0046129F">
        <w:rPr>
          <w:rFonts w:asciiTheme="majorHAnsi" w:hAnsiTheme="majorHAnsi" w:cstheme="majorHAnsi"/>
          <w:color w:val="444746"/>
          <w:spacing w:val="3"/>
          <w:shd w:val="clear" w:color="auto" w:fill="FFFFFF"/>
        </w:rPr>
        <w:t xml:space="preserve">together in </w:t>
      </w:r>
      <w:r w:rsidR="004B12BF" w:rsidRPr="0046129F">
        <w:rPr>
          <w:rFonts w:asciiTheme="majorHAnsi" w:hAnsiTheme="majorHAnsi" w:cstheme="majorHAnsi"/>
          <w:color w:val="444746"/>
          <w:spacing w:val="3"/>
          <w:shd w:val="clear" w:color="auto" w:fill="FFFFFF"/>
        </w:rPr>
        <w:t xml:space="preserve">mutually exclusive </w:t>
      </w:r>
      <w:r w:rsidR="008E4D07" w:rsidRPr="0046129F">
        <w:rPr>
          <w:rFonts w:asciiTheme="majorHAnsi" w:hAnsiTheme="majorHAnsi" w:cstheme="majorHAnsi"/>
          <w:color w:val="444746"/>
          <w:spacing w:val="3"/>
          <w:shd w:val="clear" w:color="auto" w:fill="FFFFFF"/>
        </w:rPr>
        <w:t xml:space="preserve">classes based on </w:t>
      </w:r>
      <w:r w:rsidR="00030FDE" w:rsidRPr="0046129F">
        <w:rPr>
          <w:rFonts w:asciiTheme="majorHAnsi" w:hAnsiTheme="majorHAnsi" w:cstheme="majorHAnsi"/>
          <w:color w:val="444746"/>
          <w:spacing w:val="3"/>
          <w:shd w:val="clear" w:color="auto" w:fill="FFFFFF"/>
        </w:rPr>
        <w:t>shared</w:t>
      </w:r>
      <w:r w:rsidR="008E4D07" w:rsidRPr="0046129F">
        <w:rPr>
          <w:rFonts w:asciiTheme="majorHAnsi" w:hAnsiTheme="majorHAnsi" w:cstheme="majorHAnsi"/>
          <w:color w:val="444746"/>
          <w:spacing w:val="3"/>
          <w:shd w:val="clear" w:color="auto" w:fill="FFFFFF"/>
        </w:rPr>
        <w:t xml:space="preserve"> properties</w:t>
      </w:r>
      <w:r w:rsidR="00030FDE" w:rsidRPr="0046129F">
        <w:rPr>
          <w:rFonts w:asciiTheme="majorHAnsi" w:hAnsiTheme="majorHAnsi" w:cstheme="majorHAnsi"/>
          <w:color w:val="444746"/>
          <w:spacing w:val="3"/>
          <w:shd w:val="clear" w:color="auto" w:fill="FFFFFF"/>
        </w:rPr>
        <w:t xml:space="preserve"> or other parameters.</w:t>
      </w:r>
    </w:p>
    <w:p w14:paraId="32D157D9" w14:textId="48DE316E" w:rsidR="00C55C27" w:rsidRDefault="00154CAC" w:rsidP="000B12BC">
      <w:pPr>
        <w:spacing w:after="0" w:line="480" w:lineRule="auto"/>
        <w:ind w:left="360" w:hanging="360"/>
      </w:pPr>
      <w:r w:rsidRPr="00924F70">
        <w:rPr>
          <w:b/>
          <w:bCs/>
        </w:rPr>
        <w:t>Concept</w:t>
      </w:r>
      <w:r>
        <w:t>: Abstractions, i.e.</w:t>
      </w:r>
      <w:r w:rsidR="00BA46F4">
        <w:t>, describing a</w:t>
      </w:r>
      <w:r>
        <w:t xml:space="preserve"> class/type, that represent instances</w:t>
      </w:r>
      <w:r w:rsidR="00BA46F4">
        <w:t xml:space="preserve"> of an entity</w:t>
      </w:r>
      <w:r>
        <w:t>. This is a very general definition of “concept</w:t>
      </w:r>
      <w:r w:rsidR="00BA46F4">
        <w:t>,</w:t>
      </w:r>
      <w:r>
        <w:t xml:space="preserve">” for further </w:t>
      </w:r>
      <w:r w:rsidR="00BA46F4">
        <w:t>detail, see Margolis and Laurence (2023)</w:t>
      </w:r>
      <w:r>
        <w:t xml:space="preserve">. </w:t>
      </w:r>
    </w:p>
    <w:p w14:paraId="2423FA46" w14:textId="77777777" w:rsidR="00C55C27" w:rsidRDefault="00154CAC" w:rsidP="000B12BC">
      <w:pPr>
        <w:spacing w:after="0" w:line="480" w:lineRule="auto"/>
        <w:ind w:left="360" w:hanging="360"/>
        <w:rPr>
          <w:b/>
        </w:rPr>
      </w:pPr>
      <w:r>
        <w:rPr>
          <w:b/>
        </w:rPr>
        <w:t xml:space="preserve">Containerization: </w:t>
      </w:r>
      <w:r>
        <w:t>the integration of computer code with all necessary software dependencies and operating system, which enables it to be executed in an isolated manner on any computer system.</w:t>
      </w:r>
    </w:p>
    <w:p w14:paraId="13450C20" w14:textId="77777777" w:rsidR="00C55C27" w:rsidRDefault="00154CAC" w:rsidP="000B12BC">
      <w:pPr>
        <w:spacing w:after="0" w:line="480" w:lineRule="auto"/>
        <w:ind w:left="360" w:hanging="360"/>
      </w:pPr>
      <w:r>
        <w:rPr>
          <w:b/>
        </w:rPr>
        <w:t xml:space="preserve">Controlled vocabulary: </w:t>
      </w:r>
      <w:r>
        <w:t>a set of</w:t>
      </w:r>
      <w:r>
        <w:rPr>
          <w:b/>
        </w:rPr>
        <w:t xml:space="preserve"> </w:t>
      </w:r>
      <w:r>
        <w:t>predefined terms to describe information, allowing for its retrieval.</w:t>
      </w:r>
    </w:p>
    <w:p w14:paraId="207047AB" w14:textId="68628221" w:rsidR="00924F70" w:rsidRPr="00924F70" w:rsidRDefault="00924F70" w:rsidP="000B12BC">
      <w:pPr>
        <w:spacing w:after="0" w:line="480" w:lineRule="auto"/>
        <w:ind w:left="360" w:hanging="360"/>
        <w:rPr>
          <w:bCs/>
        </w:rPr>
      </w:pPr>
      <w:r w:rsidRPr="00924F70">
        <w:rPr>
          <w:b/>
        </w:rPr>
        <w:t>Crosswalk</w:t>
      </w:r>
      <w:r>
        <w:rPr>
          <w:bCs/>
        </w:rPr>
        <w:t xml:space="preserve">: </w:t>
      </w:r>
      <w:r w:rsidR="00CA0615">
        <w:rPr>
          <w:bCs/>
        </w:rPr>
        <w:t xml:space="preserve">Practices to facilitate translation between different </w:t>
      </w:r>
      <w:r w:rsidR="0029341E">
        <w:rPr>
          <w:bCs/>
        </w:rPr>
        <w:t xml:space="preserve">semantic resources (e.g., </w:t>
      </w:r>
      <w:r w:rsidR="008E4D07">
        <w:rPr>
          <w:bCs/>
        </w:rPr>
        <w:t>classifications).</w:t>
      </w:r>
    </w:p>
    <w:p w14:paraId="5AEEE00B" w14:textId="77777777" w:rsidR="00C55C27" w:rsidRDefault="00154CAC" w:rsidP="000B12BC">
      <w:pPr>
        <w:spacing w:after="0" w:line="480" w:lineRule="auto"/>
        <w:ind w:left="360" w:hanging="360"/>
      </w:pPr>
      <w:r>
        <w:rPr>
          <w:b/>
        </w:rPr>
        <w:t>Decision rule:</w:t>
      </w:r>
      <w:r>
        <w:t xml:space="preserve"> In the context of this paper, the specification of appropriate conditions under which scientific knowledge about ES can effectively be reused, expressed in a human- and machine-readable manner. Decision rules can act as guardrails against the improper reuse of knowledge.</w:t>
      </w:r>
    </w:p>
    <w:p w14:paraId="1915FD96" w14:textId="307E25C9" w:rsidR="00C55C27" w:rsidRDefault="00154CAC" w:rsidP="000B12BC">
      <w:pPr>
        <w:spacing w:after="0" w:line="480" w:lineRule="auto"/>
        <w:ind w:left="360" w:hanging="360"/>
      </w:pPr>
      <w:r w:rsidRPr="00924F70">
        <w:rPr>
          <w:b/>
          <w:bCs/>
        </w:rPr>
        <w:t>Definition</w:t>
      </w:r>
      <w:r>
        <w:t xml:space="preserve">: </w:t>
      </w:r>
      <w:r w:rsidR="003B33E6">
        <w:t xml:space="preserve">The meaning </w:t>
      </w:r>
      <w:r>
        <w:t>of a certain entity</w:t>
      </w:r>
      <w:r w:rsidR="00264048">
        <w:t xml:space="preserve"> (</w:t>
      </w:r>
      <w:r w:rsidR="00BA46F4">
        <w:t>a simplified definition</w:t>
      </w:r>
      <w:r w:rsidR="003B33E6">
        <w:t xml:space="preserve">; </w:t>
      </w:r>
      <w:r w:rsidR="00BA46F4">
        <w:t>for further detail, see Gupta and Mackereth</w:t>
      </w:r>
      <w:r w:rsidR="003B33E6">
        <w:t>,</w:t>
      </w:r>
      <w:r w:rsidR="00BA46F4">
        <w:t xml:space="preserve"> 2023).</w:t>
      </w:r>
    </w:p>
    <w:p w14:paraId="7BAE1311" w14:textId="1F649CB2" w:rsidR="00C55C27" w:rsidRDefault="00154CAC" w:rsidP="000B12BC">
      <w:pPr>
        <w:spacing w:after="0" w:line="480" w:lineRule="auto"/>
        <w:ind w:left="360" w:hanging="360"/>
        <w:rPr>
          <w:b/>
        </w:rPr>
      </w:pPr>
      <w:r>
        <w:rPr>
          <w:b/>
        </w:rPr>
        <w:t xml:space="preserve">Ecosystem service accounting: </w:t>
      </w:r>
      <w:r>
        <w:t>for the purpose of this paper,</w:t>
      </w:r>
      <w:r>
        <w:rPr>
          <w:b/>
        </w:rPr>
        <w:t xml:space="preserve"> </w:t>
      </w:r>
      <w:r>
        <w:t>approaches that use accounting rules to structure information on ES (e.g., U.N.</w:t>
      </w:r>
      <w:r w:rsidR="00E01346">
        <w:t>,</w:t>
      </w:r>
      <w:r>
        <w:t xml:space="preserve"> 2021). </w:t>
      </w:r>
    </w:p>
    <w:p w14:paraId="601E807D" w14:textId="77777777" w:rsidR="00C55C27" w:rsidRDefault="00154CAC" w:rsidP="000B12BC">
      <w:pPr>
        <w:spacing w:after="0" w:line="480" w:lineRule="auto"/>
        <w:ind w:left="360" w:hanging="360"/>
      </w:pPr>
      <w:r>
        <w:rPr>
          <w:b/>
        </w:rPr>
        <w:t xml:space="preserve">Ecosystem service assessment: </w:t>
      </w:r>
      <w:r>
        <w:t>for the purpose of this paper, studies that quantify ES in relative, physical, and/or monetary terms using qualitative, semiquantitative, or quantitative methods.</w:t>
      </w:r>
    </w:p>
    <w:p w14:paraId="0D342B6E" w14:textId="77777777" w:rsidR="00C55C27" w:rsidRDefault="00154CAC" w:rsidP="000B12BC">
      <w:pPr>
        <w:spacing w:after="0" w:line="480" w:lineRule="auto"/>
        <w:ind w:left="360" w:hanging="360"/>
      </w:pPr>
      <w:r>
        <w:rPr>
          <w:b/>
        </w:rPr>
        <w:t xml:space="preserve">Ecosystem service monitoring: </w:t>
      </w:r>
      <w:r>
        <w:t>for the purpose of this paper,</w:t>
      </w:r>
      <w:r>
        <w:rPr>
          <w:b/>
        </w:rPr>
        <w:t xml:space="preserve"> </w:t>
      </w:r>
      <w:r>
        <w:t>approaches that use repeated measurement or modeling of ES to track changes in ES over time.</w:t>
      </w:r>
    </w:p>
    <w:p w14:paraId="2572E3A5" w14:textId="77777777" w:rsidR="00C55C27" w:rsidRDefault="00154CAC" w:rsidP="000B12BC">
      <w:pPr>
        <w:spacing w:after="0" w:line="480" w:lineRule="auto"/>
        <w:ind w:left="360" w:hanging="360"/>
      </w:pPr>
      <w:r>
        <w:rPr>
          <w:b/>
        </w:rPr>
        <w:t xml:space="preserve">FAIR Principles: </w:t>
      </w:r>
      <w:r>
        <w:t>guidance for the curation, management, and reuse of scientific data, models, software, and workflows understandable for humans and machines, encompassing:</w:t>
      </w:r>
    </w:p>
    <w:p w14:paraId="4393EBC3" w14:textId="77777777" w:rsidR="00C55C27" w:rsidRDefault="00154CAC" w:rsidP="000B12BC">
      <w:pPr>
        <w:spacing w:after="0" w:line="480" w:lineRule="auto"/>
        <w:ind w:left="360" w:hanging="360"/>
      </w:pPr>
      <w:r>
        <w:rPr>
          <w:b/>
        </w:rPr>
        <w:tab/>
        <w:t xml:space="preserve">Findability: </w:t>
      </w:r>
      <w:r>
        <w:t>the ability to locate or discover, scientific knowledge by humans or machines</w:t>
      </w:r>
      <w:r>
        <w:rPr>
          <w:b/>
        </w:rPr>
        <w:t>.</w:t>
      </w:r>
    </w:p>
    <w:p w14:paraId="1CC861DF" w14:textId="77777777" w:rsidR="00C55C27" w:rsidRDefault="00154CAC" w:rsidP="000B12BC">
      <w:pPr>
        <w:spacing w:after="0" w:line="480" w:lineRule="auto"/>
        <w:ind w:left="360" w:hanging="360"/>
      </w:pPr>
      <w:r>
        <w:rPr>
          <w:b/>
        </w:rPr>
        <w:lastRenderedPageBreak/>
        <w:tab/>
        <w:t xml:space="preserve">Accessibility: </w:t>
      </w:r>
      <w:r>
        <w:t>the ability to access scientific knowledge, “possibly including authentication and authorization” (GO FAIR, 2024).</w:t>
      </w:r>
    </w:p>
    <w:p w14:paraId="4E5F6D2C" w14:textId="77777777" w:rsidR="00C55C27" w:rsidRDefault="00154CAC" w:rsidP="000B12BC">
      <w:pPr>
        <w:spacing w:after="0" w:line="480" w:lineRule="auto"/>
        <w:ind w:left="360" w:hanging="360"/>
        <w:rPr>
          <w:b/>
        </w:rPr>
      </w:pPr>
      <w:r>
        <w:rPr>
          <w:b/>
        </w:rPr>
        <w:tab/>
        <w:t xml:space="preserve">Interoperability: </w:t>
      </w:r>
      <w:r>
        <w:t>“the ability of data or tools from independent resources to integrate or work together with minimal effort (Wilkinson et al. 2016). Interoperability can be achieved with compatible data formats and communication protocols (syntactic interoperability) or data transfers where a receiving system can properly identify the meaning of exchanged data, reusing it appropriately (semantic interoperability, (Heiler 1995)).” (Balbi et al., 2022)</w:t>
      </w:r>
    </w:p>
    <w:p w14:paraId="3DEBFD90" w14:textId="77777777" w:rsidR="00C55C27" w:rsidRDefault="00154CAC" w:rsidP="000B12BC">
      <w:pPr>
        <w:spacing w:after="0" w:line="480" w:lineRule="auto"/>
        <w:ind w:left="360" w:hanging="360"/>
      </w:pPr>
      <w:r>
        <w:rPr>
          <w:b/>
        </w:rPr>
        <w:tab/>
        <w:t xml:space="preserve">Reusability: </w:t>
      </w:r>
      <w:r>
        <w:t>the ability to enable scientific knowledge to be “replicated and/or combined in different settings” (GO FAIR, 2024).</w:t>
      </w:r>
    </w:p>
    <w:p w14:paraId="216B4938" w14:textId="77777777" w:rsidR="00C55C27" w:rsidRDefault="00154CAC" w:rsidP="000B12BC">
      <w:pPr>
        <w:spacing w:after="0" w:line="480" w:lineRule="auto"/>
        <w:ind w:left="360" w:hanging="360"/>
      </w:pPr>
      <w:r>
        <w:rPr>
          <w:b/>
        </w:rPr>
        <w:t xml:space="preserve">Inference: </w:t>
      </w:r>
      <w:r>
        <w:t>the use of evidence to draw a conclusion.</w:t>
      </w:r>
    </w:p>
    <w:p w14:paraId="2BE49CE5" w14:textId="77777777" w:rsidR="00C55C27" w:rsidRDefault="00154CAC" w:rsidP="000B12BC">
      <w:pPr>
        <w:spacing w:after="0" w:line="480" w:lineRule="auto"/>
        <w:ind w:left="360" w:hanging="360"/>
      </w:pPr>
      <w:r>
        <w:rPr>
          <w:b/>
        </w:rPr>
        <w:t xml:space="preserve">Knowledge base: </w:t>
      </w:r>
      <w:r>
        <w:t>any machine-readable collection of annotated and organized information, which can include semantics as applied to data, models, and associated scientific knowledge (Villa et al., 2009).</w:t>
      </w:r>
    </w:p>
    <w:p w14:paraId="7C63D5D4" w14:textId="77777777" w:rsidR="00C55C27" w:rsidRDefault="00154CAC" w:rsidP="000B12BC">
      <w:pPr>
        <w:spacing w:after="0" w:line="480" w:lineRule="auto"/>
        <w:ind w:left="360" w:hanging="360"/>
      </w:pPr>
      <w:r>
        <w:rPr>
          <w:b/>
        </w:rPr>
        <w:t xml:space="preserve">Knowledge engineering: </w:t>
      </w:r>
      <w:r>
        <w:t xml:space="preserve">an AI field dedicated to the representation, management, and adoption of knowledge.     </w:t>
      </w:r>
    </w:p>
    <w:p w14:paraId="1D0F21A6" w14:textId="77777777" w:rsidR="00C55C27" w:rsidRDefault="00154CAC" w:rsidP="000B12BC">
      <w:pPr>
        <w:spacing w:after="0" w:line="480" w:lineRule="auto"/>
        <w:ind w:left="360" w:hanging="360"/>
        <w:rPr>
          <w:b/>
        </w:rPr>
      </w:pPr>
      <w:r>
        <w:rPr>
          <w:b/>
        </w:rPr>
        <w:t xml:space="preserve">Machine actionability: </w:t>
      </w:r>
      <w:r>
        <w:t>“information that is structured in a consistent way so that machines, or computers, can be programmed against the structure” (DDI Alliance, 2024). Often interpreted as the use of FAIR knowledge by machines and used synonymously with “machine readability.”</w:t>
      </w:r>
    </w:p>
    <w:p w14:paraId="688AAC0D" w14:textId="77777777" w:rsidR="00C55C27" w:rsidRDefault="00154CAC" w:rsidP="000B12BC">
      <w:pPr>
        <w:spacing w:after="0" w:line="480" w:lineRule="auto"/>
        <w:ind w:left="360" w:hanging="360"/>
        <w:rPr>
          <w:b/>
        </w:rPr>
      </w:pPr>
      <w:r>
        <w:rPr>
          <w:b/>
        </w:rPr>
        <w:t xml:space="preserve">Machine learning: </w:t>
      </w:r>
      <w:r>
        <w:t>the use of various algorithms to uncover patterns</w:t>
      </w:r>
      <w:r>
        <w:rPr>
          <w:b/>
        </w:rPr>
        <w:t xml:space="preserve"> </w:t>
      </w:r>
      <w:r>
        <w:t>(e.g., regression, classification, or clustering) in large datasets. Machine learning is currently the most widely used form of AI (see Mitchell, 1997).</w:t>
      </w:r>
    </w:p>
    <w:p w14:paraId="2AF76B41" w14:textId="77777777" w:rsidR="00C55C27" w:rsidRDefault="00154CAC" w:rsidP="000B12BC">
      <w:pPr>
        <w:spacing w:after="0" w:line="480" w:lineRule="auto"/>
        <w:ind w:left="360" w:hanging="360"/>
      </w:pPr>
      <w:r>
        <w:rPr>
          <w:b/>
        </w:rPr>
        <w:t xml:space="preserve">Machine reasoning: (i.e., machine-operated logical inference using formalized semantics): </w:t>
      </w:r>
      <w:r>
        <w:t xml:space="preserve">“applied to a semantically annotated knowledge base, </w:t>
      </w:r>
      <w:bookmarkStart w:id="14" w:name="_Hlk177373941"/>
      <w:r>
        <w:t xml:space="preserve">machine reasoning can support automated validation and linking of data and models using logic to assemble them into useful structures for computation. </w:t>
      </w:r>
      <w:r>
        <w:lastRenderedPageBreak/>
        <w:t>Reasoning systems can tackle new problems and build higher-level knowledge using deductive and inductive reasoning</w:t>
      </w:r>
      <w:bookmarkEnd w:id="14"/>
      <w:r>
        <w:t>.” (Balbi et al., 2022)</w:t>
      </w:r>
    </w:p>
    <w:p w14:paraId="07585951" w14:textId="216D6418" w:rsidR="00C55C27" w:rsidRDefault="00154CAC" w:rsidP="000B12BC">
      <w:pPr>
        <w:spacing w:after="0" w:line="480" w:lineRule="auto"/>
        <w:ind w:left="360" w:hanging="360"/>
      </w:pPr>
      <w:r>
        <w:rPr>
          <w:b/>
        </w:rPr>
        <w:t>Ontology:</w:t>
      </w:r>
      <w:r>
        <w:t xml:space="preserve"> systematic descriptions of concepts, entities, and relationship</w:t>
      </w:r>
      <w:r w:rsidR="00591CEA">
        <w:t>s</w:t>
      </w:r>
      <w:r>
        <w:t xml:space="preserve"> between them, which are logically consistent and fully descriptive.</w:t>
      </w:r>
    </w:p>
    <w:p w14:paraId="6367344B" w14:textId="3CCA00AA" w:rsidR="00C55C27" w:rsidRDefault="00154CAC" w:rsidP="000B12BC">
      <w:pPr>
        <w:spacing w:after="0" w:line="480" w:lineRule="auto"/>
        <w:ind w:left="360"/>
      </w:pPr>
      <w:r>
        <w:rPr>
          <w:b/>
        </w:rPr>
        <w:t xml:space="preserve">Domain ontology: </w:t>
      </w:r>
      <w:r>
        <w:t>ontologies represent</w:t>
      </w:r>
      <w:r w:rsidR="00B95E74">
        <w:t>ing</w:t>
      </w:r>
      <w:r>
        <w:t xml:space="preserve"> relevant elements of a specific scientific field (e.g., hydrology, economics, biology).</w:t>
      </w:r>
    </w:p>
    <w:p w14:paraId="094E001C" w14:textId="77777777" w:rsidR="00C55C27" w:rsidRDefault="00154CAC" w:rsidP="000B12BC">
      <w:pPr>
        <w:spacing w:after="0" w:line="480" w:lineRule="auto"/>
        <w:ind w:left="360"/>
      </w:pPr>
      <w:r>
        <w:rPr>
          <w:b/>
        </w:rPr>
        <w:t>Core ontology:</w:t>
      </w:r>
      <w:r>
        <w:t xml:space="preserve"> “mid-level ontologies” that serve as a conceptual bridge between upper-level ontologies and multiple domain-specific ontologies (Obrst, 2010).</w:t>
      </w:r>
    </w:p>
    <w:p w14:paraId="1066E401" w14:textId="7A979D78" w:rsidR="00C55C27" w:rsidRDefault="00154CAC" w:rsidP="000B12BC">
      <w:pPr>
        <w:spacing w:after="0" w:line="480" w:lineRule="auto"/>
        <w:ind w:left="360"/>
      </w:pPr>
      <w:r>
        <w:rPr>
          <w:b/>
        </w:rPr>
        <w:t xml:space="preserve">Upper-level ontology: </w:t>
      </w:r>
      <w:r>
        <w:t xml:space="preserve">a domain-independent ontology that defines the most general entities (e.g., events, processes, time, space) and relationships between them. </w:t>
      </w:r>
      <w:r w:rsidR="003866AA">
        <w:t>Typically,</w:t>
      </w:r>
      <w:r>
        <w:t xml:space="preserve"> upper ontologies assume a specific philosophical view on reality and the elements </w:t>
      </w:r>
      <w:r w:rsidR="009A1519">
        <w:t xml:space="preserve">composing </w:t>
      </w:r>
      <w:r>
        <w:t>it. Examples of upper-level ontologies are BFO (Otte et al., 2022) and DOLCE (Borgo et al., 2022).</w:t>
      </w:r>
    </w:p>
    <w:p w14:paraId="5645A5D2" w14:textId="77777777" w:rsidR="00C55C27" w:rsidRDefault="00154CAC" w:rsidP="000B12BC">
      <w:pPr>
        <w:spacing w:after="0" w:line="480" w:lineRule="auto"/>
        <w:ind w:left="360" w:hanging="360"/>
      </w:pPr>
      <w:r>
        <w:rPr>
          <w:b/>
        </w:rPr>
        <w:t xml:space="preserve">Persistent identifier: </w:t>
      </w:r>
      <w:r>
        <w:t>an enduring reference to a person, publication, webpage, or other entity, as opposed to references that may change frequently, such as some internet Uniform Resource Locators (URLs). Examples include Digital Object Identifiers (DOI), Persistent Uniform Resource Locators (PURLs), and Open Researcher and Contributor Identifiers (ORCID).</w:t>
      </w:r>
    </w:p>
    <w:p w14:paraId="48F7509D" w14:textId="77777777" w:rsidR="00C55C27" w:rsidRDefault="00154CAC" w:rsidP="000B12BC">
      <w:pPr>
        <w:spacing w:after="0" w:line="480" w:lineRule="auto"/>
        <w:ind w:left="360" w:hanging="360"/>
      </w:pPr>
      <w:r>
        <w:rPr>
          <w:b/>
        </w:rPr>
        <w:t xml:space="preserve">Provenance: </w:t>
      </w:r>
      <w:r>
        <w:t>in the context of semantic technologies, provenance refers to the origin of information describing how it is created, stored, and modified (see W3C, 2010).</w:t>
      </w:r>
    </w:p>
    <w:p w14:paraId="52DC8361" w14:textId="77777777" w:rsidR="00C55C27" w:rsidRDefault="00154CAC" w:rsidP="000B12BC">
      <w:pPr>
        <w:spacing w:after="0" w:line="480" w:lineRule="auto"/>
        <w:ind w:left="360" w:hanging="360"/>
      </w:pPr>
      <w:r>
        <w:rPr>
          <w:b/>
        </w:rPr>
        <w:t xml:space="preserve">Semantics: </w:t>
      </w:r>
      <w:r>
        <w:t>the attribution of meanings to words or expressions. Semantics often refer to</w:t>
      </w:r>
      <w:r>
        <w:rPr>
          <w:b/>
        </w:rPr>
        <w:t xml:space="preserve"> </w:t>
      </w:r>
      <w:r>
        <w:t>the formalization of meanings in terms of logical declarations and axioms, sometimes translated into formal ontologies</w:t>
      </w:r>
      <w:r>
        <w:rPr>
          <w:i/>
        </w:rPr>
        <w:t xml:space="preserve"> </w:t>
      </w:r>
      <w:r>
        <w:t xml:space="preserve">(which define concepts and the relations between them), breaking meanings into modular components. “Semantic annotation can label scientific data and models with well-defined </w:t>
      </w:r>
      <w:r>
        <w:lastRenderedPageBreak/>
        <w:t>categories linked by clearly bounded logical relationships and can play a key role in knowledge integration” (Balbi, 2022).</w:t>
      </w:r>
    </w:p>
    <w:p w14:paraId="70A9131A" w14:textId="77777777" w:rsidR="00C55C27" w:rsidRDefault="00154CAC" w:rsidP="000B12BC">
      <w:pPr>
        <w:spacing w:after="0" w:line="480" w:lineRule="auto"/>
        <w:ind w:left="360" w:hanging="360"/>
      </w:pPr>
      <w:r>
        <w:rPr>
          <w:b/>
        </w:rPr>
        <w:t>Thesaurus</w:t>
      </w:r>
      <w:r>
        <w:t xml:space="preserve">: a set of terms organized to describe narrower and broader concepts, as well as synonyms and translations between different vocabularies (see Obrst, 2010). </w:t>
      </w:r>
    </w:p>
    <w:p w14:paraId="214EB7BF" w14:textId="497C88ED" w:rsidR="00C55C27" w:rsidRDefault="00154CAC" w:rsidP="000B12BC">
      <w:pPr>
        <w:spacing w:after="0" w:line="480" w:lineRule="auto"/>
        <w:ind w:left="360" w:hanging="360"/>
      </w:pPr>
      <w:r>
        <w:rPr>
          <w:b/>
        </w:rPr>
        <w:t>Taxonomy</w:t>
      </w:r>
      <w:r>
        <w:t xml:space="preserve">: a set of concepts hierarchically organized to express parent-child relationships (Obrst, 2010). </w:t>
      </w:r>
    </w:p>
    <w:p w14:paraId="63EBD20E" w14:textId="77777777" w:rsidR="00C55C27" w:rsidRDefault="00154CAC" w:rsidP="000B12BC">
      <w:pPr>
        <w:spacing w:after="0" w:line="480" w:lineRule="auto"/>
        <w:ind w:left="360" w:hanging="360"/>
      </w:pPr>
      <w:r>
        <w:rPr>
          <w:b/>
        </w:rPr>
        <w:t xml:space="preserve">Version control: </w:t>
      </w:r>
      <w:r>
        <w:t>“the practice of tracking and managing changes to software code,” (Atlassian, 2024) which can be applied to both scientific software and model code.</w:t>
      </w:r>
    </w:p>
    <w:p w14:paraId="68E661B6" w14:textId="77777777" w:rsidR="00C55C27" w:rsidRDefault="00154CAC" w:rsidP="000B12BC">
      <w:pPr>
        <w:spacing w:after="0" w:line="480" w:lineRule="auto"/>
        <w:ind w:left="360" w:hanging="360"/>
      </w:pPr>
      <w:r>
        <w:rPr>
          <w:b/>
        </w:rPr>
        <w:t xml:space="preserve">Web Services: </w:t>
      </w:r>
      <w:r>
        <w:t>a set of software protocols that enable two machines to exchange information over a network. Open Geospatial Consortium Web Services support automated spatial data access and processing.</w:t>
      </w:r>
    </w:p>
    <w:p w14:paraId="693F8245" w14:textId="77777777" w:rsidR="00C55C27" w:rsidRDefault="00C55C27" w:rsidP="000B12BC">
      <w:pPr>
        <w:spacing w:before="240" w:after="240" w:line="480" w:lineRule="auto"/>
        <w:rPr>
          <w:b/>
        </w:rPr>
      </w:pPr>
    </w:p>
    <w:p w14:paraId="6A9D6403" w14:textId="77777777" w:rsidR="000B12BC" w:rsidRDefault="000B12BC" w:rsidP="000B12BC">
      <w:pPr>
        <w:spacing w:before="240" w:after="240" w:line="480" w:lineRule="auto"/>
        <w:rPr>
          <w:b/>
        </w:rPr>
      </w:pPr>
    </w:p>
    <w:p w14:paraId="2CAB4293" w14:textId="77777777" w:rsidR="000B12BC" w:rsidRDefault="000B12BC" w:rsidP="000B12BC">
      <w:pPr>
        <w:spacing w:before="240" w:after="240" w:line="480" w:lineRule="auto"/>
        <w:rPr>
          <w:b/>
        </w:rPr>
      </w:pPr>
    </w:p>
    <w:p w14:paraId="437EA596" w14:textId="77777777" w:rsidR="000B12BC" w:rsidRDefault="000B12BC" w:rsidP="000B12BC">
      <w:pPr>
        <w:spacing w:before="240" w:after="240" w:line="480" w:lineRule="auto"/>
        <w:rPr>
          <w:b/>
        </w:rPr>
      </w:pPr>
    </w:p>
    <w:p w14:paraId="1AC5E4BE" w14:textId="77777777" w:rsidR="000B12BC" w:rsidRDefault="000B12BC" w:rsidP="000B12BC">
      <w:pPr>
        <w:spacing w:before="240" w:after="240" w:line="480" w:lineRule="auto"/>
        <w:rPr>
          <w:b/>
        </w:rPr>
      </w:pPr>
    </w:p>
    <w:p w14:paraId="60EE9888" w14:textId="77777777" w:rsidR="000B12BC" w:rsidRDefault="000B12BC" w:rsidP="000B12BC">
      <w:pPr>
        <w:spacing w:before="240" w:after="240" w:line="480" w:lineRule="auto"/>
        <w:rPr>
          <w:b/>
        </w:rPr>
      </w:pPr>
    </w:p>
    <w:p w14:paraId="76D594CD" w14:textId="77777777" w:rsidR="000B12BC" w:rsidRDefault="000B12BC" w:rsidP="000B12BC">
      <w:pPr>
        <w:spacing w:before="240" w:after="240" w:line="480" w:lineRule="auto"/>
        <w:rPr>
          <w:b/>
        </w:rPr>
      </w:pPr>
    </w:p>
    <w:p w14:paraId="3D9571E3" w14:textId="77777777" w:rsidR="000B12BC" w:rsidRDefault="000B12BC" w:rsidP="000B12BC">
      <w:pPr>
        <w:spacing w:before="240" w:after="240" w:line="480" w:lineRule="auto"/>
        <w:rPr>
          <w:b/>
        </w:rPr>
      </w:pPr>
    </w:p>
    <w:p w14:paraId="5F70DDBF" w14:textId="77777777" w:rsidR="000B12BC" w:rsidRDefault="000B12BC" w:rsidP="000B12BC">
      <w:pPr>
        <w:spacing w:before="240" w:after="240" w:line="480" w:lineRule="auto"/>
        <w:rPr>
          <w:b/>
        </w:rPr>
      </w:pPr>
    </w:p>
    <w:p w14:paraId="36DAE88D" w14:textId="77777777" w:rsidR="000B12BC" w:rsidRDefault="000B12BC" w:rsidP="000B12BC">
      <w:pPr>
        <w:spacing w:before="240" w:after="240" w:line="480" w:lineRule="auto"/>
        <w:rPr>
          <w:b/>
        </w:rPr>
      </w:pPr>
    </w:p>
    <w:p w14:paraId="3BE28111" w14:textId="77777777" w:rsidR="000B12BC" w:rsidRDefault="000B12BC" w:rsidP="000B12BC">
      <w:pPr>
        <w:spacing w:before="240" w:after="240" w:line="480" w:lineRule="auto"/>
        <w:rPr>
          <w:b/>
        </w:rPr>
      </w:pPr>
    </w:p>
    <w:p w14:paraId="765C74BE" w14:textId="77777777" w:rsidR="000B12BC" w:rsidRDefault="000B12BC" w:rsidP="000B12BC">
      <w:pPr>
        <w:spacing w:before="240" w:after="240" w:line="480" w:lineRule="auto"/>
        <w:rPr>
          <w:b/>
        </w:rPr>
      </w:pPr>
    </w:p>
    <w:p w14:paraId="72CD798C" w14:textId="77777777" w:rsidR="000B12BC" w:rsidRDefault="000B12BC" w:rsidP="000B12BC">
      <w:pPr>
        <w:spacing w:before="240" w:after="240" w:line="480" w:lineRule="auto"/>
        <w:rPr>
          <w:b/>
        </w:rPr>
      </w:pPr>
    </w:p>
    <w:p w14:paraId="53997D3D" w14:textId="77777777" w:rsidR="000B12BC" w:rsidRDefault="000B12BC" w:rsidP="000B12BC">
      <w:pPr>
        <w:spacing w:before="240" w:after="240" w:line="480" w:lineRule="auto"/>
        <w:rPr>
          <w:b/>
        </w:rPr>
      </w:pPr>
    </w:p>
    <w:p w14:paraId="4E88359D" w14:textId="77777777" w:rsidR="00612A1A" w:rsidRDefault="00612A1A" w:rsidP="000B12BC">
      <w:pPr>
        <w:spacing w:before="240" w:after="240" w:line="480" w:lineRule="auto"/>
      </w:pPr>
      <w:r>
        <w:rPr>
          <w:b/>
        </w:rPr>
        <w:t xml:space="preserve">Box 3. </w:t>
      </w:r>
      <w:r>
        <w:t>ARIES for SEEA and ARIES-4-PEOPLE: An interoperability-first approach to ecosystem services.</w:t>
      </w:r>
    </w:p>
    <w:p w14:paraId="5A7D9B81" w14:textId="2ACA76F8" w:rsidR="00612A1A" w:rsidRDefault="00612A1A" w:rsidP="000B12BC">
      <w:pPr>
        <w:spacing w:before="240" w:after="240" w:line="480" w:lineRule="auto"/>
      </w:pPr>
      <w:r>
        <w:t>The ARIES Project (Villa et al., 2014) and its underlying open-source k.LAB software platform have been designed from its inception in 2007 to support semantic interoperability (Integrated Modelling Partnership, 2021). k.LAB combines: (1) machine-actionable data and models, (2) semantics to describe interdisciplinary scientific data and models support</w:t>
      </w:r>
      <w:r w:rsidR="00245ED1">
        <w:t>ing</w:t>
      </w:r>
      <w:r>
        <w:t xml:space="preserve"> machine reasoning through ontologies (Villa and Adamo, 2024), which </w:t>
      </w:r>
      <w:r w:rsidR="00245ED1">
        <w:t>can</w:t>
      </w:r>
      <w:r>
        <w:t xml:space="preserve"> (3) describ</w:t>
      </w:r>
      <w:r w:rsidR="002E35D1">
        <w:t>e</w:t>
      </w:r>
      <w:r>
        <w:t xml:space="preserve"> appropriate conditions under which to reuse data and models, enabling (4) a machine reasoning algorithm to select, assemble, and report results and provenance for scientific workflows.</w:t>
      </w:r>
    </w:p>
    <w:p w14:paraId="1FC38B0B" w14:textId="0BA9D0C9" w:rsidR="00612A1A" w:rsidRDefault="00612A1A" w:rsidP="000B12BC">
      <w:pPr>
        <w:spacing w:before="240" w:after="240" w:line="480" w:lineRule="auto"/>
      </w:pPr>
      <w:r>
        <w:t>Among other strategies, ARIES uses Open Geospatial Consortium Web Services to support machine actionability for data (see also Lacayo et al., 2021), as well as modern cloud-optimized technologies, like cloud-optimized GeoTIFFs indexed in Spatiotemporal Asset Catalogs (STAC, 2024). These</w:t>
      </w:r>
      <w:r w:rsidR="003866AA">
        <w:t xml:space="preserve"> strategies</w:t>
      </w:r>
      <w:r>
        <w:t xml:space="preserve"> </w:t>
      </w:r>
      <w:r w:rsidR="003866AA">
        <w:t>enable</w:t>
      </w:r>
      <w:r>
        <w:t xml:space="preserve"> machines to request a specific dataset for a user-specified region and resolution; k.LAB automatically </w:t>
      </w:r>
      <w:r w:rsidR="0092603C">
        <w:t xml:space="preserve">conducts </w:t>
      </w:r>
      <w:r>
        <w:t xml:space="preserve">needed geospatial operations (e.g., reprojection and resampling), unit conversion, and integration with other data and models. </w:t>
      </w:r>
    </w:p>
    <w:p w14:paraId="2BB9DD0B" w14:textId="0B37225A" w:rsidR="00612A1A" w:rsidRDefault="00612A1A" w:rsidP="000B12BC">
      <w:pPr>
        <w:spacing w:before="240" w:after="240" w:line="480" w:lineRule="auto"/>
      </w:pPr>
      <w:r>
        <w:lastRenderedPageBreak/>
        <w:t xml:space="preserve">Data and models in ARIES are semantically annotated in version-controlled projects. This approach balances privacy with transparency through a lifecycle designed to validate projects’ content, enabling data and models to remain private or </w:t>
      </w:r>
      <w:r w:rsidR="006A0017">
        <w:t>shared for public</w:t>
      </w:r>
      <w:r>
        <w:t xml:space="preserve"> use as appropriate (Integrated Modelling Partnership, 2021). By design, k.LAB supports integration of a range of data and model types, from deterministic to probabilistic and machine learning models. </w:t>
      </w:r>
    </w:p>
    <w:p w14:paraId="1461C3BE" w14:textId="2F7111A3" w:rsidR="00612A1A" w:rsidRDefault="00612A1A" w:rsidP="000B12BC">
      <w:pPr>
        <w:spacing w:before="240" w:after="240" w:line="480" w:lineRule="auto"/>
      </w:pPr>
      <w:r>
        <w:t xml:space="preserve">Given SEEA EA’s need to assemble diverse data and models, a partnership between the ARIES Project and the U.N. Statistics Division created a web-based application, ARIES for SEEA (U.N., 2022), to facilitate SEEA EA’s global implementation, and published a strategy document to promote interoperability of SEEA data and models (U.N. et al., 2023). The partnership maintains and extends the application and provides training and support to facilitate customization of SEEA accounts through contribution of interoperable data and models by the research and statistical communities (U.N., 2024). Web applications like ARIES for SEEA enable relatively rapid and user-friendly access to interoperable data and models by a range of stakeholders. </w:t>
      </w:r>
    </w:p>
    <w:p w14:paraId="059F1436" w14:textId="4C579586" w:rsidR="00612A1A" w:rsidRDefault="00612A1A" w:rsidP="000B12BC">
      <w:pPr>
        <w:pBdr>
          <w:top w:val="nil"/>
          <w:left w:val="nil"/>
          <w:bottom w:val="nil"/>
          <w:right w:val="nil"/>
          <w:between w:val="nil"/>
        </w:pBdr>
        <w:spacing w:before="240" w:after="240" w:line="480" w:lineRule="auto"/>
        <w:rPr>
          <w:color w:val="000000"/>
        </w:rPr>
      </w:pPr>
      <w:r>
        <w:rPr>
          <w:color w:val="000000"/>
        </w:rPr>
        <w:t>More recently, the European Space Agency-funded PEOPLE-EA Project has supported creation of computational infrastructure linking ARIES and its k.LAB client API (k.LAB, 2024) with the INCA tool (Buchhorn et al., 2022; see section 3.2) and openEO computational platform (ESA, 2024). This project improve</w:t>
      </w:r>
      <w:r w:rsidR="003D2CC3">
        <w:rPr>
          <w:color w:val="000000"/>
        </w:rPr>
        <w:t>s</w:t>
      </w:r>
      <w:r>
        <w:rPr>
          <w:color w:val="000000"/>
        </w:rPr>
        <w:t xml:space="preserve"> the interoperability of the ARIES and INCA modeling components and their linkage to Earth observation data and SEEA EA data and models. </w:t>
      </w:r>
      <w:r w:rsidR="00BF6343">
        <w:rPr>
          <w:color w:val="000000"/>
        </w:rPr>
        <w:t>Along with</w:t>
      </w:r>
      <w:r>
        <w:rPr>
          <w:color w:val="000000"/>
        </w:rPr>
        <w:t xml:space="preserve"> pilot testing the approach in five European countries, this project adds newly interoperable data and models for forest ecosystem condition (Maes et al. 2023) and soil erosion control (La Notte et al. 2021), enabling their automated assembly and reuse by ARIES in appropriate contexts when compiling SEEA EA accounts. This new system-of-systems environment enables the integration of available Python models with time-series Earth observation products through OpenEO.</w:t>
      </w:r>
    </w:p>
    <w:p w14:paraId="1CE85930" w14:textId="77777777" w:rsidR="00A979B2" w:rsidRDefault="00A979B2" w:rsidP="000B12BC">
      <w:pPr>
        <w:pBdr>
          <w:top w:val="nil"/>
          <w:left w:val="nil"/>
          <w:bottom w:val="nil"/>
          <w:right w:val="nil"/>
          <w:between w:val="nil"/>
        </w:pBdr>
        <w:spacing w:before="240" w:after="240" w:line="480" w:lineRule="auto"/>
        <w:rPr>
          <w:color w:val="000000"/>
        </w:rPr>
      </w:pPr>
    </w:p>
    <w:p w14:paraId="64CFEAD1" w14:textId="77777777" w:rsidR="000B12BC" w:rsidRDefault="000B12BC" w:rsidP="000B12BC">
      <w:pPr>
        <w:pBdr>
          <w:top w:val="nil"/>
          <w:left w:val="nil"/>
          <w:bottom w:val="nil"/>
          <w:right w:val="nil"/>
          <w:between w:val="nil"/>
        </w:pBdr>
        <w:spacing w:before="240" w:after="240" w:line="480" w:lineRule="auto"/>
        <w:rPr>
          <w:color w:val="000000"/>
        </w:rPr>
      </w:pPr>
    </w:p>
    <w:p w14:paraId="39B3D28F" w14:textId="77777777" w:rsidR="000B12BC" w:rsidRDefault="000B12BC" w:rsidP="000B12BC">
      <w:pPr>
        <w:pBdr>
          <w:top w:val="nil"/>
          <w:left w:val="nil"/>
          <w:bottom w:val="nil"/>
          <w:right w:val="nil"/>
          <w:between w:val="nil"/>
        </w:pBdr>
        <w:spacing w:before="240" w:after="240" w:line="480" w:lineRule="auto"/>
        <w:rPr>
          <w:color w:val="000000"/>
        </w:rPr>
      </w:pPr>
    </w:p>
    <w:p w14:paraId="4D1FD09C" w14:textId="77777777" w:rsidR="000B12BC" w:rsidRDefault="000B12BC" w:rsidP="000B12BC">
      <w:pPr>
        <w:pBdr>
          <w:top w:val="nil"/>
          <w:left w:val="nil"/>
          <w:bottom w:val="nil"/>
          <w:right w:val="nil"/>
          <w:between w:val="nil"/>
        </w:pBdr>
        <w:spacing w:before="240" w:after="240" w:line="480" w:lineRule="auto"/>
        <w:rPr>
          <w:color w:val="000000"/>
        </w:rPr>
      </w:pPr>
    </w:p>
    <w:p w14:paraId="71683A07" w14:textId="77777777" w:rsidR="00A979B2" w:rsidRDefault="00A979B2" w:rsidP="000B12BC">
      <w:pPr>
        <w:spacing w:line="480" w:lineRule="auto"/>
      </w:pPr>
      <w:r w:rsidRPr="00885BE1">
        <w:rPr>
          <w:b/>
          <w:bCs/>
        </w:rPr>
        <w:t>Table 1.</w:t>
      </w:r>
      <w:r>
        <w:t xml:space="preserve"> Illustrative approach to achieving interoperability of multiple sediment regulation models using semantics. EU: European Union; NDVI: Normalized Difference Vegetation Index; RUSLE: Revised Universal Soil Loss Equation; RWEQ: Revised Wind Erosion Equation.</w:t>
      </w:r>
    </w:p>
    <w:tbl>
      <w:tblPr>
        <w:tblStyle w:val="TableGrid"/>
        <w:tblW w:w="0" w:type="auto"/>
        <w:tblLook w:val="04A0" w:firstRow="1" w:lastRow="0" w:firstColumn="1" w:lastColumn="0" w:noHBand="0" w:noVBand="1"/>
      </w:tblPr>
      <w:tblGrid>
        <w:gridCol w:w="1726"/>
        <w:gridCol w:w="2960"/>
        <w:gridCol w:w="3158"/>
        <w:gridCol w:w="1506"/>
      </w:tblGrid>
      <w:tr w:rsidR="00A979B2" w14:paraId="2757CD1C" w14:textId="77777777" w:rsidTr="008D1990">
        <w:tc>
          <w:tcPr>
            <w:tcW w:w="1726" w:type="dxa"/>
          </w:tcPr>
          <w:p w14:paraId="468712FB" w14:textId="77777777" w:rsidR="00A979B2" w:rsidRPr="00B04514" w:rsidRDefault="00A979B2" w:rsidP="000B12BC">
            <w:pPr>
              <w:spacing w:line="480" w:lineRule="auto"/>
              <w:rPr>
                <w:b/>
                <w:bCs/>
              </w:rPr>
            </w:pPr>
            <w:r>
              <w:rPr>
                <w:b/>
                <w:bCs/>
              </w:rPr>
              <w:t>Erosion process/ Model</w:t>
            </w:r>
          </w:p>
        </w:tc>
        <w:tc>
          <w:tcPr>
            <w:tcW w:w="3057" w:type="dxa"/>
          </w:tcPr>
          <w:p w14:paraId="46F00B83" w14:textId="77777777" w:rsidR="00A979B2" w:rsidRPr="00B04514" w:rsidRDefault="00A979B2" w:rsidP="000B12BC">
            <w:pPr>
              <w:spacing w:line="480" w:lineRule="auto"/>
              <w:rPr>
                <w:b/>
                <w:bCs/>
              </w:rPr>
            </w:pPr>
            <w:r>
              <w:rPr>
                <w:b/>
                <w:bCs/>
              </w:rPr>
              <w:t>Usage considerations (human-readable)</w:t>
            </w:r>
          </w:p>
        </w:tc>
        <w:tc>
          <w:tcPr>
            <w:tcW w:w="3042" w:type="dxa"/>
          </w:tcPr>
          <w:p w14:paraId="01F682C0" w14:textId="77777777" w:rsidR="00A979B2" w:rsidRPr="00B04514" w:rsidRDefault="00A979B2" w:rsidP="000B12BC">
            <w:pPr>
              <w:spacing w:line="480" w:lineRule="auto"/>
              <w:rPr>
                <w:b/>
                <w:bCs/>
              </w:rPr>
            </w:pPr>
            <w:r>
              <w:rPr>
                <w:b/>
                <w:bCs/>
              </w:rPr>
              <w:t>Usage considerations (human &amp; machine readable)*</w:t>
            </w:r>
          </w:p>
        </w:tc>
        <w:tc>
          <w:tcPr>
            <w:tcW w:w="1525" w:type="dxa"/>
          </w:tcPr>
          <w:p w14:paraId="6902B147" w14:textId="77777777" w:rsidR="00A979B2" w:rsidRPr="00B04514" w:rsidRDefault="00A979B2" w:rsidP="000B12BC">
            <w:pPr>
              <w:spacing w:line="480" w:lineRule="auto"/>
              <w:rPr>
                <w:b/>
                <w:bCs/>
              </w:rPr>
            </w:pPr>
            <w:r>
              <w:rPr>
                <w:b/>
                <w:bCs/>
              </w:rPr>
              <w:t>References</w:t>
            </w:r>
          </w:p>
        </w:tc>
      </w:tr>
      <w:tr w:rsidR="00A979B2" w14:paraId="54E4D511" w14:textId="77777777" w:rsidTr="008D1990">
        <w:tc>
          <w:tcPr>
            <w:tcW w:w="1726" w:type="dxa"/>
          </w:tcPr>
          <w:p w14:paraId="6E646D42" w14:textId="77777777" w:rsidR="00A979B2" w:rsidRDefault="00A979B2" w:rsidP="000B12BC">
            <w:pPr>
              <w:spacing w:line="480" w:lineRule="auto"/>
            </w:pPr>
            <w:r>
              <w:t>Rill &amp; sheet erosion/ RUSLE</w:t>
            </w:r>
          </w:p>
        </w:tc>
        <w:tc>
          <w:tcPr>
            <w:tcW w:w="3057" w:type="dxa"/>
          </w:tcPr>
          <w:p w14:paraId="1DC05EC3" w14:textId="4323180D" w:rsidR="00A979B2" w:rsidRDefault="00A979B2" w:rsidP="000B12BC">
            <w:pPr>
              <w:spacing w:line="480" w:lineRule="auto"/>
            </w:pPr>
            <w:r>
              <w:t xml:space="preserve">Global equations </w:t>
            </w:r>
            <w:r w:rsidR="00430945">
              <w:t xml:space="preserve">&amp; </w:t>
            </w:r>
            <w:r>
              <w:t>lookup tables for component RUSLE factors</w:t>
            </w:r>
          </w:p>
        </w:tc>
        <w:tc>
          <w:tcPr>
            <w:tcW w:w="3042" w:type="dxa"/>
          </w:tcPr>
          <w:p w14:paraId="780013F6" w14:textId="77777777" w:rsidR="00A979B2" w:rsidRDefault="00A979B2" w:rsidP="000B12BC">
            <w:pPr>
              <w:spacing w:line="480" w:lineRule="auto"/>
            </w:pPr>
            <w:r>
              <w:t>Default approach when other below conditions are not met</w:t>
            </w:r>
          </w:p>
        </w:tc>
        <w:tc>
          <w:tcPr>
            <w:tcW w:w="1525" w:type="dxa"/>
          </w:tcPr>
          <w:p w14:paraId="360ABC41" w14:textId="77777777" w:rsidR="00A979B2" w:rsidRDefault="00A979B2" w:rsidP="000B12BC">
            <w:pPr>
              <w:spacing w:line="480" w:lineRule="auto"/>
            </w:pPr>
            <w:r>
              <w:t>Benavidez et al., 2018**</w:t>
            </w:r>
          </w:p>
        </w:tc>
      </w:tr>
      <w:tr w:rsidR="00A979B2" w14:paraId="4C71895C" w14:textId="77777777" w:rsidTr="008D1990">
        <w:tc>
          <w:tcPr>
            <w:tcW w:w="1726" w:type="dxa"/>
          </w:tcPr>
          <w:p w14:paraId="69CEC3A4" w14:textId="77777777" w:rsidR="00A979B2" w:rsidRDefault="00A979B2" w:rsidP="000B12BC">
            <w:pPr>
              <w:spacing w:line="480" w:lineRule="auto"/>
            </w:pPr>
            <w:r>
              <w:t>Rill &amp; sheet erosion/ RUSLE</w:t>
            </w:r>
          </w:p>
        </w:tc>
        <w:tc>
          <w:tcPr>
            <w:tcW w:w="3057" w:type="dxa"/>
          </w:tcPr>
          <w:p w14:paraId="3C345BF2" w14:textId="77777777" w:rsidR="00A979B2" w:rsidRDefault="00A979B2" w:rsidP="000B12BC">
            <w:pPr>
              <w:spacing w:line="480" w:lineRule="auto"/>
            </w:pPr>
            <w:r>
              <w:t>For RUSLE C factor, NDVI-based (C</w:t>
            </w:r>
            <w:r w:rsidRPr="00B04514">
              <w:rPr>
                <w:vertAlign w:val="subscript"/>
              </w:rPr>
              <w:t>rA</w:t>
            </w:r>
            <w:r>
              <w:t>) method most appropriate in tropical regions (evidence from Brazilian Cerrado)</w:t>
            </w:r>
          </w:p>
        </w:tc>
        <w:tc>
          <w:tcPr>
            <w:tcW w:w="3042" w:type="dxa"/>
          </w:tcPr>
          <w:p w14:paraId="3FB825EF" w14:textId="77777777" w:rsidR="00A979B2" w:rsidRDefault="00A979B2" w:rsidP="000B12BC">
            <w:pPr>
              <w:spacing w:line="480" w:lineRule="auto"/>
            </w:pPr>
            <w:r>
              <w:t>Apply when modeling in an earth:Tropical earth:Region</w:t>
            </w:r>
          </w:p>
        </w:tc>
        <w:tc>
          <w:tcPr>
            <w:tcW w:w="1525" w:type="dxa"/>
          </w:tcPr>
          <w:p w14:paraId="1694258E" w14:textId="55C8FF4F" w:rsidR="00A979B2" w:rsidRDefault="00A979B2" w:rsidP="000B12BC">
            <w:pPr>
              <w:spacing w:line="480" w:lineRule="auto"/>
            </w:pPr>
            <w:r>
              <w:t>Almagro et al., 2019</w:t>
            </w:r>
          </w:p>
        </w:tc>
      </w:tr>
      <w:tr w:rsidR="00A979B2" w14:paraId="04CBD01C" w14:textId="77777777" w:rsidTr="008D1990">
        <w:tc>
          <w:tcPr>
            <w:tcW w:w="1726" w:type="dxa"/>
          </w:tcPr>
          <w:p w14:paraId="3AAF60EB" w14:textId="77777777" w:rsidR="00A979B2" w:rsidRDefault="00A979B2" w:rsidP="000B12BC">
            <w:pPr>
              <w:spacing w:line="480" w:lineRule="auto"/>
            </w:pPr>
            <w:r>
              <w:t>Rill &amp; sheet erosion/ RUSLE</w:t>
            </w:r>
          </w:p>
        </w:tc>
        <w:tc>
          <w:tcPr>
            <w:tcW w:w="3057" w:type="dxa"/>
          </w:tcPr>
          <w:p w14:paraId="7525F0AF" w14:textId="77777777" w:rsidR="00A979B2" w:rsidRDefault="00A979B2" w:rsidP="000B12BC">
            <w:pPr>
              <w:spacing w:line="480" w:lineRule="auto"/>
            </w:pPr>
            <w:r>
              <w:t xml:space="preserve">For RUSLE C factor, EU agricultural statistics used to estimate C factor in arable lands; % vegetation cover </w:t>
            </w:r>
            <w:r>
              <w:lastRenderedPageBreak/>
              <w:t>used in calculation for non-arable lands</w:t>
            </w:r>
          </w:p>
        </w:tc>
        <w:tc>
          <w:tcPr>
            <w:tcW w:w="3042" w:type="dxa"/>
          </w:tcPr>
          <w:p w14:paraId="4B8F5732" w14:textId="77777777" w:rsidR="00A979B2" w:rsidRDefault="00A979B2" w:rsidP="000B12BC">
            <w:pPr>
              <w:spacing w:line="480" w:lineRule="auto"/>
            </w:pPr>
            <w:r>
              <w:lastRenderedPageBreak/>
              <w:t xml:space="preserve">Apply when modeling in the geography:European earth:Region or elsewhere that agricultural statistical data are </w:t>
            </w:r>
            <w:r>
              <w:lastRenderedPageBreak/>
              <w:t>available (see Borelli et al., 2017)</w:t>
            </w:r>
          </w:p>
        </w:tc>
        <w:tc>
          <w:tcPr>
            <w:tcW w:w="1525" w:type="dxa"/>
          </w:tcPr>
          <w:p w14:paraId="5510E91D" w14:textId="77777777" w:rsidR="00A979B2" w:rsidRDefault="00A979B2" w:rsidP="000B12BC">
            <w:pPr>
              <w:spacing w:line="480" w:lineRule="auto"/>
            </w:pPr>
            <w:r>
              <w:lastRenderedPageBreak/>
              <w:t>Panagos et al., 2015</w:t>
            </w:r>
          </w:p>
        </w:tc>
      </w:tr>
      <w:tr w:rsidR="00A979B2" w14:paraId="54BD7F1B" w14:textId="77777777" w:rsidTr="008D1990">
        <w:tc>
          <w:tcPr>
            <w:tcW w:w="1726" w:type="dxa"/>
          </w:tcPr>
          <w:p w14:paraId="19FB7C18" w14:textId="77777777" w:rsidR="00A979B2" w:rsidRDefault="00A979B2" w:rsidP="000B12BC">
            <w:pPr>
              <w:spacing w:line="480" w:lineRule="auto"/>
            </w:pPr>
            <w:r>
              <w:t>Streambank erosion/Multiple approaches</w:t>
            </w:r>
          </w:p>
        </w:tc>
        <w:tc>
          <w:tcPr>
            <w:tcW w:w="3057" w:type="dxa"/>
          </w:tcPr>
          <w:p w14:paraId="5FD467DA" w14:textId="77777777" w:rsidR="00A979B2" w:rsidRDefault="00A979B2" w:rsidP="000B12BC">
            <w:pPr>
              <w:spacing w:line="480" w:lineRule="auto"/>
            </w:pPr>
            <w:r>
              <w:t>Apply in regions where streambank erosion is known to be an important contributor of sediment</w:t>
            </w:r>
          </w:p>
        </w:tc>
        <w:tc>
          <w:tcPr>
            <w:tcW w:w="3042" w:type="dxa"/>
          </w:tcPr>
          <w:p w14:paraId="72A10CCE" w14:textId="77777777" w:rsidR="00A979B2" w:rsidRDefault="00A979B2" w:rsidP="000B12BC">
            <w:pPr>
              <w:spacing w:line="480" w:lineRule="auto"/>
            </w:pPr>
            <w:r>
              <w:t>Apply when modeling in a user-specified hydrology:Waterway in geomorphic disequilibrium</w:t>
            </w:r>
          </w:p>
        </w:tc>
        <w:tc>
          <w:tcPr>
            <w:tcW w:w="1525" w:type="dxa"/>
          </w:tcPr>
          <w:p w14:paraId="27752948" w14:textId="77777777" w:rsidR="00A979B2" w:rsidRDefault="00A979B2" w:rsidP="000B12BC">
            <w:pPr>
              <w:spacing w:line="480" w:lineRule="auto"/>
            </w:pPr>
            <w:r>
              <w:t>Wilkinson et al., 2014</w:t>
            </w:r>
          </w:p>
        </w:tc>
      </w:tr>
      <w:tr w:rsidR="00A979B2" w14:paraId="09068D6F" w14:textId="77777777" w:rsidTr="008D1990">
        <w:tc>
          <w:tcPr>
            <w:tcW w:w="1726" w:type="dxa"/>
          </w:tcPr>
          <w:p w14:paraId="04C20162" w14:textId="77777777" w:rsidR="00A979B2" w:rsidRDefault="00A979B2" w:rsidP="000B12BC">
            <w:pPr>
              <w:spacing w:line="480" w:lineRule="auto"/>
            </w:pPr>
            <w:r>
              <w:t>Landslide erosion/Multiple approaches</w:t>
            </w:r>
          </w:p>
        </w:tc>
        <w:tc>
          <w:tcPr>
            <w:tcW w:w="3057" w:type="dxa"/>
          </w:tcPr>
          <w:p w14:paraId="21BBC686" w14:textId="77777777" w:rsidR="00A979B2" w:rsidRDefault="00A979B2" w:rsidP="000B12BC">
            <w:pPr>
              <w:spacing w:line="480" w:lineRule="auto"/>
            </w:pPr>
            <w:r>
              <w:t>Apply in mountain regions where landslides are known to be important contributors of sediment</w:t>
            </w:r>
          </w:p>
        </w:tc>
        <w:tc>
          <w:tcPr>
            <w:tcW w:w="3042" w:type="dxa"/>
          </w:tcPr>
          <w:p w14:paraId="3BBBC5D1" w14:textId="77777777" w:rsidR="00A979B2" w:rsidRDefault="00A979B2" w:rsidP="000B12BC">
            <w:pPr>
              <w:spacing w:line="480" w:lineRule="auto"/>
            </w:pPr>
            <w:r>
              <w:t>Apply when modeling in an earth:Mountain earth:Region when geography:Slope &gt; 18%***</w:t>
            </w:r>
          </w:p>
        </w:tc>
        <w:tc>
          <w:tcPr>
            <w:tcW w:w="1525" w:type="dxa"/>
          </w:tcPr>
          <w:p w14:paraId="2DA0B32D" w14:textId="77777777" w:rsidR="00A979B2" w:rsidRDefault="00A979B2" w:rsidP="000B12BC">
            <w:pPr>
              <w:spacing w:line="480" w:lineRule="auto"/>
            </w:pPr>
            <w:r>
              <w:t>Alewell et al., 2008, Dow et al., 2024</w:t>
            </w:r>
          </w:p>
        </w:tc>
      </w:tr>
      <w:tr w:rsidR="00A979B2" w14:paraId="715B837C" w14:textId="77777777" w:rsidTr="008D1990">
        <w:tc>
          <w:tcPr>
            <w:tcW w:w="1726" w:type="dxa"/>
          </w:tcPr>
          <w:p w14:paraId="5B6C84C2" w14:textId="77777777" w:rsidR="00A979B2" w:rsidRDefault="00A979B2" w:rsidP="000B12BC">
            <w:pPr>
              <w:spacing w:line="480" w:lineRule="auto"/>
            </w:pPr>
            <w:r>
              <w:t>Wind erosion/RWEQ</w:t>
            </w:r>
          </w:p>
        </w:tc>
        <w:tc>
          <w:tcPr>
            <w:tcW w:w="3057" w:type="dxa"/>
          </w:tcPr>
          <w:p w14:paraId="6D2DF179" w14:textId="77777777" w:rsidR="00A979B2" w:rsidRDefault="00A979B2" w:rsidP="000B12BC">
            <w:pPr>
              <w:spacing w:line="480" w:lineRule="auto"/>
            </w:pPr>
            <w:r>
              <w:t>Apply in regions where wind erosion is known to be significant (e.g., Gholami et al., 2024)</w:t>
            </w:r>
          </w:p>
        </w:tc>
        <w:tc>
          <w:tcPr>
            <w:tcW w:w="3042" w:type="dxa"/>
          </w:tcPr>
          <w:p w14:paraId="1695977C" w14:textId="77777777" w:rsidR="00A979B2" w:rsidRDefault="00A979B2" w:rsidP="000B12BC">
            <w:pPr>
              <w:spacing w:line="480" w:lineRule="auto"/>
            </w:pPr>
            <w:r>
              <w:t>Apply when modeling in an earth:Arid earth:KoppenGeigerClimateZone</w:t>
            </w:r>
          </w:p>
        </w:tc>
        <w:tc>
          <w:tcPr>
            <w:tcW w:w="1525" w:type="dxa"/>
          </w:tcPr>
          <w:p w14:paraId="03E13283" w14:textId="77777777" w:rsidR="00A979B2" w:rsidRDefault="00A979B2" w:rsidP="000B12BC">
            <w:pPr>
              <w:spacing w:line="480" w:lineRule="auto"/>
            </w:pPr>
            <w:r>
              <w:t>Borelli et al., 2017</w:t>
            </w:r>
          </w:p>
        </w:tc>
      </w:tr>
    </w:tbl>
    <w:p w14:paraId="5ED01937" w14:textId="0C5211E6" w:rsidR="00A979B2" w:rsidRDefault="00A979B2" w:rsidP="000B12BC">
      <w:pPr>
        <w:spacing w:line="480" w:lineRule="auto"/>
      </w:pPr>
      <w:r>
        <w:t xml:space="preserve">*Examples here illustrate how stylized semantics referencing certain geographical </w:t>
      </w:r>
      <w:r w:rsidR="00B82236">
        <w:t xml:space="preserve">settings </w:t>
      </w:r>
      <w:r>
        <w:t xml:space="preserve">can enable </w:t>
      </w:r>
      <w:r w:rsidR="00B82236">
        <w:t xml:space="preserve">model </w:t>
      </w:r>
      <w:r>
        <w:t>customization, by applying those customizations when a model workflow is executed under those conditions.</w:t>
      </w:r>
    </w:p>
    <w:p w14:paraId="706445D8" w14:textId="77777777" w:rsidR="00A979B2" w:rsidRDefault="00A979B2" w:rsidP="000B12BC">
      <w:pPr>
        <w:spacing w:line="480" w:lineRule="auto"/>
      </w:pPr>
      <w:r>
        <w:t>**Benavidez et al. (2018) also list other regional and scale-specific adaptations of the five RUSLE factors, which could be coded for machine reuse similarly to the example from Almagro et al., 2019.</w:t>
      </w:r>
    </w:p>
    <w:p w14:paraId="51D85AC4" w14:textId="75067CD4" w:rsidR="00A979B2" w:rsidRDefault="00A979B2" w:rsidP="000B12BC">
      <w:pPr>
        <w:spacing w:line="480" w:lineRule="auto"/>
      </w:pPr>
      <w:r>
        <w:t>***The original USLE model specified that at slopes greater than this threshold, uncertainty would increase, implying the value of using alternative methods to quantify erosion from landslides.</w:t>
      </w:r>
    </w:p>
    <w:p w14:paraId="38D2A2B3" w14:textId="77777777" w:rsidR="000B12BC" w:rsidRDefault="000B12BC" w:rsidP="000B12BC">
      <w:pPr>
        <w:spacing w:line="480" w:lineRule="auto"/>
      </w:pPr>
    </w:p>
    <w:p w14:paraId="2D97153A" w14:textId="77777777" w:rsidR="000B12BC" w:rsidRDefault="000B12BC" w:rsidP="000B12BC">
      <w:pPr>
        <w:spacing w:line="480" w:lineRule="auto"/>
      </w:pPr>
    </w:p>
    <w:p w14:paraId="17C652CB" w14:textId="77777777" w:rsidR="000B12BC" w:rsidRDefault="000B12BC" w:rsidP="000B12BC">
      <w:pPr>
        <w:spacing w:line="480" w:lineRule="auto"/>
      </w:pPr>
    </w:p>
    <w:p w14:paraId="09CBA707" w14:textId="77777777" w:rsidR="000B12BC" w:rsidRDefault="000B12BC" w:rsidP="000B12BC">
      <w:pPr>
        <w:spacing w:line="480" w:lineRule="auto"/>
      </w:pPr>
    </w:p>
    <w:p w14:paraId="43BF9A13" w14:textId="77777777" w:rsidR="000B12BC" w:rsidRDefault="000B12BC" w:rsidP="000B12BC">
      <w:pPr>
        <w:spacing w:line="480" w:lineRule="auto"/>
      </w:pPr>
    </w:p>
    <w:p w14:paraId="37BE00A7" w14:textId="21F2A542" w:rsidR="00152EFC" w:rsidRDefault="00152EFC" w:rsidP="000B12BC">
      <w:pPr>
        <w:spacing w:before="240" w:after="240" w:line="480" w:lineRule="auto"/>
      </w:pPr>
      <w:r w:rsidRPr="00E67CFB">
        <w:rPr>
          <w:rFonts w:asciiTheme="majorHAnsi" w:hAnsiTheme="majorHAnsi" w:cstheme="majorHAnsi"/>
          <w:b/>
          <w:bCs/>
          <w:color w:val="000000"/>
        </w:rPr>
        <w:t xml:space="preserve">Table 2. </w:t>
      </w:r>
      <w:r w:rsidRPr="00E67CFB">
        <w:rPr>
          <w:rFonts w:asciiTheme="majorHAnsi" w:hAnsiTheme="majorHAnsi" w:cstheme="majorHAnsi"/>
          <w:color w:val="000000"/>
        </w:rPr>
        <w:t xml:space="preserve">Problems and potential solutions an ecosystem services </w:t>
      </w:r>
      <w:r w:rsidR="00B65171">
        <w:rPr>
          <w:rFonts w:asciiTheme="majorHAnsi" w:hAnsiTheme="majorHAnsi" w:cstheme="majorHAnsi"/>
          <w:color w:val="000000"/>
        </w:rPr>
        <w:t>interoperability</w:t>
      </w:r>
      <w:r w:rsidRPr="00E67CFB">
        <w:rPr>
          <w:rFonts w:asciiTheme="majorHAnsi" w:hAnsiTheme="majorHAnsi" w:cstheme="majorHAnsi"/>
          <w:color w:val="000000"/>
        </w:rPr>
        <w:t xml:space="preserve"> community of practice could address.</w:t>
      </w:r>
      <w:r>
        <w:rPr>
          <w:rFonts w:asciiTheme="majorHAnsi" w:hAnsiTheme="majorHAnsi" w:cstheme="majorHAnsi"/>
          <w:color w:val="000000"/>
        </w:rPr>
        <w:t xml:space="preserve"> ESP: Ecosystem Services Partnership, GEO BON: Group on Earth Observations-Biodiversity Observation Network, IPBES: </w:t>
      </w:r>
      <w:r w:rsidRPr="0086060F">
        <w:t>Intergovernmental</w:t>
      </w:r>
      <w:r w:rsidR="00453A81">
        <w:t xml:space="preserve"> Science-Policy</w:t>
      </w:r>
      <w:r w:rsidRPr="0086060F">
        <w:t xml:space="preserve"> Panel on Biodiversity and Ecosystem Services</w:t>
      </w:r>
      <w:r>
        <w:rPr>
          <w:rFonts w:asciiTheme="majorHAnsi" w:hAnsiTheme="majorHAnsi" w:cstheme="majorHAnsi"/>
          <w:color w:val="000000"/>
        </w:rPr>
        <w:t>, PECS: Programme on Ecosystem Change and Society, SEEA: System of Environmental-Economic Accounting</w:t>
      </w:r>
      <w:r w:rsidR="00DB4869">
        <w:rPr>
          <w:rFonts w:asciiTheme="majorHAnsi" w:hAnsiTheme="majorHAnsi" w:cstheme="majorHAnsi"/>
          <w:color w:val="000000"/>
        </w:rPr>
        <w:t>, TNFD: Taskforce on Nature-</w:t>
      </w:r>
      <w:r w:rsidR="00DF20BF">
        <w:rPr>
          <w:rFonts w:asciiTheme="majorHAnsi" w:hAnsiTheme="majorHAnsi" w:cstheme="majorHAnsi"/>
          <w:color w:val="000000"/>
        </w:rPr>
        <w:t>r</w:t>
      </w:r>
      <w:r w:rsidR="00DB4869">
        <w:rPr>
          <w:rFonts w:asciiTheme="majorHAnsi" w:hAnsiTheme="majorHAnsi" w:cstheme="majorHAnsi"/>
          <w:color w:val="000000"/>
        </w:rPr>
        <w:t>elated Financial Disclosures</w:t>
      </w:r>
      <w:r>
        <w:rPr>
          <w:rFonts w:asciiTheme="majorHAnsi" w:hAnsiTheme="majorHAnsi" w:cstheme="majorHAnsi"/>
          <w:color w:val="000000"/>
        </w:rPr>
        <w:t>.</w:t>
      </w:r>
    </w:p>
    <w:tbl>
      <w:tblPr>
        <w:tblStyle w:val="TableGrid"/>
        <w:tblW w:w="0" w:type="auto"/>
        <w:tblLook w:val="04A0" w:firstRow="1" w:lastRow="0" w:firstColumn="1" w:lastColumn="0" w:noHBand="0" w:noVBand="1"/>
      </w:tblPr>
      <w:tblGrid>
        <w:gridCol w:w="2335"/>
        <w:gridCol w:w="7015"/>
      </w:tblGrid>
      <w:tr w:rsidR="00152EFC" w14:paraId="1B4635AB" w14:textId="77777777" w:rsidTr="008D1990">
        <w:tc>
          <w:tcPr>
            <w:tcW w:w="2335" w:type="dxa"/>
          </w:tcPr>
          <w:p w14:paraId="0F2BE2C2" w14:textId="77777777" w:rsidR="00152EFC" w:rsidRDefault="00152EFC" w:rsidP="000B12BC">
            <w:pPr>
              <w:spacing w:line="480" w:lineRule="auto"/>
            </w:pPr>
            <w:r>
              <w:t>Challenge</w:t>
            </w:r>
          </w:p>
        </w:tc>
        <w:tc>
          <w:tcPr>
            <w:tcW w:w="7015" w:type="dxa"/>
          </w:tcPr>
          <w:p w14:paraId="21A6E905" w14:textId="77777777" w:rsidR="00152EFC" w:rsidRDefault="00152EFC" w:rsidP="000B12BC">
            <w:pPr>
              <w:spacing w:line="480" w:lineRule="auto"/>
            </w:pPr>
            <w:r>
              <w:t>Potential solutions</w:t>
            </w:r>
          </w:p>
        </w:tc>
      </w:tr>
      <w:tr w:rsidR="00152EFC" w14:paraId="6FF14386" w14:textId="77777777" w:rsidTr="008D1990">
        <w:tc>
          <w:tcPr>
            <w:tcW w:w="2335" w:type="dxa"/>
          </w:tcPr>
          <w:p w14:paraId="6F859438" w14:textId="77777777" w:rsidR="00152EFC" w:rsidRDefault="00152EFC" w:rsidP="000B12BC">
            <w:pPr>
              <w:spacing w:line="480" w:lineRule="auto"/>
            </w:pPr>
            <w:r>
              <w:t>1. Community involvement</w:t>
            </w:r>
          </w:p>
        </w:tc>
        <w:tc>
          <w:tcPr>
            <w:tcW w:w="7015" w:type="dxa"/>
          </w:tcPr>
          <w:p w14:paraId="729423E6" w14:textId="6F046DD8" w:rsidR="00152EFC" w:rsidRDefault="00152EFC" w:rsidP="000B12BC">
            <w:pPr>
              <w:pStyle w:val="ListParagraph"/>
              <w:numPr>
                <w:ilvl w:val="0"/>
                <w:numId w:val="14"/>
              </w:numPr>
              <w:spacing w:line="480" w:lineRule="auto"/>
              <w:ind w:left="163" w:hanging="163"/>
            </w:pPr>
            <w:r>
              <w:t xml:space="preserve">Target key initiatives &amp; organizations for involvement (e.g., </w:t>
            </w:r>
            <w:r w:rsidR="00BC4F17">
              <w:t xml:space="preserve">Capitals Coalition, </w:t>
            </w:r>
            <w:r>
              <w:t xml:space="preserve">ESP, GEO BON, IPBES, PECS, SEEA, </w:t>
            </w:r>
            <w:r w:rsidR="00DB4869">
              <w:t xml:space="preserve">TNFD, </w:t>
            </w:r>
            <w:r>
              <w:t xml:space="preserve">key journal editorial boards) </w:t>
            </w:r>
          </w:p>
          <w:p w14:paraId="38321CA0" w14:textId="77777777" w:rsidR="00152EFC" w:rsidRDefault="00152EFC" w:rsidP="000B12BC">
            <w:pPr>
              <w:pStyle w:val="ListParagraph"/>
              <w:numPr>
                <w:ilvl w:val="0"/>
                <w:numId w:val="14"/>
              </w:numPr>
              <w:spacing w:line="480" w:lineRule="auto"/>
              <w:ind w:left="163" w:hanging="163"/>
            </w:pPr>
            <w:r>
              <w:t>Keep membership open to other interested parties</w:t>
            </w:r>
          </w:p>
          <w:p w14:paraId="7580F984" w14:textId="77777777" w:rsidR="00152EFC" w:rsidRDefault="00152EFC" w:rsidP="000B12BC">
            <w:pPr>
              <w:pStyle w:val="ListParagraph"/>
              <w:numPr>
                <w:ilvl w:val="0"/>
                <w:numId w:val="14"/>
              </w:numPr>
              <w:spacing w:line="480" w:lineRule="auto"/>
              <w:ind w:left="163" w:hanging="163"/>
            </w:pPr>
            <w:r>
              <w:t>Ensure disciplinary diversity, strive to maximize participation from Global South</w:t>
            </w:r>
          </w:p>
        </w:tc>
      </w:tr>
      <w:tr w:rsidR="00152EFC" w14:paraId="265F25A7" w14:textId="77777777" w:rsidTr="008D1990">
        <w:tc>
          <w:tcPr>
            <w:tcW w:w="2335" w:type="dxa"/>
          </w:tcPr>
          <w:p w14:paraId="15B84E37" w14:textId="77777777" w:rsidR="00152EFC" w:rsidRDefault="00152EFC" w:rsidP="000B12BC">
            <w:pPr>
              <w:spacing w:line="480" w:lineRule="auto"/>
            </w:pPr>
            <w:r>
              <w:t>2. Clear goals</w:t>
            </w:r>
          </w:p>
        </w:tc>
        <w:tc>
          <w:tcPr>
            <w:tcW w:w="7015" w:type="dxa"/>
          </w:tcPr>
          <w:p w14:paraId="5A9D420F" w14:textId="77777777" w:rsidR="00152EFC" w:rsidRDefault="00152EFC" w:rsidP="000B12BC">
            <w:pPr>
              <w:pStyle w:val="ListParagraph"/>
              <w:numPr>
                <w:ilvl w:val="0"/>
                <w:numId w:val="15"/>
              </w:numPr>
              <w:spacing w:line="480" w:lineRule="auto"/>
              <w:ind w:left="163" w:hanging="180"/>
            </w:pPr>
            <w:r>
              <w:t>Consider semantic interoperability as a key motivator</w:t>
            </w:r>
          </w:p>
          <w:p w14:paraId="5DFC2E7C" w14:textId="40D1D105" w:rsidR="00152EFC" w:rsidRDefault="00152EFC" w:rsidP="000B12BC">
            <w:pPr>
              <w:pStyle w:val="ListParagraph"/>
              <w:numPr>
                <w:ilvl w:val="0"/>
                <w:numId w:val="15"/>
              </w:numPr>
              <w:spacing w:line="480" w:lineRule="auto"/>
              <w:ind w:left="163" w:hanging="180"/>
            </w:pPr>
            <w:r>
              <w:t>Provide descriptors for data &amp; models underlying quantitative ES assessments</w:t>
            </w:r>
            <w:r w:rsidR="00B67C68">
              <w:t xml:space="preserve"> &amp;</w:t>
            </w:r>
            <w:r>
              <w:t xml:space="preserve"> defining ES indicators or metrics relevant to ES monitoring</w:t>
            </w:r>
          </w:p>
          <w:p w14:paraId="2E90409C" w14:textId="111A720D" w:rsidR="00152EFC" w:rsidRDefault="00152EFC" w:rsidP="000B12BC">
            <w:pPr>
              <w:pStyle w:val="ListParagraph"/>
              <w:numPr>
                <w:ilvl w:val="0"/>
                <w:numId w:val="15"/>
              </w:numPr>
              <w:spacing w:line="480" w:lineRule="auto"/>
              <w:ind w:left="163" w:hanging="180"/>
            </w:pPr>
            <w:r>
              <w:t xml:space="preserve">Consider how to </w:t>
            </w:r>
            <w:r w:rsidR="00B67C68">
              <w:t>address</w:t>
            </w:r>
            <w:r>
              <w:t xml:space="preserve"> legitimate divergent worldviews in ES</w:t>
            </w:r>
          </w:p>
          <w:p w14:paraId="6F0B7A49" w14:textId="77777777" w:rsidR="00152EFC" w:rsidRDefault="00152EFC" w:rsidP="000B12BC">
            <w:pPr>
              <w:pStyle w:val="ListParagraph"/>
              <w:numPr>
                <w:ilvl w:val="0"/>
                <w:numId w:val="15"/>
              </w:numPr>
              <w:spacing w:line="480" w:lineRule="auto"/>
              <w:ind w:left="163" w:hanging="180"/>
            </w:pPr>
            <w:r>
              <w:lastRenderedPageBreak/>
              <w:t>If multiple types of semantic resources are deemed desirable, clarify their purposes</w:t>
            </w:r>
          </w:p>
        </w:tc>
      </w:tr>
      <w:tr w:rsidR="00152EFC" w14:paraId="1B41EC6F" w14:textId="77777777" w:rsidTr="008D1990">
        <w:tc>
          <w:tcPr>
            <w:tcW w:w="2335" w:type="dxa"/>
          </w:tcPr>
          <w:p w14:paraId="2B343722" w14:textId="77777777" w:rsidR="00152EFC" w:rsidRDefault="00152EFC" w:rsidP="000B12BC">
            <w:pPr>
              <w:spacing w:line="480" w:lineRule="auto"/>
            </w:pPr>
            <w:r>
              <w:lastRenderedPageBreak/>
              <w:t>3. Limited scope</w:t>
            </w:r>
          </w:p>
        </w:tc>
        <w:tc>
          <w:tcPr>
            <w:tcW w:w="7015" w:type="dxa"/>
          </w:tcPr>
          <w:p w14:paraId="0D33E76D" w14:textId="77777777" w:rsidR="00152EFC" w:rsidRDefault="00152EFC" w:rsidP="000B12BC">
            <w:pPr>
              <w:pStyle w:val="ListParagraph"/>
              <w:numPr>
                <w:ilvl w:val="0"/>
                <w:numId w:val="17"/>
              </w:numPr>
              <w:spacing w:line="480" w:lineRule="auto"/>
              <w:ind w:left="163" w:hanging="163"/>
            </w:pPr>
            <w:r>
              <w:t>Above scope excludes, for instance, qualitative research and indigenous knowledge for which imposition of a singular worldview is undesirable</w:t>
            </w:r>
          </w:p>
        </w:tc>
      </w:tr>
      <w:tr w:rsidR="00152EFC" w14:paraId="67D9F5E0" w14:textId="77777777" w:rsidTr="008D1990">
        <w:tc>
          <w:tcPr>
            <w:tcW w:w="2335" w:type="dxa"/>
          </w:tcPr>
          <w:p w14:paraId="4B181BC4" w14:textId="77777777" w:rsidR="00152EFC" w:rsidRDefault="00152EFC" w:rsidP="000B12BC">
            <w:pPr>
              <w:spacing w:line="480" w:lineRule="auto"/>
            </w:pPr>
            <w:r>
              <w:t>4. Simple, intuitive structure</w:t>
            </w:r>
          </w:p>
        </w:tc>
        <w:tc>
          <w:tcPr>
            <w:tcW w:w="7015" w:type="dxa"/>
          </w:tcPr>
          <w:p w14:paraId="76EE05F1" w14:textId="77777777" w:rsidR="00152EFC" w:rsidRDefault="00152EFC" w:rsidP="000B12BC">
            <w:pPr>
              <w:pStyle w:val="ListParagraph"/>
              <w:numPr>
                <w:ilvl w:val="0"/>
                <w:numId w:val="16"/>
              </w:numPr>
              <w:spacing w:line="480" w:lineRule="auto"/>
              <w:ind w:left="163" w:hanging="163"/>
            </w:pPr>
            <w:r>
              <w:t>Transparently discuss &amp; debate pros &amp; cons of major architectural choices</w:t>
            </w:r>
          </w:p>
          <w:p w14:paraId="2466E34B" w14:textId="77777777" w:rsidR="00152EFC" w:rsidRDefault="00152EFC" w:rsidP="000B12BC">
            <w:pPr>
              <w:pStyle w:val="ListParagraph"/>
              <w:numPr>
                <w:ilvl w:val="0"/>
                <w:numId w:val="16"/>
              </w:numPr>
              <w:spacing w:line="480" w:lineRule="auto"/>
              <w:ind w:left="163" w:hanging="163"/>
            </w:pPr>
            <w:r>
              <w:t>As starting point, strongly consider consensus described in section 3.1 (Leadbetter and Vodden, 2015, Stoica and Peckham, 2019, Maganga et al., 2021, Villa and Adamo, 2024)</w:t>
            </w:r>
          </w:p>
          <w:p w14:paraId="1A2A67B9" w14:textId="77777777" w:rsidR="00152EFC" w:rsidRDefault="00152EFC" w:rsidP="000B12BC">
            <w:pPr>
              <w:pStyle w:val="ListParagraph"/>
              <w:numPr>
                <w:ilvl w:val="0"/>
                <w:numId w:val="16"/>
              </w:numPr>
              <w:spacing w:line="480" w:lineRule="auto"/>
              <w:ind w:left="163" w:hanging="163"/>
            </w:pPr>
            <w:r>
              <w:t xml:space="preserve">Keep semantics parsimonious </w:t>
            </w:r>
          </w:p>
        </w:tc>
      </w:tr>
      <w:tr w:rsidR="00152EFC" w14:paraId="384E6BBC" w14:textId="77777777" w:rsidTr="008D1990">
        <w:tc>
          <w:tcPr>
            <w:tcW w:w="2335" w:type="dxa"/>
          </w:tcPr>
          <w:p w14:paraId="2FBA9221" w14:textId="77777777" w:rsidR="00152EFC" w:rsidRDefault="00152EFC" w:rsidP="000B12BC">
            <w:pPr>
              <w:spacing w:line="480" w:lineRule="auto"/>
            </w:pPr>
            <w:r>
              <w:t>5. Continuous evolution</w:t>
            </w:r>
          </w:p>
        </w:tc>
        <w:tc>
          <w:tcPr>
            <w:tcW w:w="7015" w:type="dxa"/>
          </w:tcPr>
          <w:p w14:paraId="2384CA37" w14:textId="77777777" w:rsidR="00152EFC" w:rsidRDefault="00152EFC" w:rsidP="000B12BC">
            <w:pPr>
              <w:pStyle w:val="ListParagraph"/>
              <w:numPr>
                <w:ilvl w:val="0"/>
                <w:numId w:val="16"/>
              </w:numPr>
              <w:spacing w:line="480" w:lineRule="auto"/>
              <w:ind w:left="163" w:hanging="180"/>
              <w:jc w:val="both"/>
            </w:pPr>
            <w:r>
              <w:t>Acknowledge that semantics for ES are never “complete” but evolve to meet growth &amp; change in the science</w:t>
            </w:r>
          </w:p>
        </w:tc>
      </w:tr>
      <w:tr w:rsidR="00152EFC" w14:paraId="208B17C6" w14:textId="77777777" w:rsidTr="008D1990">
        <w:tc>
          <w:tcPr>
            <w:tcW w:w="2335" w:type="dxa"/>
          </w:tcPr>
          <w:p w14:paraId="3387D746" w14:textId="77777777" w:rsidR="00152EFC" w:rsidRDefault="00152EFC" w:rsidP="000B12BC">
            <w:pPr>
              <w:spacing w:line="480" w:lineRule="auto"/>
            </w:pPr>
            <w:r>
              <w:t>6. Active curation</w:t>
            </w:r>
          </w:p>
        </w:tc>
        <w:tc>
          <w:tcPr>
            <w:tcW w:w="7015" w:type="dxa"/>
          </w:tcPr>
          <w:p w14:paraId="7D5A794F" w14:textId="77777777" w:rsidR="00152EFC" w:rsidRDefault="00152EFC" w:rsidP="000B12BC">
            <w:pPr>
              <w:pStyle w:val="ListParagraph"/>
              <w:numPr>
                <w:ilvl w:val="0"/>
                <w:numId w:val="16"/>
              </w:numPr>
              <w:spacing w:line="480" w:lineRule="auto"/>
              <w:ind w:left="163" w:hanging="163"/>
            </w:pPr>
            <w:r>
              <w:t xml:space="preserve">Long-term curation &amp; dedicated process for updates </w:t>
            </w:r>
          </w:p>
          <w:p w14:paraId="12ECC696" w14:textId="77777777" w:rsidR="00152EFC" w:rsidRDefault="00152EFC" w:rsidP="000B12BC">
            <w:pPr>
              <w:pStyle w:val="ListParagraph"/>
              <w:numPr>
                <w:ilvl w:val="0"/>
                <w:numId w:val="16"/>
              </w:numPr>
              <w:spacing w:line="480" w:lineRule="auto"/>
              <w:ind w:left="163" w:hanging="163"/>
            </w:pPr>
            <w:r>
              <w:t>Commitment to &amp; staffing of the effort as a public good for the ES community</w:t>
            </w:r>
          </w:p>
        </w:tc>
      </w:tr>
      <w:tr w:rsidR="00152EFC" w14:paraId="71F7CF80" w14:textId="77777777" w:rsidTr="008D1990">
        <w:tc>
          <w:tcPr>
            <w:tcW w:w="2335" w:type="dxa"/>
          </w:tcPr>
          <w:p w14:paraId="131BD203" w14:textId="77777777" w:rsidR="00152EFC" w:rsidRDefault="00152EFC" w:rsidP="000B12BC">
            <w:pPr>
              <w:spacing w:line="480" w:lineRule="auto"/>
            </w:pPr>
            <w:r>
              <w:t>7. Early use among demonstration projects</w:t>
            </w:r>
          </w:p>
        </w:tc>
        <w:tc>
          <w:tcPr>
            <w:tcW w:w="7015" w:type="dxa"/>
          </w:tcPr>
          <w:p w14:paraId="2D5470B8" w14:textId="3F1C495D" w:rsidR="00152EFC" w:rsidRDefault="00152EFC" w:rsidP="000B12BC">
            <w:pPr>
              <w:pStyle w:val="ListParagraph"/>
              <w:numPr>
                <w:ilvl w:val="0"/>
                <w:numId w:val="16"/>
              </w:numPr>
              <w:spacing w:line="480" w:lineRule="auto"/>
              <w:ind w:left="163" w:hanging="163"/>
            </w:pPr>
            <w:r>
              <w:t>Maximize ontology reuse by codeveloping semantics with users</w:t>
            </w:r>
          </w:p>
          <w:p w14:paraId="1B74FC17" w14:textId="09FC8DB2" w:rsidR="00152EFC" w:rsidRDefault="00152EFC" w:rsidP="000B12BC">
            <w:pPr>
              <w:pStyle w:val="ListParagraph"/>
              <w:numPr>
                <w:ilvl w:val="0"/>
                <w:numId w:val="16"/>
              </w:numPr>
              <w:spacing w:line="480" w:lineRule="auto"/>
              <w:ind w:left="163" w:hanging="163"/>
            </w:pPr>
            <w:r>
              <w:t>Ensure usability through intentionally selected, collaborative pilot projects</w:t>
            </w:r>
          </w:p>
        </w:tc>
      </w:tr>
    </w:tbl>
    <w:p w14:paraId="4AE056D6" w14:textId="77777777" w:rsidR="00152EFC" w:rsidRDefault="00152EFC" w:rsidP="000B12BC">
      <w:pPr>
        <w:spacing w:before="240" w:after="240" w:line="480" w:lineRule="auto"/>
      </w:pPr>
    </w:p>
    <w:p w14:paraId="6154102D" w14:textId="77777777" w:rsidR="00152EFC" w:rsidRDefault="00152EFC" w:rsidP="000B12BC">
      <w:pPr>
        <w:pBdr>
          <w:top w:val="nil"/>
          <w:left w:val="nil"/>
          <w:bottom w:val="nil"/>
          <w:right w:val="nil"/>
          <w:between w:val="nil"/>
        </w:pBdr>
        <w:spacing w:before="240" w:after="240" w:line="480" w:lineRule="auto"/>
        <w:rPr>
          <w:color w:val="000000"/>
        </w:rPr>
      </w:pPr>
    </w:p>
    <w:p w14:paraId="12E6ACAC" w14:textId="035DBB16" w:rsidR="00C55C27" w:rsidRDefault="00ED0337" w:rsidP="000B12BC">
      <w:pPr>
        <w:spacing w:before="240" w:after="240" w:line="480" w:lineRule="auto"/>
        <w:jc w:val="center"/>
      </w:pPr>
      <w:r w:rsidRPr="00ED0337">
        <w:lastRenderedPageBreak/>
        <w:t xml:space="preserve"> </w:t>
      </w:r>
      <w:r>
        <w:rPr>
          <w:noProof/>
        </w:rPr>
        <w:drawing>
          <wp:inline distT="0" distB="0" distL="0" distR="0" wp14:anchorId="0C03A469" wp14:editId="4AE7D9F3">
            <wp:extent cx="2847975" cy="3797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50186" cy="3800248"/>
                    </a:xfrm>
                    <a:prstGeom prst="rect">
                      <a:avLst/>
                    </a:prstGeom>
                    <a:noFill/>
                    <a:ln>
                      <a:noFill/>
                    </a:ln>
                  </pic:spPr>
                </pic:pic>
              </a:graphicData>
            </a:graphic>
          </wp:inline>
        </w:drawing>
      </w:r>
    </w:p>
    <w:p w14:paraId="367B0FE3" w14:textId="18D0C2D4" w:rsidR="00C55C27" w:rsidRDefault="00154CAC" w:rsidP="000B12BC">
      <w:pPr>
        <w:spacing w:before="240" w:after="240" w:line="480" w:lineRule="auto"/>
      </w:pPr>
      <w:r>
        <w:rPr>
          <w:b/>
        </w:rPr>
        <w:t>Figure 1.</w:t>
      </w:r>
      <w:r>
        <w:t xml:space="preserve"> Simplified overview of how different semantic resources can enable interoperability </w:t>
      </w:r>
      <w:r w:rsidR="0042652B">
        <w:t>in interdisciplinary fields like ecosystem services</w:t>
      </w:r>
      <w:r w:rsidR="005A1168">
        <w:t>,</w:t>
      </w:r>
      <w:r w:rsidR="0042652B">
        <w:t xml:space="preserve"> </w:t>
      </w:r>
      <w:r>
        <w:t xml:space="preserve">describing scientific entities and relationships in a machine-actionable way. </w:t>
      </w:r>
      <w:r w:rsidR="0042652B">
        <w:t xml:space="preserve">The roots (representing simpler syntactic interoperability) and branches (representing semantic interoperability) illustrate the need for multiple, often </w:t>
      </w:r>
      <w:r w:rsidR="005A1168">
        <w:t>discipline-specific</w:t>
      </w:r>
      <w:r w:rsidR="0042652B">
        <w:t>, taxonomies or controlled vocabularies</w:t>
      </w:r>
      <w:r w:rsidR="005A1168">
        <w:t xml:space="preserve"> (for syntactic interoperability) or domain ontologies (for semantic interoperability) to define needed scientific entities. </w:t>
      </w:r>
      <w:r>
        <w:t>Taxonomies and controlled vocabularies can be linked using thesauri</w:t>
      </w:r>
      <w:r w:rsidR="003A1E3B">
        <w:t xml:space="preserve"> or crosswalks</w:t>
      </w:r>
      <w:r>
        <w:t xml:space="preserve">. </w:t>
      </w:r>
      <w:r w:rsidR="005A1168">
        <w:t>When applied to an</w:t>
      </w:r>
      <w:r>
        <w:t xml:space="preserve"> interdisciplinary </w:t>
      </w:r>
      <w:r w:rsidR="005A1168">
        <w:t>field like ecosystem services, domain ontologies</w:t>
      </w:r>
      <w:r>
        <w:t xml:space="preserve"> strongly benefit from connections to shared core and upper-level ontologies. This image is a re-adaptation of similar images produced by the scientific community, e.g., by Obrst (2010).</w:t>
      </w:r>
    </w:p>
    <w:p w14:paraId="2A1D434B" w14:textId="77777777" w:rsidR="00C55C27" w:rsidRDefault="00C55C27" w:rsidP="000B12BC">
      <w:pPr>
        <w:pBdr>
          <w:top w:val="nil"/>
          <w:left w:val="nil"/>
          <w:bottom w:val="nil"/>
          <w:right w:val="nil"/>
          <w:between w:val="nil"/>
        </w:pBdr>
        <w:spacing w:before="240" w:after="240" w:line="480" w:lineRule="auto"/>
        <w:rPr>
          <w:b/>
          <w:color w:val="000000"/>
        </w:rPr>
      </w:pPr>
    </w:p>
    <w:p w14:paraId="3FAB6731" w14:textId="7A97F7D1" w:rsidR="00C55C27" w:rsidRDefault="006B4F92" w:rsidP="000B12BC">
      <w:pPr>
        <w:spacing w:before="240" w:line="480" w:lineRule="auto"/>
        <w:rPr>
          <w:sz w:val="16"/>
          <w:szCs w:val="16"/>
        </w:rPr>
      </w:pPr>
      <w:r w:rsidRPr="006B4F92">
        <w:rPr>
          <w:noProof/>
        </w:rPr>
        <w:lastRenderedPageBreak/>
        <w:t xml:space="preserve"> </w:t>
      </w:r>
      <w:r w:rsidRPr="006B4F92">
        <w:rPr>
          <w:noProof/>
          <w:sz w:val="16"/>
          <w:szCs w:val="16"/>
        </w:rPr>
        <w:drawing>
          <wp:inline distT="0" distB="0" distL="0" distR="0" wp14:anchorId="64CD8C55" wp14:editId="73EA387D">
            <wp:extent cx="5943600" cy="2862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2862580"/>
                    </a:xfrm>
                    <a:prstGeom prst="rect">
                      <a:avLst/>
                    </a:prstGeom>
                  </pic:spPr>
                </pic:pic>
              </a:graphicData>
            </a:graphic>
          </wp:inline>
        </w:drawing>
      </w:r>
    </w:p>
    <w:p w14:paraId="2DA29F90" w14:textId="40B17B70" w:rsidR="00C55C27" w:rsidRDefault="00154CAC" w:rsidP="000B12BC">
      <w:pPr>
        <w:spacing w:before="240" w:line="480" w:lineRule="auto"/>
      </w:pPr>
      <w:r>
        <w:rPr>
          <w:b/>
        </w:rPr>
        <w:t>Figure 2.</w:t>
      </w:r>
      <w:r>
        <w:t xml:space="preserve"> An individual modeler, or even a small modeling team, will never have access to the comprehensive body of scientific knowledge relevant to their modeling problem. With access to interoperable scientific knowledge and the means to integrate it, a modeler can complete scientific tasks more rapidly, comprehensively, and reproducibly. Local scientific resources can also be contributed to a global knowledge commons (top two blue arrows and Figure 3).</w:t>
      </w:r>
      <w:r w:rsidR="007343CE">
        <w:t xml:space="preserve"> EO: Earth observation; RUSLE: Revised Universal Soil Loss Equation.</w:t>
      </w:r>
    </w:p>
    <w:p w14:paraId="52D02C35" w14:textId="77777777" w:rsidR="00C55C27" w:rsidRDefault="00C55C27" w:rsidP="000B12BC">
      <w:pPr>
        <w:pBdr>
          <w:top w:val="nil"/>
          <w:left w:val="nil"/>
          <w:bottom w:val="nil"/>
          <w:right w:val="nil"/>
          <w:between w:val="nil"/>
        </w:pBdr>
        <w:spacing w:before="240" w:after="240" w:line="480" w:lineRule="auto"/>
        <w:rPr>
          <w:b/>
          <w:color w:val="000000"/>
        </w:rPr>
      </w:pPr>
    </w:p>
    <w:p w14:paraId="173CBF61" w14:textId="77777777" w:rsidR="00C55C27" w:rsidRDefault="00C55C27" w:rsidP="000B12BC">
      <w:pPr>
        <w:pBdr>
          <w:top w:val="nil"/>
          <w:left w:val="nil"/>
          <w:bottom w:val="nil"/>
          <w:right w:val="nil"/>
          <w:between w:val="nil"/>
        </w:pBdr>
        <w:spacing w:before="240" w:after="240" w:line="480" w:lineRule="auto"/>
        <w:rPr>
          <w:b/>
          <w:color w:val="000000"/>
        </w:rPr>
      </w:pPr>
    </w:p>
    <w:p w14:paraId="1086A2B7" w14:textId="77777777" w:rsidR="00C55C27" w:rsidRDefault="00C55C27" w:rsidP="000B12BC">
      <w:pPr>
        <w:pBdr>
          <w:top w:val="nil"/>
          <w:left w:val="nil"/>
          <w:bottom w:val="nil"/>
          <w:right w:val="nil"/>
          <w:between w:val="nil"/>
        </w:pBdr>
        <w:spacing w:before="240" w:after="240" w:line="480" w:lineRule="auto"/>
        <w:rPr>
          <w:b/>
          <w:color w:val="000000"/>
        </w:rPr>
      </w:pPr>
    </w:p>
    <w:p w14:paraId="181CFBFB" w14:textId="77777777" w:rsidR="00C55C27" w:rsidRDefault="00C55C27" w:rsidP="000B12BC">
      <w:pPr>
        <w:pBdr>
          <w:top w:val="nil"/>
          <w:left w:val="nil"/>
          <w:bottom w:val="nil"/>
          <w:right w:val="nil"/>
          <w:between w:val="nil"/>
        </w:pBdr>
        <w:spacing w:before="240" w:after="240" w:line="480" w:lineRule="auto"/>
        <w:rPr>
          <w:b/>
          <w:color w:val="000000"/>
        </w:rPr>
      </w:pPr>
    </w:p>
    <w:p w14:paraId="2AFB9A30" w14:textId="77777777" w:rsidR="00C55C27" w:rsidRDefault="00C55C27" w:rsidP="000B12BC">
      <w:pPr>
        <w:pBdr>
          <w:top w:val="nil"/>
          <w:left w:val="nil"/>
          <w:bottom w:val="nil"/>
          <w:right w:val="nil"/>
          <w:between w:val="nil"/>
        </w:pBdr>
        <w:spacing w:before="240" w:after="240" w:line="480" w:lineRule="auto"/>
        <w:rPr>
          <w:b/>
          <w:color w:val="000000"/>
        </w:rPr>
      </w:pPr>
    </w:p>
    <w:p w14:paraId="1156DA4A" w14:textId="77777777" w:rsidR="00C55C27" w:rsidRDefault="00C55C27" w:rsidP="000B12BC">
      <w:pPr>
        <w:pBdr>
          <w:top w:val="nil"/>
          <w:left w:val="nil"/>
          <w:bottom w:val="nil"/>
          <w:right w:val="nil"/>
          <w:between w:val="nil"/>
        </w:pBdr>
        <w:spacing w:before="240" w:after="240" w:line="480" w:lineRule="auto"/>
        <w:rPr>
          <w:b/>
          <w:color w:val="000000"/>
        </w:rPr>
      </w:pPr>
    </w:p>
    <w:p w14:paraId="4C00FADC" w14:textId="77777777" w:rsidR="00C55C27" w:rsidRDefault="00154CAC" w:rsidP="000B12BC">
      <w:pPr>
        <w:spacing w:before="240" w:after="240" w:line="480" w:lineRule="auto"/>
        <w:rPr>
          <w:color w:val="000000"/>
        </w:rPr>
      </w:pPr>
      <w:r>
        <w:rPr>
          <w:noProof/>
        </w:rPr>
        <w:drawing>
          <wp:inline distT="0" distB="0" distL="0" distR="0" wp14:anchorId="03360C53" wp14:editId="4B837031">
            <wp:extent cx="5943600" cy="30441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3"/>
                    <a:srcRect/>
                    <a:stretch>
                      <a:fillRect/>
                    </a:stretch>
                  </pic:blipFill>
                  <pic:spPr>
                    <a:xfrm>
                      <a:off x="0" y="0"/>
                      <a:ext cx="5943600" cy="3044190"/>
                    </a:xfrm>
                    <a:prstGeom prst="rect">
                      <a:avLst/>
                    </a:prstGeom>
                    <a:ln/>
                  </pic:spPr>
                </pic:pic>
              </a:graphicData>
            </a:graphic>
          </wp:inline>
        </w:drawing>
      </w:r>
    </w:p>
    <w:p w14:paraId="5CA4A9AE" w14:textId="51844FC1" w:rsidR="00C55C27" w:rsidRDefault="00154CAC" w:rsidP="000B12BC">
      <w:pPr>
        <w:spacing w:before="240" w:after="240" w:line="480" w:lineRule="auto"/>
        <w:rPr>
          <w:color w:val="000000"/>
        </w:rPr>
      </w:pPr>
      <w:r>
        <w:rPr>
          <w:b/>
          <w:color w:val="000000"/>
        </w:rPr>
        <w:t>Figure 3.</w:t>
      </w:r>
      <w:r>
        <w:rPr>
          <w:color w:val="000000"/>
        </w:rPr>
        <w:t xml:space="preserve"> A global knowledge commons to support implementation of </w:t>
      </w:r>
      <w:r w:rsidR="000A5CF3">
        <w:rPr>
          <w:color w:val="000000"/>
        </w:rPr>
        <w:t>the System of Environmental-Economic Accounting – Ecosystem Accounting (</w:t>
      </w:r>
      <w:r>
        <w:rPr>
          <w:color w:val="000000"/>
        </w:rPr>
        <w:t>SEEA EA</w:t>
      </w:r>
      <w:r w:rsidR="000A5CF3">
        <w:rPr>
          <w:color w:val="000000"/>
        </w:rPr>
        <w:t>)</w:t>
      </w:r>
      <w:r>
        <w:rPr>
          <w:color w:val="000000"/>
        </w:rPr>
        <w:t>. Process</w:t>
      </w:r>
      <w:r w:rsidR="00A31ED1">
        <w:rPr>
          <w:color w:val="000000"/>
        </w:rPr>
        <w:t>es</w:t>
      </w:r>
      <w:r>
        <w:rPr>
          <w:color w:val="000000"/>
        </w:rPr>
        <w:t xml:space="preserve"> for an individual country </w:t>
      </w:r>
      <w:r w:rsidR="00A31ED1">
        <w:rPr>
          <w:color w:val="000000"/>
        </w:rPr>
        <w:t>are</w:t>
      </w:r>
      <w:r>
        <w:rPr>
          <w:color w:val="000000"/>
        </w:rPr>
        <w:t xml:space="preserve"> on the left. Countries will likely vary in their use of and contributions to a global knowledge commons (reflected by yellow arrows of varying width, right side of the figure).</w:t>
      </w:r>
      <w:r w:rsidR="000A5CF3">
        <w:rPr>
          <w:color w:val="000000"/>
        </w:rPr>
        <w:t xml:space="preserve"> For further details, see U.N. et al. (2023). Concrete examples of contributions to an interoperable global knowledge base for SEEA include EU data and models for forest condition and soil erosion control accounts (see Box 3).</w:t>
      </w:r>
    </w:p>
    <w:p w14:paraId="340E574C" w14:textId="77777777" w:rsidR="00C55C27" w:rsidRDefault="00C55C27" w:rsidP="000B12BC">
      <w:pPr>
        <w:pBdr>
          <w:top w:val="nil"/>
          <w:left w:val="nil"/>
          <w:bottom w:val="nil"/>
          <w:right w:val="nil"/>
          <w:between w:val="nil"/>
        </w:pBdr>
        <w:spacing w:before="240" w:after="240" w:line="480" w:lineRule="auto"/>
        <w:rPr>
          <w:b/>
          <w:color w:val="000000"/>
        </w:rPr>
      </w:pPr>
    </w:p>
    <w:p w14:paraId="2537C558" w14:textId="77777777" w:rsidR="00C55C27" w:rsidRDefault="00C55C27" w:rsidP="000B12BC">
      <w:pPr>
        <w:pBdr>
          <w:top w:val="nil"/>
          <w:left w:val="nil"/>
          <w:bottom w:val="nil"/>
          <w:right w:val="nil"/>
          <w:between w:val="nil"/>
        </w:pBdr>
        <w:spacing w:before="240" w:after="240" w:line="480" w:lineRule="auto"/>
        <w:rPr>
          <w:b/>
          <w:color w:val="000000"/>
        </w:rPr>
      </w:pPr>
    </w:p>
    <w:p w14:paraId="679A866D" w14:textId="77777777" w:rsidR="00C55C27" w:rsidRDefault="00154CAC" w:rsidP="000B12BC">
      <w:pPr>
        <w:spacing w:line="480" w:lineRule="auto"/>
      </w:pPr>
      <w:r>
        <w:rPr>
          <w:noProof/>
        </w:rPr>
        <w:lastRenderedPageBreak/>
        <w:drawing>
          <wp:inline distT="0" distB="0" distL="0" distR="0" wp14:anchorId="0C73EFCF" wp14:editId="56C380CF">
            <wp:extent cx="5943600" cy="3982720"/>
            <wp:effectExtent l="0" t="0" r="0" b="0"/>
            <wp:docPr id="4"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64"/>
                    <a:srcRect/>
                    <a:stretch>
                      <a:fillRect/>
                    </a:stretch>
                  </pic:blipFill>
                  <pic:spPr>
                    <a:xfrm>
                      <a:off x="0" y="0"/>
                      <a:ext cx="5943600" cy="3982720"/>
                    </a:xfrm>
                    <a:prstGeom prst="rect">
                      <a:avLst/>
                    </a:prstGeom>
                    <a:ln/>
                  </pic:spPr>
                </pic:pic>
              </a:graphicData>
            </a:graphic>
          </wp:inline>
        </w:drawing>
      </w:r>
    </w:p>
    <w:p w14:paraId="2E23EC0D" w14:textId="43A39FA4" w:rsidR="00C55C27" w:rsidRDefault="00154CAC" w:rsidP="000B12BC">
      <w:pPr>
        <w:spacing w:line="480" w:lineRule="auto"/>
      </w:pPr>
      <w:r>
        <w:rPr>
          <w:b/>
        </w:rPr>
        <w:t>Figure 4.</w:t>
      </w:r>
      <w:r>
        <w:t xml:space="preserve"> Roles in the transition to interoperable science. </w:t>
      </w:r>
      <w:r w:rsidR="000A5CF3">
        <w:t xml:space="preserve">FAIR: Findable, Accessible, Interoperable, Reusable; NGO: non-governmental organization. </w:t>
      </w:r>
      <w:r>
        <w:t>Adapted from Balbi et al., 2022, reproduced under CC BY 4.0.</w:t>
      </w:r>
    </w:p>
    <w:sectPr w:rsidR="00C55C27" w:rsidSect="002E2731">
      <w:headerReference w:type="default" r:id="rId165"/>
      <w:footerReference w:type="default" r:id="rId166"/>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30735" w14:textId="77777777" w:rsidR="00F12F82" w:rsidRDefault="00F12F82">
      <w:pPr>
        <w:spacing w:after="0" w:line="240" w:lineRule="auto"/>
      </w:pPr>
      <w:r>
        <w:separator/>
      </w:r>
    </w:p>
  </w:endnote>
  <w:endnote w:type="continuationSeparator" w:id="0">
    <w:p w14:paraId="6E3C96BE" w14:textId="77777777" w:rsidR="00F12F82" w:rsidRDefault="00F12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haris SI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66EC" w14:textId="77777777" w:rsidR="00C55C27" w:rsidRDefault="00154CAC">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A9357C">
      <w:rPr>
        <w:noProof/>
        <w:color w:val="000000"/>
      </w:rPr>
      <w:t>1</w:t>
    </w:r>
    <w:r>
      <w:rPr>
        <w:color w:val="000000"/>
      </w:rPr>
      <w:fldChar w:fldCharType="end"/>
    </w:r>
  </w:p>
  <w:p w14:paraId="1C35358B" w14:textId="77777777" w:rsidR="00C55C27" w:rsidRDefault="00C55C2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DED9E" w14:textId="77777777" w:rsidR="00F12F82" w:rsidRDefault="00F12F82">
      <w:pPr>
        <w:spacing w:after="0" w:line="240" w:lineRule="auto"/>
      </w:pPr>
      <w:r>
        <w:separator/>
      </w:r>
    </w:p>
  </w:footnote>
  <w:footnote w:type="continuationSeparator" w:id="0">
    <w:p w14:paraId="22AC7E80" w14:textId="77777777" w:rsidR="00F12F82" w:rsidRDefault="00F12F82">
      <w:pPr>
        <w:spacing w:after="0" w:line="240" w:lineRule="auto"/>
      </w:pPr>
      <w:r>
        <w:continuationSeparator/>
      </w:r>
    </w:p>
  </w:footnote>
  <w:footnote w:id="1">
    <w:p w14:paraId="57C1D6CA" w14:textId="2AFC0F6A" w:rsidR="003D6435" w:rsidRDefault="003D6435">
      <w:pPr>
        <w:pStyle w:val="FootnoteText"/>
      </w:pPr>
      <w:r>
        <w:rPr>
          <w:rStyle w:val="FootnoteReference"/>
        </w:rPr>
        <w:footnoteRef/>
      </w:r>
      <w:r>
        <w:t xml:space="preserve"> </w:t>
      </w:r>
      <w:r w:rsidR="00DC4259">
        <w:t xml:space="preserve">We use </w:t>
      </w:r>
      <w:r w:rsidR="00DC07A7">
        <w:t xml:space="preserve">the term </w:t>
      </w:r>
      <w:r w:rsidR="00DC4259">
        <w:t xml:space="preserve">“knowledge” </w:t>
      </w:r>
      <w:r w:rsidR="00F26E79">
        <w:t xml:space="preserve">in reference to scientific data and models, recognizing that </w:t>
      </w:r>
      <w:r w:rsidR="00DC07A7">
        <w:t>data and models</w:t>
      </w:r>
      <w:r w:rsidR="00F26E79">
        <w:t xml:space="preserve"> embody </w:t>
      </w:r>
      <w:r w:rsidR="009A6391">
        <w:t xml:space="preserve">statements of scientific knowledge </w:t>
      </w:r>
      <w:r w:rsidR="00DC4259">
        <w:t>(Villa et al., 2009).</w:t>
      </w:r>
    </w:p>
  </w:footnote>
  <w:footnote w:id="2">
    <w:p w14:paraId="30A800B5" w14:textId="77777777" w:rsidR="003E5FF3" w:rsidRDefault="003E5FF3" w:rsidP="003E5FF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For a short, humorous perspective on the consequences of ignoring the FAIR Principles, see Hanson et al. (2012).</w:t>
      </w:r>
    </w:p>
  </w:footnote>
  <w:footnote w:id="3">
    <w:p w14:paraId="4F3BAEC6" w14:textId="441D245A" w:rsidR="00B41ABA" w:rsidRDefault="00B41ABA">
      <w:pPr>
        <w:pStyle w:val="FootnoteText"/>
      </w:pPr>
      <w:r>
        <w:rPr>
          <w:rStyle w:val="FootnoteReference"/>
        </w:rPr>
        <w:footnoteRef/>
      </w:r>
      <w:r>
        <w:t xml:space="preserve"> </w:t>
      </w:r>
      <w:r>
        <w:rPr>
          <w:color w:val="000000"/>
        </w:rPr>
        <w:t>We use the term “ES assessment” for studies quantify</w:t>
      </w:r>
      <w:r w:rsidR="00E80640">
        <w:rPr>
          <w:color w:val="000000"/>
        </w:rPr>
        <w:t>ing</w:t>
      </w:r>
      <w:r>
        <w:rPr>
          <w:color w:val="000000"/>
        </w:rPr>
        <w:t xml:space="preserve"> ES in relative, physical, and/or monetary terms; “ES monitoring” </w:t>
      </w:r>
      <w:r w:rsidR="00E80640">
        <w:rPr>
          <w:color w:val="000000"/>
        </w:rPr>
        <w:t>for</w:t>
      </w:r>
      <w:r>
        <w:rPr>
          <w:color w:val="000000"/>
        </w:rPr>
        <w:t xml:space="preserve"> approaches </w:t>
      </w:r>
      <w:r w:rsidR="00E80640">
        <w:rPr>
          <w:color w:val="000000"/>
        </w:rPr>
        <w:t>using</w:t>
      </w:r>
      <w:r>
        <w:rPr>
          <w:color w:val="000000"/>
        </w:rPr>
        <w:t xml:space="preserve"> repeated measurement or modeling to track changes in ES over time; and “ES accounting” for approaches us</w:t>
      </w:r>
      <w:r w:rsidR="005811A2">
        <w:rPr>
          <w:color w:val="000000"/>
        </w:rPr>
        <w:t>ing</w:t>
      </w:r>
      <w:r>
        <w:rPr>
          <w:color w:val="000000"/>
        </w:rPr>
        <w:t xml:space="preserve"> accounting rules to structure information on ES (e.g., U.N. 2021). ES modeling is frequently used in all three types of studies.</w:t>
      </w:r>
    </w:p>
  </w:footnote>
  <w:footnote w:id="4">
    <w:p w14:paraId="1B97826C" w14:textId="274F2086" w:rsidR="00C55C27" w:rsidRDefault="00154CAC">
      <w:pPr>
        <w:spacing w:after="0" w:line="240" w:lineRule="auto"/>
        <w:rPr>
          <w:color w:val="000000"/>
        </w:rPr>
      </w:pPr>
      <w:r>
        <w:rPr>
          <w:vertAlign w:val="superscript"/>
        </w:rPr>
        <w:footnoteRef/>
      </w:r>
      <w:r>
        <w:rPr>
          <w:color w:val="000000"/>
        </w:rPr>
        <w:t xml:space="preserve"> </w:t>
      </w:r>
      <w:r w:rsidRPr="006820C4">
        <w:rPr>
          <w:color w:val="000000"/>
          <w:sz w:val="20"/>
          <w:szCs w:val="20"/>
        </w:rPr>
        <w:t xml:space="preserve">In this article, we will not touch upon the meanings of meaning and their </w:t>
      </w:r>
      <w:proofErr w:type="gramStart"/>
      <w:r w:rsidRPr="006820C4">
        <w:rPr>
          <w:color w:val="000000"/>
          <w:sz w:val="20"/>
          <w:szCs w:val="20"/>
        </w:rPr>
        <w:t>relation</w:t>
      </w:r>
      <w:proofErr w:type="gramEnd"/>
      <w:r w:rsidRPr="006820C4">
        <w:rPr>
          <w:color w:val="000000"/>
          <w:sz w:val="20"/>
          <w:szCs w:val="20"/>
        </w:rPr>
        <w:t xml:space="preserve"> with words and concepts, which have already been the subject of multiple articles, for example, collected in the Stanford Encyclopedia of Philosophy (</w:t>
      </w:r>
      <w:r w:rsidR="00E31741" w:rsidRPr="00CF02C5">
        <w:rPr>
          <w:color w:val="000000"/>
          <w:sz w:val="20"/>
          <w:szCs w:val="20"/>
        </w:rPr>
        <w:t>Zalta and Nodelman, 2024</w:t>
      </w:r>
      <w:r w:rsidRPr="00CF02C5">
        <w:rPr>
          <w:color w:val="000000"/>
          <w:sz w:val="20"/>
          <w:szCs w:val="20"/>
        </w:rPr>
        <w:t>).</w:t>
      </w:r>
    </w:p>
  </w:footnote>
  <w:footnote w:id="5">
    <w:p w14:paraId="2E5E4012" w14:textId="587067B4" w:rsidR="00B05912" w:rsidRDefault="00B05912">
      <w:pPr>
        <w:pStyle w:val="FootnoteText"/>
      </w:pPr>
      <w:r>
        <w:rPr>
          <w:rStyle w:val="FootnoteReference"/>
        </w:rPr>
        <w:footnoteRef/>
      </w:r>
      <w:r>
        <w:t xml:space="preserve"> </w:t>
      </w:r>
      <w:r w:rsidRPr="00B05912">
        <w:rPr>
          <w:rStyle w:val="cf01"/>
          <w:rFonts w:asciiTheme="majorHAnsi" w:hAnsiTheme="majorHAnsi" w:cstheme="majorHAnsi"/>
          <w:sz w:val="20"/>
          <w:szCs w:val="20"/>
        </w:rPr>
        <w:t xml:space="preserve">Besides philosophy, fields including cognitive science, physiology, and cognitive semantics have contributed to the study of categorization and concept representation. While some approaches borrowed ideas from the Aristotelian tradition, others were inspired by psychology, </w:t>
      </w:r>
      <w:r w:rsidR="00B513AF">
        <w:rPr>
          <w:rStyle w:val="cf01"/>
          <w:rFonts w:asciiTheme="majorHAnsi" w:hAnsiTheme="majorHAnsi" w:cstheme="majorHAnsi"/>
          <w:sz w:val="20"/>
          <w:szCs w:val="20"/>
        </w:rPr>
        <w:t>e.g.,</w:t>
      </w:r>
      <w:r w:rsidRPr="00B05912">
        <w:rPr>
          <w:rStyle w:val="cf01"/>
          <w:rFonts w:asciiTheme="majorHAnsi" w:hAnsiTheme="majorHAnsi" w:cstheme="majorHAnsi"/>
          <w:sz w:val="20"/>
          <w:szCs w:val="20"/>
        </w:rPr>
        <w:t xml:space="preserve"> prototype theory, which emphasizes the role of natural categories and their defining characteristics in concept categorization (Margolis and Laurence, 2023).</w:t>
      </w:r>
    </w:p>
  </w:footnote>
  <w:footnote w:id="6">
    <w:p w14:paraId="4BD4EDF1" w14:textId="61719E21" w:rsidR="001E1B63" w:rsidRDefault="001E1B63">
      <w:pPr>
        <w:pStyle w:val="FootnoteText"/>
      </w:pPr>
      <w:r>
        <w:rPr>
          <w:rStyle w:val="FootnoteReference"/>
        </w:rPr>
        <w:footnoteRef/>
      </w:r>
      <w:r>
        <w:t xml:space="preserve"> </w:t>
      </w:r>
      <w:r>
        <w:rPr>
          <w:rStyle w:val="cf01"/>
        </w:rPr>
        <w:t>Knowledge engineers are interdisciplinary professionals who design and develop systems that capture, formalize, and structure knowledge, creating and maintaining ontologies (Neuhaus et al., 2011).</w:t>
      </w:r>
    </w:p>
  </w:footnote>
  <w:footnote w:id="7">
    <w:p w14:paraId="47D08303" w14:textId="77777777" w:rsidR="0064166E" w:rsidRPr="00B371E1" w:rsidRDefault="0064166E" w:rsidP="0064166E">
      <w:pPr>
        <w:spacing w:before="240" w:line="240" w:lineRule="auto"/>
        <w:rPr>
          <w:rFonts w:asciiTheme="majorHAnsi" w:hAnsiTheme="majorHAnsi" w:cstheme="majorHAnsi"/>
          <w:sz w:val="20"/>
          <w:szCs w:val="20"/>
        </w:rPr>
      </w:pPr>
      <w:r>
        <w:rPr>
          <w:rStyle w:val="FootnoteReference"/>
        </w:rPr>
        <w:footnoteRef/>
      </w:r>
      <w:r>
        <w:t xml:space="preserve"> </w:t>
      </w:r>
      <w:r w:rsidRPr="00B371E1">
        <w:rPr>
          <w:sz w:val="20"/>
          <w:szCs w:val="20"/>
        </w:rPr>
        <w:t xml:space="preserve">While full consensus on such definitions </w:t>
      </w:r>
      <w:r w:rsidRPr="00B371E1">
        <w:rPr>
          <w:rFonts w:asciiTheme="majorHAnsi" w:hAnsiTheme="majorHAnsi" w:cstheme="majorHAnsi"/>
          <w:sz w:val="20"/>
          <w:szCs w:val="20"/>
        </w:rPr>
        <w:t xml:space="preserve">may be desirable, </w:t>
      </w:r>
      <w:r w:rsidRPr="00B371E1">
        <w:rPr>
          <w:rFonts w:asciiTheme="majorHAnsi" w:hAnsiTheme="majorHAnsi" w:cstheme="majorHAnsi"/>
          <w:color w:val="000000"/>
          <w:sz w:val="20"/>
          <w:szCs w:val="20"/>
        </w:rPr>
        <w:t>harmonized typologies (e.g., to IUCN’s Global Ecosystem Typology</w:t>
      </w:r>
      <w:r>
        <w:rPr>
          <w:rFonts w:asciiTheme="majorHAnsi" w:hAnsiTheme="majorHAnsi" w:cstheme="majorHAnsi"/>
          <w:color w:val="000000"/>
          <w:sz w:val="20"/>
          <w:szCs w:val="20"/>
        </w:rPr>
        <w:t>, Keith et al., 2022</w:t>
      </w:r>
      <w:r w:rsidRPr="00B371E1">
        <w:rPr>
          <w:rFonts w:asciiTheme="majorHAnsi" w:hAnsiTheme="majorHAnsi" w:cstheme="majorHAnsi"/>
          <w:color w:val="000000"/>
          <w:sz w:val="20"/>
          <w:szCs w:val="20"/>
        </w:rPr>
        <w:t>) and crosswalks can be challenging to develop,</w:t>
      </w:r>
      <w:r w:rsidRPr="00B371E1">
        <w:rPr>
          <w:rFonts w:asciiTheme="majorHAnsi" w:hAnsiTheme="majorHAnsi" w:cstheme="majorHAnsi"/>
          <w:b/>
          <w:bCs/>
          <w:color w:val="000000"/>
          <w:sz w:val="20"/>
          <w:szCs w:val="20"/>
        </w:rPr>
        <w:t xml:space="preserve"> </w:t>
      </w:r>
      <w:r w:rsidRPr="00B371E1">
        <w:rPr>
          <w:rFonts w:asciiTheme="majorHAnsi" w:hAnsiTheme="majorHAnsi" w:cstheme="majorHAnsi"/>
          <w:color w:val="000000"/>
          <w:sz w:val="20"/>
          <w:szCs w:val="20"/>
        </w:rPr>
        <w:t>and a single</w:t>
      </w:r>
      <w:r w:rsidRPr="00B371E1">
        <w:rPr>
          <w:rFonts w:ascii="Segoe UI" w:hAnsi="Segoe UI" w:cs="Segoe UI"/>
          <w:color w:val="000000"/>
          <w:sz w:val="20"/>
          <w:szCs w:val="20"/>
        </w:rPr>
        <w:t xml:space="preserve"> </w:t>
      </w:r>
      <w:r w:rsidRPr="00B371E1">
        <w:rPr>
          <w:rFonts w:asciiTheme="majorHAnsi" w:hAnsiTheme="majorHAnsi" w:cstheme="majorHAnsi"/>
          <w:color w:val="000000"/>
          <w:sz w:val="20"/>
          <w:szCs w:val="20"/>
        </w:rPr>
        <w:t>universal</w:t>
      </w:r>
      <w:r w:rsidRPr="00B371E1">
        <w:rPr>
          <w:rFonts w:ascii="Segoe UI" w:hAnsi="Segoe UI" w:cs="Segoe UI"/>
          <w:b/>
          <w:bCs/>
          <w:color w:val="000000"/>
          <w:sz w:val="20"/>
          <w:szCs w:val="20"/>
        </w:rPr>
        <w:t xml:space="preserve"> </w:t>
      </w:r>
      <w:r w:rsidRPr="00B371E1">
        <w:rPr>
          <w:rFonts w:asciiTheme="majorHAnsi" w:hAnsiTheme="majorHAnsi" w:cstheme="majorHAnsi"/>
          <w:color w:val="000000"/>
          <w:sz w:val="20"/>
          <w:szCs w:val="20"/>
        </w:rPr>
        <w:t>classification may not meet all user needs.</w:t>
      </w:r>
      <w:r w:rsidRPr="00B371E1">
        <w:rPr>
          <w:rFonts w:ascii="Segoe UI" w:hAnsi="Segoe UI" w:cs="Segoe UI"/>
          <w:b/>
          <w:bCs/>
          <w:color w:val="000000"/>
          <w:sz w:val="20"/>
          <w:szCs w:val="20"/>
        </w:rPr>
        <w:t xml:space="preserve"> </w:t>
      </w:r>
      <w:r w:rsidRPr="00B371E1">
        <w:rPr>
          <w:rFonts w:asciiTheme="majorHAnsi" w:hAnsiTheme="majorHAnsi" w:cstheme="majorHAnsi"/>
          <w:color w:val="000000"/>
          <w:sz w:val="20"/>
          <w:szCs w:val="20"/>
        </w:rPr>
        <w:t>However, explicitly noting the typology used and appropriate</w:t>
      </w:r>
      <w:r>
        <w:rPr>
          <w:rFonts w:asciiTheme="majorHAnsi" w:hAnsiTheme="majorHAnsi" w:cstheme="majorHAnsi"/>
          <w:color w:val="000000"/>
        </w:rPr>
        <w:t xml:space="preserve"> </w:t>
      </w:r>
      <w:r w:rsidRPr="00B371E1">
        <w:rPr>
          <w:rFonts w:asciiTheme="majorHAnsi" w:hAnsiTheme="majorHAnsi" w:cstheme="majorHAnsi"/>
          <w:color w:val="000000"/>
          <w:sz w:val="20"/>
          <w:szCs w:val="20"/>
        </w:rPr>
        <w:t xml:space="preserve">reuse constraints </w:t>
      </w:r>
      <w:r w:rsidRPr="00B371E1">
        <w:rPr>
          <w:rFonts w:asciiTheme="majorHAnsi" w:hAnsiTheme="majorHAnsi" w:cstheme="majorHAnsi"/>
          <w:color w:val="2A2A2A"/>
          <w:sz w:val="20"/>
          <w:szCs w:val="20"/>
          <w:shd w:val="clear" w:color="auto" w:fill="FFFFFF"/>
        </w:rPr>
        <w:t>would allow clear</w:t>
      </w:r>
      <w:r>
        <w:rPr>
          <w:rFonts w:asciiTheme="majorHAnsi" w:hAnsiTheme="majorHAnsi" w:cstheme="majorHAnsi"/>
          <w:color w:val="2A2A2A"/>
          <w:sz w:val="20"/>
          <w:szCs w:val="20"/>
          <w:shd w:val="clear" w:color="auto" w:fill="FFFFFF"/>
        </w:rPr>
        <w:t>er</w:t>
      </w:r>
      <w:r w:rsidRPr="00B371E1">
        <w:rPr>
          <w:rFonts w:asciiTheme="majorHAnsi" w:hAnsiTheme="majorHAnsi" w:cstheme="majorHAnsi"/>
          <w:color w:val="2A2A2A"/>
          <w:sz w:val="20"/>
          <w:szCs w:val="20"/>
          <w:shd w:val="clear" w:color="auto" w:fill="FFFFFF"/>
        </w:rPr>
        <w:t xml:space="preserve"> explanation of model reuse criteria</w:t>
      </w:r>
      <w:r w:rsidRPr="00B371E1">
        <w:rPr>
          <w:rFonts w:asciiTheme="majorHAnsi" w:hAnsiTheme="majorHAnsi" w:cstheme="majorHAnsi"/>
          <w:color w:val="000000"/>
          <w:sz w:val="20"/>
          <w:szCs w:val="20"/>
        </w:rPr>
        <w:t xml:space="preserve"> (e.g., use of “model X is appropriate in Dinerstein et al.</w:t>
      </w:r>
      <w:r>
        <w:rPr>
          <w:rFonts w:asciiTheme="majorHAnsi" w:hAnsiTheme="majorHAnsi" w:cstheme="majorHAnsi"/>
          <w:color w:val="000000"/>
          <w:sz w:val="20"/>
          <w:szCs w:val="20"/>
        </w:rPr>
        <w:t>,</w:t>
      </w:r>
      <w:r w:rsidRPr="00B371E1">
        <w:rPr>
          <w:rFonts w:asciiTheme="majorHAnsi" w:hAnsiTheme="majorHAnsi" w:cstheme="majorHAnsi"/>
          <w:color w:val="000000"/>
          <w:sz w:val="20"/>
          <w:szCs w:val="20"/>
        </w:rPr>
        <w:t xml:space="preserve"> 2017 </w:t>
      </w:r>
      <w:r w:rsidRPr="00B371E1">
        <w:rPr>
          <w:rFonts w:asciiTheme="majorHAnsi" w:hAnsiTheme="majorHAnsi" w:cstheme="majorHAnsi"/>
          <w:color w:val="2A2A2A"/>
          <w:sz w:val="20"/>
          <w:szCs w:val="20"/>
          <w:shd w:val="clear" w:color="auto" w:fill="FFFFFF"/>
        </w:rPr>
        <w:t>Deserts and xeric shrubland biomes” or “dataset Y is appropriately applied in Sayre et al.</w:t>
      </w:r>
      <w:r>
        <w:rPr>
          <w:rFonts w:asciiTheme="majorHAnsi" w:hAnsiTheme="majorHAnsi" w:cstheme="majorHAnsi"/>
          <w:color w:val="2A2A2A"/>
          <w:sz w:val="20"/>
          <w:szCs w:val="20"/>
          <w:shd w:val="clear" w:color="auto" w:fill="FFFFFF"/>
        </w:rPr>
        <w:t>,</w:t>
      </w:r>
      <w:r w:rsidRPr="00B371E1">
        <w:rPr>
          <w:rFonts w:asciiTheme="majorHAnsi" w:hAnsiTheme="majorHAnsi" w:cstheme="majorHAnsi"/>
          <w:color w:val="2A2A2A"/>
          <w:sz w:val="20"/>
          <w:szCs w:val="20"/>
          <w:shd w:val="clear" w:color="auto" w:fill="FFFFFF"/>
        </w:rPr>
        <w:t xml:space="preserve"> 2020 Tropical moist world climate regions”).</w:t>
      </w:r>
    </w:p>
  </w:footnote>
  <w:footnote w:id="8">
    <w:p w14:paraId="596B5EBB" w14:textId="72655582" w:rsidR="00687FF1" w:rsidRDefault="00687FF1" w:rsidP="00687FF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These papers use a definition of ontology – the study of our understanding of reality – that is distinct </w:t>
      </w:r>
      <w:r w:rsidR="00B36E90">
        <w:rPr>
          <w:color w:val="000000"/>
          <w:sz w:val="20"/>
          <w:szCs w:val="20"/>
        </w:rPr>
        <w:t xml:space="preserve">but </w:t>
      </w:r>
      <w:r>
        <w:rPr>
          <w:color w:val="000000"/>
          <w:sz w:val="20"/>
          <w:szCs w:val="20"/>
        </w:rPr>
        <w:t xml:space="preserve">related to the definition used </w:t>
      </w:r>
      <w:r w:rsidR="00297819">
        <w:rPr>
          <w:color w:val="000000"/>
          <w:sz w:val="20"/>
          <w:szCs w:val="20"/>
        </w:rPr>
        <w:t>in</w:t>
      </w:r>
      <w:r>
        <w:rPr>
          <w:color w:val="000000"/>
          <w:sz w:val="20"/>
          <w:szCs w:val="20"/>
        </w:rPr>
        <w:t xml:space="preserve"> this paper. In the former sense, pluralistic ontologies enable the coexistence of, for example, Western materialist and indigenous worldviews. This enables more diverse conceptualizations of complex, reciprocal human-nature relationships includ</w:t>
      </w:r>
      <w:r w:rsidR="00350A38">
        <w:rPr>
          <w:color w:val="000000"/>
          <w:sz w:val="20"/>
          <w:szCs w:val="20"/>
        </w:rPr>
        <w:t>ing</w:t>
      </w:r>
      <w:r>
        <w:rPr>
          <w:color w:val="000000"/>
          <w:sz w:val="20"/>
          <w:szCs w:val="20"/>
        </w:rPr>
        <w:t xml:space="preserve"> instrumental, intrinsic, and relational values. In the latter sense, pluralistic ontologies undermine interoperability by applying, for instance, incompatible metadata keywords that compromise the ability of people or machines to reliably reuse data or models.</w:t>
      </w:r>
    </w:p>
  </w:footnote>
  <w:footnote w:id="9">
    <w:p w14:paraId="674938B8" w14:textId="77777777" w:rsidR="00C55C27" w:rsidRDefault="00154CA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Specifically, the “Bari Manifesto” calls for the use of (1) data management plans, (2) common data structures, (3) metadata using community-accepted standards, (4) data quality control, (5) standardized APIs, (6) standard, reproducible workflows, (7) human and machine-readable provenance, (8) development and use of standard ontologies, (9) preservation in repositories using persistent identifiers, and (10) adherence to the FAIR principles (Hardisty et al.,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30BC" w14:textId="77777777" w:rsidR="00C55C27" w:rsidRDefault="00C55C27">
    <w:pPr>
      <w:pBdr>
        <w:top w:val="nil"/>
        <w:left w:val="nil"/>
        <w:bottom w:val="nil"/>
        <w:right w:val="nil"/>
        <w:between w:val="nil"/>
      </w:pBdr>
      <w:tabs>
        <w:tab w:val="center" w:pos="4252"/>
        <w:tab w:val="right" w:pos="8504"/>
      </w:tabs>
      <w:jc w:val="right"/>
      <w:rPr>
        <w:color w:val="000000"/>
      </w:rPr>
    </w:pPr>
  </w:p>
  <w:p w14:paraId="398F856C" w14:textId="77777777" w:rsidR="00C55C27" w:rsidRDefault="00C55C2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0A3A"/>
    <w:multiLevelType w:val="multilevel"/>
    <w:tmpl w:val="2C1A2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2232CB"/>
    <w:multiLevelType w:val="hybridMultilevel"/>
    <w:tmpl w:val="BD7A63B6"/>
    <w:lvl w:ilvl="0" w:tplc="BC246ADC">
      <w:start w:val="1"/>
      <w:numFmt w:val="decimal"/>
      <w:lvlText w:val="%1."/>
      <w:lvlJc w:val="left"/>
      <w:pPr>
        <w:ind w:left="1020" w:hanging="360"/>
      </w:pPr>
    </w:lvl>
    <w:lvl w:ilvl="1" w:tplc="034A6ACA">
      <w:start w:val="1"/>
      <w:numFmt w:val="decimal"/>
      <w:lvlText w:val="%2."/>
      <w:lvlJc w:val="left"/>
      <w:pPr>
        <w:ind w:left="1020" w:hanging="360"/>
      </w:pPr>
    </w:lvl>
    <w:lvl w:ilvl="2" w:tplc="1E389646">
      <w:start w:val="1"/>
      <w:numFmt w:val="decimal"/>
      <w:lvlText w:val="%3."/>
      <w:lvlJc w:val="left"/>
      <w:pPr>
        <w:ind w:left="1020" w:hanging="360"/>
      </w:pPr>
    </w:lvl>
    <w:lvl w:ilvl="3" w:tplc="6130C9BA">
      <w:start w:val="1"/>
      <w:numFmt w:val="decimal"/>
      <w:lvlText w:val="%4."/>
      <w:lvlJc w:val="left"/>
      <w:pPr>
        <w:ind w:left="1020" w:hanging="360"/>
      </w:pPr>
    </w:lvl>
    <w:lvl w:ilvl="4" w:tplc="9D74F268">
      <w:start w:val="1"/>
      <w:numFmt w:val="decimal"/>
      <w:lvlText w:val="%5."/>
      <w:lvlJc w:val="left"/>
      <w:pPr>
        <w:ind w:left="1020" w:hanging="360"/>
      </w:pPr>
    </w:lvl>
    <w:lvl w:ilvl="5" w:tplc="45C050D4">
      <w:start w:val="1"/>
      <w:numFmt w:val="decimal"/>
      <w:lvlText w:val="%6."/>
      <w:lvlJc w:val="left"/>
      <w:pPr>
        <w:ind w:left="1020" w:hanging="360"/>
      </w:pPr>
    </w:lvl>
    <w:lvl w:ilvl="6" w:tplc="4EA4560A">
      <w:start w:val="1"/>
      <w:numFmt w:val="decimal"/>
      <w:lvlText w:val="%7."/>
      <w:lvlJc w:val="left"/>
      <w:pPr>
        <w:ind w:left="1020" w:hanging="360"/>
      </w:pPr>
    </w:lvl>
    <w:lvl w:ilvl="7" w:tplc="2C4E37F6">
      <w:start w:val="1"/>
      <w:numFmt w:val="decimal"/>
      <w:lvlText w:val="%8."/>
      <w:lvlJc w:val="left"/>
      <w:pPr>
        <w:ind w:left="1020" w:hanging="360"/>
      </w:pPr>
    </w:lvl>
    <w:lvl w:ilvl="8" w:tplc="3EF003FA">
      <w:start w:val="1"/>
      <w:numFmt w:val="decimal"/>
      <w:lvlText w:val="%9."/>
      <w:lvlJc w:val="left"/>
      <w:pPr>
        <w:ind w:left="1020" w:hanging="360"/>
      </w:pPr>
    </w:lvl>
  </w:abstractNum>
  <w:abstractNum w:abstractNumId="2" w15:restartNumberingAfterBreak="0">
    <w:nsid w:val="09111118"/>
    <w:multiLevelType w:val="hybridMultilevel"/>
    <w:tmpl w:val="EDDE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86AD5"/>
    <w:multiLevelType w:val="hybridMultilevel"/>
    <w:tmpl w:val="F438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F35C1"/>
    <w:multiLevelType w:val="multilevel"/>
    <w:tmpl w:val="D39827AE"/>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0726322"/>
    <w:multiLevelType w:val="hybridMultilevel"/>
    <w:tmpl w:val="AE466154"/>
    <w:lvl w:ilvl="0" w:tplc="7994BB06">
      <w:start w:val="1"/>
      <w:numFmt w:val="decimal"/>
      <w:lvlText w:val="%1."/>
      <w:lvlJc w:val="left"/>
      <w:pPr>
        <w:ind w:left="1740" w:hanging="360"/>
      </w:pPr>
    </w:lvl>
    <w:lvl w:ilvl="1" w:tplc="59B04CCE">
      <w:start w:val="1"/>
      <w:numFmt w:val="decimal"/>
      <w:lvlText w:val="%2."/>
      <w:lvlJc w:val="left"/>
      <w:pPr>
        <w:ind w:left="2160" w:hanging="360"/>
      </w:pPr>
    </w:lvl>
    <w:lvl w:ilvl="2" w:tplc="DF8EED84">
      <w:start w:val="1"/>
      <w:numFmt w:val="decimal"/>
      <w:lvlText w:val="%3."/>
      <w:lvlJc w:val="left"/>
      <w:pPr>
        <w:ind w:left="1740" w:hanging="360"/>
      </w:pPr>
    </w:lvl>
    <w:lvl w:ilvl="3" w:tplc="76BC77B0">
      <w:start w:val="1"/>
      <w:numFmt w:val="decimal"/>
      <w:lvlText w:val="%4."/>
      <w:lvlJc w:val="left"/>
      <w:pPr>
        <w:ind w:left="1740" w:hanging="360"/>
      </w:pPr>
    </w:lvl>
    <w:lvl w:ilvl="4" w:tplc="FF6C8ACA">
      <w:start w:val="1"/>
      <w:numFmt w:val="decimal"/>
      <w:lvlText w:val="%5."/>
      <w:lvlJc w:val="left"/>
      <w:pPr>
        <w:ind w:left="1740" w:hanging="360"/>
      </w:pPr>
    </w:lvl>
    <w:lvl w:ilvl="5" w:tplc="EF7C2BF8">
      <w:start w:val="1"/>
      <w:numFmt w:val="decimal"/>
      <w:lvlText w:val="%6."/>
      <w:lvlJc w:val="left"/>
      <w:pPr>
        <w:ind w:left="1740" w:hanging="360"/>
      </w:pPr>
    </w:lvl>
    <w:lvl w:ilvl="6" w:tplc="2F32E71A">
      <w:start w:val="1"/>
      <w:numFmt w:val="decimal"/>
      <w:lvlText w:val="%7."/>
      <w:lvlJc w:val="left"/>
      <w:pPr>
        <w:ind w:left="1740" w:hanging="360"/>
      </w:pPr>
    </w:lvl>
    <w:lvl w:ilvl="7" w:tplc="70841B3A">
      <w:start w:val="1"/>
      <w:numFmt w:val="decimal"/>
      <w:lvlText w:val="%8."/>
      <w:lvlJc w:val="left"/>
      <w:pPr>
        <w:ind w:left="1740" w:hanging="360"/>
      </w:pPr>
    </w:lvl>
    <w:lvl w:ilvl="8" w:tplc="DD0C92C8">
      <w:start w:val="1"/>
      <w:numFmt w:val="decimal"/>
      <w:lvlText w:val="%9."/>
      <w:lvlJc w:val="left"/>
      <w:pPr>
        <w:ind w:left="1740" w:hanging="360"/>
      </w:pPr>
    </w:lvl>
  </w:abstractNum>
  <w:abstractNum w:abstractNumId="6" w15:restartNumberingAfterBreak="0">
    <w:nsid w:val="237A4119"/>
    <w:multiLevelType w:val="multilevel"/>
    <w:tmpl w:val="4FFC0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D87295"/>
    <w:multiLevelType w:val="hybridMultilevel"/>
    <w:tmpl w:val="029ECEDA"/>
    <w:lvl w:ilvl="0" w:tplc="541ACAC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5573BB"/>
    <w:multiLevelType w:val="hybridMultilevel"/>
    <w:tmpl w:val="2D56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C466BC"/>
    <w:multiLevelType w:val="hybridMultilevel"/>
    <w:tmpl w:val="047ED166"/>
    <w:lvl w:ilvl="0" w:tplc="C8E0D0E2">
      <w:start w:val="1"/>
      <w:numFmt w:val="decimal"/>
      <w:lvlText w:val="%1."/>
      <w:lvlJc w:val="left"/>
      <w:pPr>
        <w:ind w:left="1020" w:hanging="360"/>
      </w:pPr>
    </w:lvl>
    <w:lvl w:ilvl="1" w:tplc="E92CC79A">
      <w:start w:val="1"/>
      <w:numFmt w:val="decimal"/>
      <w:lvlText w:val="%2."/>
      <w:lvlJc w:val="left"/>
      <w:pPr>
        <w:ind w:left="1020" w:hanging="360"/>
      </w:pPr>
    </w:lvl>
    <w:lvl w:ilvl="2" w:tplc="E1C03150">
      <w:start w:val="1"/>
      <w:numFmt w:val="decimal"/>
      <w:lvlText w:val="%3."/>
      <w:lvlJc w:val="left"/>
      <w:pPr>
        <w:ind w:left="1020" w:hanging="360"/>
      </w:pPr>
    </w:lvl>
    <w:lvl w:ilvl="3" w:tplc="53160916">
      <w:start w:val="1"/>
      <w:numFmt w:val="decimal"/>
      <w:lvlText w:val="%4."/>
      <w:lvlJc w:val="left"/>
      <w:pPr>
        <w:ind w:left="1020" w:hanging="360"/>
      </w:pPr>
    </w:lvl>
    <w:lvl w:ilvl="4" w:tplc="D9702218">
      <w:start w:val="1"/>
      <w:numFmt w:val="decimal"/>
      <w:lvlText w:val="%5."/>
      <w:lvlJc w:val="left"/>
      <w:pPr>
        <w:ind w:left="1020" w:hanging="360"/>
      </w:pPr>
    </w:lvl>
    <w:lvl w:ilvl="5" w:tplc="4C70EA3A">
      <w:start w:val="1"/>
      <w:numFmt w:val="decimal"/>
      <w:lvlText w:val="%6."/>
      <w:lvlJc w:val="left"/>
      <w:pPr>
        <w:ind w:left="1020" w:hanging="360"/>
      </w:pPr>
    </w:lvl>
    <w:lvl w:ilvl="6" w:tplc="36E6774C">
      <w:start w:val="1"/>
      <w:numFmt w:val="decimal"/>
      <w:lvlText w:val="%7."/>
      <w:lvlJc w:val="left"/>
      <w:pPr>
        <w:ind w:left="1020" w:hanging="360"/>
      </w:pPr>
    </w:lvl>
    <w:lvl w:ilvl="7" w:tplc="4440C9C2">
      <w:start w:val="1"/>
      <w:numFmt w:val="decimal"/>
      <w:lvlText w:val="%8."/>
      <w:lvlJc w:val="left"/>
      <w:pPr>
        <w:ind w:left="1020" w:hanging="360"/>
      </w:pPr>
    </w:lvl>
    <w:lvl w:ilvl="8" w:tplc="8CC83DE2">
      <w:start w:val="1"/>
      <w:numFmt w:val="decimal"/>
      <w:lvlText w:val="%9."/>
      <w:lvlJc w:val="left"/>
      <w:pPr>
        <w:ind w:left="1020" w:hanging="360"/>
      </w:pPr>
    </w:lvl>
  </w:abstractNum>
  <w:abstractNum w:abstractNumId="10" w15:restartNumberingAfterBreak="0">
    <w:nsid w:val="56000A6C"/>
    <w:multiLevelType w:val="hybridMultilevel"/>
    <w:tmpl w:val="1602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106487"/>
    <w:multiLevelType w:val="hybridMultilevel"/>
    <w:tmpl w:val="D67CFBCE"/>
    <w:lvl w:ilvl="0" w:tplc="AE14E970">
      <w:start w:val="1"/>
      <w:numFmt w:val="decimal"/>
      <w:lvlText w:val="%1."/>
      <w:lvlJc w:val="left"/>
      <w:pPr>
        <w:ind w:left="1020" w:hanging="360"/>
      </w:pPr>
    </w:lvl>
    <w:lvl w:ilvl="1" w:tplc="0F8E07DE">
      <w:start w:val="1"/>
      <w:numFmt w:val="decimal"/>
      <w:lvlText w:val="%2."/>
      <w:lvlJc w:val="left"/>
      <w:pPr>
        <w:ind w:left="1020" w:hanging="360"/>
      </w:pPr>
    </w:lvl>
    <w:lvl w:ilvl="2" w:tplc="4600FB80">
      <w:start w:val="1"/>
      <w:numFmt w:val="decimal"/>
      <w:lvlText w:val="%3."/>
      <w:lvlJc w:val="left"/>
      <w:pPr>
        <w:ind w:left="1020" w:hanging="360"/>
      </w:pPr>
    </w:lvl>
    <w:lvl w:ilvl="3" w:tplc="14F6907C">
      <w:start w:val="1"/>
      <w:numFmt w:val="decimal"/>
      <w:lvlText w:val="%4."/>
      <w:lvlJc w:val="left"/>
      <w:pPr>
        <w:ind w:left="1020" w:hanging="360"/>
      </w:pPr>
    </w:lvl>
    <w:lvl w:ilvl="4" w:tplc="4EEACDC8">
      <w:start w:val="1"/>
      <w:numFmt w:val="decimal"/>
      <w:lvlText w:val="%5."/>
      <w:lvlJc w:val="left"/>
      <w:pPr>
        <w:ind w:left="1020" w:hanging="360"/>
      </w:pPr>
    </w:lvl>
    <w:lvl w:ilvl="5" w:tplc="03A8BAEE">
      <w:start w:val="1"/>
      <w:numFmt w:val="decimal"/>
      <w:lvlText w:val="%6."/>
      <w:lvlJc w:val="left"/>
      <w:pPr>
        <w:ind w:left="1020" w:hanging="360"/>
      </w:pPr>
    </w:lvl>
    <w:lvl w:ilvl="6" w:tplc="CA92D756">
      <w:start w:val="1"/>
      <w:numFmt w:val="decimal"/>
      <w:lvlText w:val="%7."/>
      <w:lvlJc w:val="left"/>
      <w:pPr>
        <w:ind w:left="1020" w:hanging="360"/>
      </w:pPr>
    </w:lvl>
    <w:lvl w:ilvl="7" w:tplc="77324822">
      <w:start w:val="1"/>
      <w:numFmt w:val="decimal"/>
      <w:lvlText w:val="%8."/>
      <w:lvlJc w:val="left"/>
      <w:pPr>
        <w:ind w:left="1020" w:hanging="360"/>
      </w:pPr>
    </w:lvl>
    <w:lvl w:ilvl="8" w:tplc="B1AEE972">
      <w:start w:val="1"/>
      <w:numFmt w:val="decimal"/>
      <w:lvlText w:val="%9."/>
      <w:lvlJc w:val="left"/>
      <w:pPr>
        <w:ind w:left="1020" w:hanging="360"/>
      </w:pPr>
    </w:lvl>
  </w:abstractNum>
  <w:abstractNum w:abstractNumId="12" w15:restartNumberingAfterBreak="0">
    <w:nsid w:val="66A16A25"/>
    <w:multiLevelType w:val="hybridMultilevel"/>
    <w:tmpl w:val="DA56C076"/>
    <w:lvl w:ilvl="0" w:tplc="A75AB406">
      <w:start w:val="2"/>
      <w:numFmt w:val="bullet"/>
      <w:lvlText w:val="-"/>
      <w:lvlJc w:val="left"/>
      <w:pPr>
        <w:ind w:left="720" w:hanging="360"/>
      </w:pPr>
      <w:rPr>
        <w:rFonts w:ascii="Segoe UI" w:eastAsia="Calibr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627316"/>
    <w:multiLevelType w:val="multilevel"/>
    <w:tmpl w:val="CCB85628"/>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71A76444"/>
    <w:multiLevelType w:val="multilevel"/>
    <w:tmpl w:val="A9DCD8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2DE073D"/>
    <w:multiLevelType w:val="hybridMultilevel"/>
    <w:tmpl w:val="D1B21528"/>
    <w:lvl w:ilvl="0" w:tplc="01684C62">
      <w:start w:val="1"/>
      <w:numFmt w:val="decimal"/>
      <w:lvlText w:val="%1."/>
      <w:lvlJc w:val="left"/>
      <w:pPr>
        <w:ind w:left="1020" w:hanging="360"/>
      </w:pPr>
    </w:lvl>
    <w:lvl w:ilvl="1" w:tplc="99ACE048">
      <w:start w:val="1"/>
      <w:numFmt w:val="decimal"/>
      <w:lvlText w:val="%2."/>
      <w:lvlJc w:val="left"/>
      <w:pPr>
        <w:ind w:left="1020" w:hanging="360"/>
      </w:pPr>
    </w:lvl>
    <w:lvl w:ilvl="2" w:tplc="D5EC3DE6">
      <w:start w:val="1"/>
      <w:numFmt w:val="decimal"/>
      <w:lvlText w:val="%3."/>
      <w:lvlJc w:val="left"/>
      <w:pPr>
        <w:ind w:left="1020" w:hanging="360"/>
      </w:pPr>
    </w:lvl>
    <w:lvl w:ilvl="3" w:tplc="2D4058C0">
      <w:start w:val="1"/>
      <w:numFmt w:val="decimal"/>
      <w:lvlText w:val="%4."/>
      <w:lvlJc w:val="left"/>
      <w:pPr>
        <w:ind w:left="1020" w:hanging="360"/>
      </w:pPr>
    </w:lvl>
    <w:lvl w:ilvl="4" w:tplc="1DD02F90">
      <w:start w:val="1"/>
      <w:numFmt w:val="decimal"/>
      <w:lvlText w:val="%5."/>
      <w:lvlJc w:val="left"/>
      <w:pPr>
        <w:ind w:left="1020" w:hanging="360"/>
      </w:pPr>
    </w:lvl>
    <w:lvl w:ilvl="5" w:tplc="032AC54E">
      <w:start w:val="1"/>
      <w:numFmt w:val="decimal"/>
      <w:lvlText w:val="%6."/>
      <w:lvlJc w:val="left"/>
      <w:pPr>
        <w:ind w:left="1020" w:hanging="360"/>
      </w:pPr>
    </w:lvl>
    <w:lvl w:ilvl="6" w:tplc="CB3C4F16">
      <w:start w:val="1"/>
      <w:numFmt w:val="decimal"/>
      <w:lvlText w:val="%7."/>
      <w:lvlJc w:val="left"/>
      <w:pPr>
        <w:ind w:left="1020" w:hanging="360"/>
      </w:pPr>
    </w:lvl>
    <w:lvl w:ilvl="7" w:tplc="73145A3E">
      <w:start w:val="1"/>
      <w:numFmt w:val="decimal"/>
      <w:lvlText w:val="%8."/>
      <w:lvlJc w:val="left"/>
      <w:pPr>
        <w:ind w:left="1020" w:hanging="360"/>
      </w:pPr>
    </w:lvl>
    <w:lvl w:ilvl="8" w:tplc="723CF3FA">
      <w:start w:val="1"/>
      <w:numFmt w:val="decimal"/>
      <w:lvlText w:val="%9."/>
      <w:lvlJc w:val="left"/>
      <w:pPr>
        <w:ind w:left="1020" w:hanging="360"/>
      </w:pPr>
    </w:lvl>
  </w:abstractNum>
  <w:abstractNum w:abstractNumId="16" w15:restartNumberingAfterBreak="0">
    <w:nsid w:val="73653BDC"/>
    <w:multiLevelType w:val="hybridMultilevel"/>
    <w:tmpl w:val="B6F8DDAE"/>
    <w:lvl w:ilvl="0" w:tplc="ED187518">
      <w:start w:val="1"/>
      <w:numFmt w:val="decimal"/>
      <w:lvlText w:val="%1."/>
      <w:lvlJc w:val="left"/>
      <w:pPr>
        <w:ind w:left="720" w:hanging="360"/>
      </w:pPr>
      <w:rPr>
        <w:rFonts w:ascii="Calibri" w:hAnsi="Calibri" w:cs="Calibr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1859B5"/>
    <w:multiLevelType w:val="hybridMultilevel"/>
    <w:tmpl w:val="77EC079C"/>
    <w:lvl w:ilvl="0" w:tplc="564AEAC2">
      <w:start w:val="1"/>
      <w:numFmt w:val="decimal"/>
      <w:lvlText w:val="%1."/>
      <w:lvlJc w:val="left"/>
      <w:pPr>
        <w:ind w:left="1440" w:hanging="360"/>
      </w:pPr>
    </w:lvl>
    <w:lvl w:ilvl="1" w:tplc="9C7E1D84">
      <w:start w:val="1"/>
      <w:numFmt w:val="decimal"/>
      <w:lvlText w:val="%2."/>
      <w:lvlJc w:val="left"/>
      <w:pPr>
        <w:ind w:left="1440" w:hanging="360"/>
      </w:pPr>
    </w:lvl>
    <w:lvl w:ilvl="2" w:tplc="D680A942">
      <w:start w:val="1"/>
      <w:numFmt w:val="decimal"/>
      <w:lvlText w:val="%3."/>
      <w:lvlJc w:val="left"/>
      <w:pPr>
        <w:ind w:left="1440" w:hanging="360"/>
      </w:pPr>
    </w:lvl>
    <w:lvl w:ilvl="3" w:tplc="F6EC5E26">
      <w:start w:val="1"/>
      <w:numFmt w:val="decimal"/>
      <w:lvlText w:val="%4."/>
      <w:lvlJc w:val="left"/>
      <w:pPr>
        <w:ind w:left="1440" w:hanging="360"/>
      </w:pPr>
    </w:lvl>
    <w:lvl w:ilvl="4" w:tplc="4064CAE2">
      <w:start w:val="1"/>
      <w:numFmt w:val="decimal"/>
      <w:lvlText w:val="%5."/>
      <w:lvlJc w:val="left"/>
      <w:pPr>
        <w:ind w:left="1440" w:hanging="360"/>
      </w:pPr>
    </w:lvl>
    <w:lvl w:ilvl="5" w:tplc="D56C2FF6">
      <w:start w:val="1"/>
      <w:numFmt w:val="decimal"/>
      <w:lvlText w:val="%6."/>
      <w:lvlJc w:val="left"/>
      <w:pPr>
        <w:ind w:left="1440" w:hanging="360"/>
      </w:pPr>
    </w:lvl>
    <w:lvl w:ilvl="6" w:tplc="511C0126">
      <w:start w:val="1"/>
      <w:numFmt w:val="decimal"/>
      <w:lvlText w:val="%7."/>
      <w:lvlJc w:val="left"/>
      <w:pPr>
        <w:ind w:left="1440" w:hanging="360"/>
      </w:pPr>
    </w:lvl>
    <w:lvl w:ilvl="7" w:tplc="76426662">
      <w:start w:val="1"/>
      <w:numFmt w:val="decimal"/>
      <w:lvlText w:val="%8."/>
      <w:lvlJc w:val="left"/>
      <w:pPr>
        <w:ind w:left="1440" w:hanging="360"/>
      </w:pPr>
    </w:lvl>
    <w:lvl w:ilvl="8" w:tplc="550E7E08">
      <w:start w:val="1"/>
      <w:numFmt w:val="decimal"/>
      <w:lvlText w:val="%9."/>
      <w:lvlJc w:val="left"/>
      <w:pPr>
        <w:ind w:left="1440" w:hanging="360"/>
      </w:pPr>
    </w:lvl>
  </w:abstractNum>
  <w:num w:numId="1" w16cid:durableId="2119255647">
    <w:abstractNumId w:val="6"/>
  </w:num>
  <w:num w:numId="2" w16cid:durableId="2096511912">
    <w:abstractNumId w:val="14"/>
  </w:num>
  <w:num w:numId="3" w16cid:durableId="1045833438">
    <w:abstractNumId w:val="4"/>
  </w:num>
  <w:num w:numId="4" w16cid:durableId="605814961">
    <w:abstractNumId w:val="13"/>
  </w:num>
  <w:num w:numId="5" w16cid:durableId="1314676139">
    <w:abstractNumId w:val="0"/>
  </w:num>
  <w:num w:numId="6" w16cid:durableId="1018969421">
    <w:abstractNumId w:val="9"/>
  </w:num>
  <w:num w:numId="7" w16cid:durableId="897940445">
    <w:abstractNumId w:val="11"/>
  </w:num>
  <w:num w:numId="8" w16cid:durableId="1023285039">
    <w:abstractNumId w:val="15"/>
  </w:num>
  <w:num w:numId="9" w16cid:durableId="1867256377">
    <w:abstractNumId w:val="1"/>
  </w:num>
  <w:num w:numId="10" w16cid:durableId="1155954190">
    <w:abstractNumId w:val="12"/>
  </w:num>
  <w:num w:numId="11" w16cid:durableId="1332484184">
    <w:abstractNumId w:val="5"/>
  </w:num>
  <w:num w:numId="12" w16cid:durableId="609819019">
    <w:abstractNumId w:val="7"/>
  </w:num>
  <w:num w:numId="13" w16cid:durableId="950555746">
    <w:abstractNumId w:val="16"/>
  </w:num>
  <w:num w:numId="14" w16cid:durableId="290405928">
    <w:abstractNumId w:val="10"/>
  </w:num>
  <w:num w:numId="15" w16cid:durableId="1160733505">
    <w:abstractNumId w:val="2"/>
  </w:num>
  <w:num w:numId="16" w16cid:durableId="369962590">
    <w:abstractNumId w:val="3"/>
  </w:num>
  <w:num w:numId="17" w16cid:durableId="1058938902">
    <w:abstractNumId w:val="8"/>
  </w:num>
  <w:num w:numId="18" w16cid:durableId="11080409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C27"/>
    <w:rsid w:val="00001772"/>
    <w:rsid w:val="0000217F"/>
    <w:rsid w:val="00002B08"/>
    <w:rsid w:val="00005C29"/>
    <w:rsid w:val="00006958"/>
    <w:rsid w:val="00006AD6"/>
    <w:rsid w:val="00007D6C"/>
    <w:rsid w:val="00011292"/>
    <w:rsid w:val="00012E4A"/>
    <w:rsid w:val="00012EAB"/>
    <w:rsid w:val="00013778"/>
    <w:rsid w:val="000151A6"/>
    <w:rsid w:val="00017C18"/>
    <w:rsid w:val="000200CF"/>
    <w:rsid w:val="0002031C"/>
    <w:rsid w:val="000205B7"/>
    <w:rsid w:val="000231BF"/>
    <w:rsid w:val="000258F0"/>
    <w:rsid w:val="0002761F"/>
    <w:rsid w:val="0003063F"/>
    <w:rsid w:val="00030927"/>
    <w:rsid w:val="00030FDE"/>
    <w:rsid w:val="000312C1"/>
    <w:rsid w:val="000340F6"/>
    <w:rsid w:val="00037E1F"/>
    <w:rsid w:val="00040A98"/>
    <w:rsid w:val="00041014"/>
    <w:rsid w:val="0004178A"/>
    <w:rsid w:val="000425F8"/>
    <w:rsid w:val="000430B9"/>
    <w:rsid w:val="000435D5"/>
    <w:rsid w:val="00045EC0"/>
    <w:rsid w:val="000527DA"/>
    <w:rsid w:val="00054714"/>
    <w:rsid w:val="00054AC1"/>
    <w:rsid w:val="000558D4"/>
    <w:rsid w:val="00055932"/>
    <w:rsid w:val="00056B71"/>
    <w:rsid w:val="00057905"/>
    <w:rsid w:val="00061663"/>
    <w:rsid w:val="000631D2"/>
    <w:rsid w:val="000707E3"/>
    <w:rsid w:val="00070E6A"/>
    <w:rsid w:val="0007158F"/>
    <w:rsid w:val="0007168C"/>
    <w:rsid w:val="00073257"/>
    <w:rsid w:val="00074DC8"/>
    <w:rsid w:val="00075734"/>
    <w:rsid w:val="0007611B"/>
    <w:rsid w:val="00076DD6"/>
    <w:rsid w:val="000776AC"/>
    <w:rsid w:val="000805CB"/>
    <w:rsid w:val="000847D0"/>
    <w:rsid w:val="0008685F"/>
    <w:rsid w:val="00086972"/>
    <w:rsid w:val="00087EC8"/>
    <w:rsid w:val="00090501"/>
    <w:rsid w:val="000906E1"/>
    <w:rsid w:val="00092660"/>
    <w:rsid w:val="00096C04"/>
    <w:rsid w:val="000970BA"/>
    <w:rsid w:val="00097152"/>
    <w:rsid w:val="0009744F"/>
    <w:rsid w:val="00097A19"/>
    <w:rsid w:val="000A265B"/>
    <w:rsid w:val="000A31AD"/>
    <w:rsid w:val="000A32DD"/>
    <w:rsid w:val="000A4223"/>
    <w:rsid w:val="000A53D1"/>
    <w:rsid w:val="000A5CF3"/>
    <w:rsid w:val="000A7B7B"/>
    <w:rsid w:val="000B02F4"/>
    <w:rsid w:val="000B07C6"/>
    <w:rsid w:val="000B0C1E"/>
    <w:rsid w:val="000B12BC"/>
    <w:rsid w:val="000B1D69"/>
    <w:rsid w:val="000B2FBE"/>
    <w:rsid w:val="000B45EF"/>
    <w:rsid w:val="000B7F80"/>
    <w:rsid w:val="000C31AB"/>
    <w:rsid w:val="000C32AA"/>
    <w:rsid w:val="000C6BC3"/>
    <w:rsid w:val="000D02C5"/>
    <w:rsid w:val="000D201F"/>
    <w:rsid w:val="000D236A"/>
    <w:rsid w:val="000D2611"/>
    <w:rsid w:val="000D41C3"/>
    <w:rsid w:val="000D4ECA"/>
    <w:rsid w:val="000E4B64"/>
    <w:rsid w:val="000E60B3"/>
    <w:rsid w:val="000E7982"/>
    <w:rsid w:val="000F134B"/>
    <w:rsid w:val="000F18F8"/>
    <w:rsid w:val="000F276F"/>
    <w:rsid w:val="000F2A2E"/>
    <w:rsid w:val="000F4783"/>
    <w:rsid w:val="000F525A"/>
    <w:rsid w:val="000F6374"/>
    <w:rsid w:val="000F65F1"/>
    <w:rsid w:val="000F6982"/>
    <w:rsid w:val="000F6C74"/>
    <w:rsid w:val="000F7083"/>
    <w:rsid w:val="000F7878"/>
    <w:rsid w:val="000F7EC2"/>
    <w:rsid w:val="00100751"/>
    <w:rsid w:val="00101C64"/>
    <w:rsid w:val="00102269"/>
    <w:rsid w:val="00106507"/>
    <w:rsid w:val="00106633"/>
    <w:rsid w:val="00106791"/>
    <w:rsid w:val="00107D80"/>
    <w:rsid w:val="00107FD7"/>
    <w:rsid w:val="0011080E"/>
    <w:rsid w:val="001112BE"/>
    <w:rsid w:val="001113D9"/>
    <w:rsid w:val="0011245C"/>
    <w:rsid w:val="001128F8"/>
    <w:rsid w:val="00114166"/>
    <w:rsid w:val="00115EE4"/>
    <w:rsid w:val="00116851"/>
    <w:rsid w:val="00116AEB"/>
    <w:rsid w:val="00116CED"/>
    <w:rsid w:val="00117E08"/>
    <w:rsid w:val="00121252"/>
    <w:rsid w:val="00121794"/>
    <w:rsid w:val="00121B54"/>
    <w:rsid w:val="0012215E"/>
    <w:rsid w:val="00122757"/>
    <w:rsid w:val="00122A26"/>
    <w:rsid w:val="001248B6"/>
    <w:rsid w:val="00126085"/>
    <w:rsid w:val="00126461"/>
    <w:rsid w:val="0012755F"/>
    <w:rsid w:val="0013117A"/>
    <w:rsid w:val="00133287"/>
    <w:rsid w:val="00133B58"/>
    <w:rsid w:val="00133ECF"/>
    <w:rsid w:val="00135D96"/>
    <w:rsid w:val="00135F63"/>
    <w:rsid w:val="00136C38"/>
    <w:rsid w:val="001375B4"/>
    <w:rsid w:val="00141217"/>
    <w:rsid w:val="001413D7"/>
    <w:rsid w:val="00142221"/>
    <w:rsid w:val="0014253D"/>
    <w:rsid w:val="001431D3"/>
    <w:rsid w:val="00143AF0"/>
    <w:rsid w:val="001503BE"/>
    <w:rsid w:val="00151C8E"/>
    <w:rsid w:val="001527EA"/>
    <w:rsid w:val="00152B5D"/>
    <w:rsid w:val="00152EFC"/>
    <w:rsid w:val="00153233"/>
    <w:rsid w:val="00154CAC"/>
    <w:rsid w:val="00156F4B"/>
    <w:rsid w:val="00157B8E"/>
    <w:rsid w:val="00160212"/>
    <w:rsid w:val="00160C86"/>
    <w:rsid w:val="00165EBF"/>
    <w:rsid w:val="00166F1B"/>
    <w:rsid w:val="0017047B"/>
    <w:rsid w:val="0017207C"/>
    <w:rsid w:val="00172EE1"/>
    <w:rsid w:val="0017455A"/>
    <w:rsid w:val="00174F5A"/>
    <w:rsid w:val="0017518C"/>
    <w:rsid w:val="00177205"/>
    <w:rsid w:val="00180C76"/>
    <w:rsid w:val="001841FA"/>
    <w:rsid w:val="00186411"/>
    <w:rsid w:val="00191F4F"/>
    <w:rsid w:val="00193809"/>
    <w:rsid w:val="00194572"/>
    <w:rsid w:val="001A1DDA"/>
    <w:rsid w:val="001A210A"/>
    <w:rsid w:val="001A307A"/>
    <w:rsid w:val="001A4CE8"/>
    <w:rsid w:val="001A5DA4"/>
    <w:rsid w:val="001B0778"/>
    <w:rsid w:val="001B18CF"/>
    <w:rsid w:val="001B324C"/>
    <w:rsid w:val="001B451B"/>
    <w:rsid w:val="001B48AB"/>
    <w:rsid w:val="001B587F"/>
    <w:rsid w:val="001B7C03"/>
    <w:rsid w:val="001B7EB8"/>
    <w:rsid w:val="001C0868"/>
    <w:rsid w:val="001C33F8"/>
    <w:rsid w:val="001C5BE6"/>
    <w:rsid w:val="001C6105"/>
    <w:rsid w:val="001C6786"/>
    <w:rsid w:val="001C7239"/>
    <w:rsid w:val="001C77EC"/>
    <w:rsid w:val="001D3C81"/>
    <w:rsid w:val="001D40F0"/>
    <w:rsid w:val="001D45A5"/>
    <w:rsid w:val="001D4615"/>
    <w:rsid w:val="001D58B6"/>
    <w:rsid w:val="001E062E"/>
    <w:rsid w:val="001E1B63"/>
    <w:rsid w:val="001E2127"/>
    <w:rsid w:val="001E6F43"/>
    <w:rsid w:val="001E7423"/>
    <w:rsid w:val="001F123A"/>
    <w:rsid w:val="001F1D11"/>
    <w:rsid w:val="001F3D58"/>
    <w:rsid w:val="001F7840"/>
    <w:rsid w:val="00201D0A"/>
    <w:rsid w:val="00203A47"/>
    <w:rsid w:val="00203E4D"/>
    <w:rsid w:val="00204647"/>
    <w:rsid w:val="00204A5F"/>
    <w:rsid w:val="00206521"/>
    <w:rsid w:val="00210104"/>
    <w:rsid w:val="00210B8B"/>
    <w:rsid w:val="00212ABF"/>
    <w:rsid w:val="0021322C"/>
    <w:rsid w:val="00213260"/>
    <w:rsid w:val="002144AF"/>
    <w:rsid w:val="00214E5E"/>
    <w:rsid w:val="0021636B"/>
    <w:rsid w:val="00217572"/>
    <w:rsid w:val="00217968"/>
    <w:rsid w:val="002235C2"/>
    <w:rsid w:val="00223AB3"/>
    <w:rsid w:val="00223CB0"/>
    <w:rsid w:val="0022480E"/>
    <w:rsid w:val="002257B1"/>
    <w:rsid w:val="00225AB2"/>
    <w:rsid w:val="00225B10"/>
    <w:rsid w:val="00230531"/>
    <w:rsid w:val="00230B57"/>
    <w:rsid w:val="002314ED"/>
    <w:rsid w:val="00232EA2"/>
    <w:rsid w:val="00234C91"/>
    <w:rsid w:val="00234F19"/>
    <w:rsid w:val="00237A1C"/>
    <w:rsid w:val="002422B0"/>
    <w:rsid w:val="002433D8"/>
    <w:rsid w:val="00245C18"/>
    <w:rsid w:val="00245EAB"/>
    <w:rsid w:val="00245ED1"/>
    <w:rsid w:val="002470DC"/>
    <w:rsid w:val="002507A1"/>
    <w:rsid w:val="002517E8"/>
    <w:rsid w:val="002532CD"/>
    <w:rsid w:val="0025369A"/>
    <w:rsid w:val="002555D5"/>
    <w:rsid w:val="002556AA"/>
    <w:rsid w:val="00256988"/>
    <w:rsid w:val="00260E23"/>
    <w:rsid w:val="00261CEE"/>
    <w:rsid w:val="00262732"/>
    <w:rsid w:val="0026364A"/>
    <w:rsid w:val="002638F2"/>
    <w:rsid w:val="00264048"/>
    <w:rsid w:val="00266F44"/>
    <w:rsid w:val="002730D4"/>
    <w:rsid w:val="00273CEA"/>
    <w:rsid w:val="00274020"/>
    <w:rsid w:val="002743F2"/>
    <w:rsid w:val="00275151"/>
    <w:rsid w:val="00275474"/>
    <w:rsid w:val="00276B54"/>
    <w:rsid w:val="00280FF7"/>
    <w:rsid w:val="0028154E"/>
    <w:rsid w:val="002824E5"/>
    <w:rsid w:val="002828BC"/>
    <w:rsid w:val="00284CD3"/>
    <w:rsid w:val="002852ED"/>
    <w:rsid w:val="002855BC"/>
    <w:rsid w:val="002857D3"/>
    <w:rsid w:val="00285F26"/>
    <w:rsid w:val="002871DE"/>
    <w:rsid w:val="00287F6F"/>
    <w:rsid w:val="00291DDA"/>
    <w:rsid w:val="00292140"/>
    <w:rsid w:val="00292C6E"/>
    <w:rsid w:val="0029341E"/>
    <w:rsid w:val="00293FD1"/>
    <w:rsid w:val="002941EF"/>
    <w:rsid w:val="00294FCB"/>
    <w:rsid w:val="00295677"/>
    <w:rsid w:val="00296E9C"/>
    <w:rsid w:val="00297819"/>
    <w:rsid w:val="002A2988"/>
    <w:rsid w:val="002A4EEC"/>
    <w:rsid w:val="002A5D7A"/>
    <w:rsid w:val="002B41E5"/>
    <w:rsid w:val="002B4777"/>
    <w:rsid w:val="002B4A75"/>
    <w:rsid w:val="002B666A"/>
    <w:rsid w:val="002B6F25"/>
    <w:rsid w:val="002C0010"/>
    <w:rsid w:val="002C1462"/>
    <w:rsid w:val="002C171A"/>
    <w:rsid w:val="002C42D5"/>
    <w:rsid w:val="002C6CEF"/>
    <w:rsid w:val="002C7031"/>
    <w:rsid w:val="002C79D0"/>
    <w:rsid w:val="002D6909"/>
    <w:rsid w:val="002E08A4"/>
    <w:rsid w:val="002E2731"/>
    <w:rsid w:val="002E35D1"/>
    <w:rsid w:val="002E4948"/>
    <w:rsid w:val="002E6EF1"/>
    <w:rsid w:val="002E719E"/>
    <w:rsid w:val="002F00CE"/>
    <w:rsid w:val="002F12CF"/>
    <w:rsid w:val="002F1CC4"/>
    <w:rsid w:val="002F24E4"/>
    <w:rsid w:val="002F37EA"/>
    <w:rsid w:val="002F4015"/>
    <w:rsid w:val="002F46A0"/>
    <w:rsid w:val="002F6AF0"/>
    <w:rsid w:val="002F7C33"/>
    <w:rsid w:val="003026CC"/>
    <w:rsid w:val="00302A91"/>
    <w:rsid w:val="00303B11"/>
    <w:rsid w:val="00303EE1"/>
    <w:rsid w:val="00304E16"/>
    <w:rsid w:val="003066F4"/>
    <w:rsid w:val="00310410"/>
    <w:rsid w:val="0031058E"/>
    <w:rsid w:val="00311249"/>
    <w:rsid w:val="00312C69"/>
    <w:rsid w:val="00313633"/>
    <w:rsid w:val="00313846"/>
    <w:rsid w:val="00316388"/>
    <w:rsid w:val="003173B1"/>
    <w:rsid w:val="00320E37"/>
    <w:rsid w:val="0032212E"/>
    <w:rsid w:val="003232D9"/>
    <w:rsid w:val="003272C5"/>
    <w:rsid w:val="0032762F"/>
    <w:rsid w:val="00330463"/>
    <w:rsid w:val="00331A8E"/>
    <w:rsid w:val="00332AC4"/>
    <w:rsid w:val="00332C67"/>
    <w:rsid w:val="00335515"/>
    <w:rsid w:val="00337954"/>
    <w:rsid w:val="00337A49"/>
    <w:rsid w:val="0034381F"/>
    <w:rsid w:val="00343E4A"/>
    <w:rsid w:val="003454E5"/>
    <w:rsid w:val="003459B6"/>
    <w:rsid w:val="00346468"/>
    <w:rsid w:val="0034679F"/>
    <w:rsid w:val="00346CD1"/>
    <w:rsid w:val="00346EC3"/>
    <w:rsid w:val="0034731E"/>
    <w:rsid w:val="00350A38"/>
    <w:rsid w:val="0035194A"/>
    <w:rsid w:val="00351BEF"/>
    <w:rsid w:val="0035202E"/>
    <w:rsid w:val="00355CCA"/>
    <w:rsid w:val="00361E4A"/>
    <w:rsid w:val="0036263F"/>
    <w:rsid w:val="003746EE"/>
    <w:rsid w:val="00376236"/>
    <w:rsid w:val="00377264"/>
    <w:rsid w:val="00377C09"/>
    <w:rsid w:val="00380B75"/>
    <w:rsid w:val="00381F9A"/>
    <w:rsid w:val="0038242E"/>
    <w:rsid w:val="00382590"/>
    <w:rsid w:val="003866AA"/>
    <w:rsid w:val="00386B89"/>
    <w:rsid w:val="00387A0A"/>
    <w:rsid w:val="00387FBB"/>
    <w:rsid w:val="003902B5"/>
    <w:rsid w:val="003907FE"/>
    <w:rsid w:val="00391048"/>
    <w:rsid w:val="00392BAE"/>
    <w:rsid w:val="00393079"/>
    <w:rsid w:val="0039399D"/>
    <w:rsid w:val="003942AE"/>
    <w:rsid w:val="00395C65"/>
    <w:rsid w:val="0039721E"/>
    <w:rsid w:val="003979E1"/>
    <w:rsid w:val="003A140C"/>
    <w:rsid w:val="003A1E3B"/>
    <w:rsid w:val="003A2562"/>
    <w:rsid w:val="003A2EBD"/>
    <w:rsid w:val="003A5094"/>
    <w:rsid w:val="003A524F"/>
    <w:rsid w:val="003A5288"/>
    <w:rsid w:val="003A5BD7"/>
    <w:rsid w:val="003B33E6"/>
    <w:rsid w:val="003B34A4"/>
    <w:rsid w:val="003B4291"/>
    <w:rsid w:val="003B458C"/>
    <w:rsid w:val="003B7A83"/>
    <w:rsid w:val="003C13D8"/>
    <w:rsid w:val="003C14FD"/>
    <w:rsid w:val="003C169D"/>
    <w:rsid w:val="003C5F63"/>
    <w:rsid w:val="003C7976"/>
    <w:rsid w:val="003D0028"/>
    <w:rsid w:val="003D03CB"/>
    <w:rsid w:val="003D1899"/>
    <w:rsid w:val="003D2CC3"/>
    <w:rsid w:val="003D6435"/>
    <w:rsid w:val="003D773A"/>
    <w:rsid w:val="003D780B"/>
    <w:rsid w:val="003E212F"/>
    <w:rsid w:val="003E25F3"/>
    <w:rsid w:val="003E2C25"/>
    <w:rsid w:val="003E37CF"/>
    <w:rsid w:val="003E4E82"/>
    <w:rsid w:val="003E5FF3"/>
    <w:rsid w:val="003F022E"/>
    <w:rsid w:val="003F0B7D"/>
    <w:rsid w:val="003F26F2"/>
    <w:rsid w:val="003F3D5F"/>
    <w:rsid w:val="003F48C5"/>
    <w:rsid w:val="003F567C"/>
    <w:rsid w:val="003F5D72"/>
    <w:rsid w:val="003F779B"/>
    <w:rsid w:val="003F7BDE"/>
    <w:rsid w:val="00400BD4"/>
    <w:rsid w:val="0040121F"/>
    <w:rsid w:val="00401DAA"/>
    <w:rsid w:val="0040257A"/>
    <w:rsid w:val="0040267F"/>
    <w:rsid w:val="00403F27"/>
    <w:rsid w:val="00404014"/>
    <w:rsid w:val="00404DBF"/>
    <w:rsid w:val="0041012C"/>
    <w:rsid w:val="00413788"/>
    <w:rsid w:val="00414677"/>
    <w:rsid w:val="00420888"/>
    <w:rsid w:val="00422096"/>
    <w:rsid w:val="004227E3"/>
    <w:rsid w:val="00424DFB"/>
    <w:rsid w:val="0042506A"/>
    <w:rsid w:val="00425639"/>
    <w:rsid w:val="0042652B"/>
    <w:rsid w:val="00427074"/>
    <w:rsid w:val="00430945"/>
    <w:rsid w:val="00430E5F"/>
    <w:rsid w:val="0043124F"/>
    <w:rsid w:val="00432468"/>
    <w:rsid w:val="0043359D"/>
    <w:rsid w:val="004335DE"/>
    <w:rsid w:val="00435352"/>
    <w:rsid w:val="00436ECD"/>
    <w:rsid w:val="00442618"/>
    <w:rsid w:val="0044266E"/>
    <w:rsid w:val="00443C25"/>
    <w:rsid w:val="004446DD"/>
    <w:rsid w:val="00445A7C"/>
    <w:rsid w:val="00445E6E"/>
    <w:rsid w:val="00446D26"/>
    <w:rsid w:val="004479BC"/>
    <w:rsid w:val="00453A81"/>
    <w:rsid w:val="00454F92"/>
    <w:rsid w:val="00457155"/>
    <w:rsid w:val="00457350"/>
    <w:rsid w:val="00457954"/>
    <w:rsid w:val="00457E7F"/>
    <w:rsid w:val="0046096C"/>
    <w:rsid w:val="0046129F"/>
    <w:rsid w:val="00461D14"/>
    <w:rsid w:val="00461F4E"/>
    <w:rsid w:val="00462C91"/>
    <w:rsid w:val="00466F28"/>
    <w:rsid w:val="00466FF9"/>
    <w:rsid w:val="004701B0"/>
    <w:rsid w:val="004701C6"/>
    <w:rsid w:val="0047367B"/>
    <w:rsid w:val="0047541F"/>
    <w:rsid w:val="00475647"/>
    <w:rsid w:val="00475CDE"/>
    <w:rsid w:val="00481A7C"/>
    <w:rsid w:val="004823A3"/>
    <w:rsid w:val="00484E8E"/>
    <w:rsid w:val="00484FAF"/>
    <w:rsid w:val="004858CE"/>
    <w:rsid w:val="00485B34"/>
    <w:rsid w:val="0049077D"/>
    <w:rsid w:val="004909CE"/>
    <w:rsid w:val="0049343C"/>
    <w:rsid w:val="004936D3"/>
    <w:rsid w:val="0049392F"/>
    <w:rsid w:val="00496036"/>
    <w:rsid w:val="00496A91"/>
    <w:rsid w:val="00497282"/>
    <w:rsid w:val="0049786C"/>
    <w:rsid w:val="004A36E9"/>
    <w:rsid w:val="004A591C"/>
    <w:rsid w:val="004A6893"/>
    <w:rsid w:val="004A79A7"/>
    <w:rsid w:val="004A7E00"/>
    <w:rsid w:val="004B0A7D"/>
    <w:rsid w:val="004B117E"/>
    <w:rsid w:val="004B12BF"/>
    <w:rsid w:val="004B180D"/>
    <w:rsid w:val="004B2B58"/>
    <w:rsid w:val="004B485E"/>
    <w:rsid w:val="004B4AF2"/>
    <w:rsid w:val="004B54CA"/>
    <w:rsid w:val="004B6D38"/>
    <w:rsid w:val="004B7DBD"/>
    <w:rsid w:val="004C05E4"/>
    <w:rsid w:val="004C17FE"/>
    <w:rsid w:val="004C1BB3"/>
    <w:rsid w:val="004C2122"/>
    <w:rsid w:val="004C21E2"/>
    <w:rsid w:val="004D2130"/>
    <w:rsid w:val="004D25CD"/>
    <w:rsid w:val="004D3B35"/>
    <w:rsid w:val="004D5AEF"/>
    <w:rsid w:val="004D6DF2"/>
    <w:rsid w:val="004D7DD1"/>
    <w:rsid w:val="004E000A"/>
    <w:rsid w:val="004E01D5"/>
    <w:rsid w:val="004E0596"/>
    <w:rsid w:val="004E0D0F"/>
    <w:rsid w:val="004E2B98"/>
    <w:rsid w:val="004E3160"/>
    <w:rsid w:val="004E3E4A"/>
    <w:rsid w:val="004E488C"/>
    <w:rsid w:val="004E5099"/>
    <w:rsid w:val="004E6274"/>
    <w:rsid w:val="004F0AD1"/>
    <w:rsid w:val="004F18FC"/>
    <w:rsid w:val="004F1A81"/>
    <w:rsid w:val="004F2F66"/>
    <w:rsid w:val="004F3141"/>
    <w:rsid w:val="004F3A29"/>
    <w:rsid w:val="004F5417"/>
    <w:rsid w:val="004F5694"/>
    <w:rsid w:val="004F7371"/>
    <w:rsid w:val="00500296"/>
    <w:rsid w:val="005011C5"/>
    <w:rsid w:val="0050278D"/>
    <w:rsid w:val="0050284A"/>
    <w:rsid w:val="005043A0"/>
    <w:rsid w:val="005049CF"/>
    <w:rsid w:val="00504AE8"/>
    <w:rsid w:val="00506055"/>
    <w:rsid w:val="0051346E"/>
    <w:rsid w:val="005139B0"/>
    <w:rsid w:val="0051579D"/>
    <w:rsid w:val="0051683C"/>
    <w:rsid w:val="005173F6"/>
    <w:rsid w:val="00520810"/>
    <w:rsid w:val="00522487"/>
    <w:rsid w:val="005229C6"/>
    <w:rsid w:val="00523DD0"/>
    <w:rsid w:val="00523F4C"/>
    <w:rsid w:val="005245D1"/>
    <w:rsid w:val="00524DA1"/>
    <w:rsid w:val="0052526C"/>
    <w:rsid w:val="00526717"/>
    <w:rsid w:val="005312A7"/>
    <w:rsid w:val="00531C39"/>
    <w:rsid w:val="00532E97"/>
    <w:rsid w:val="0053300A"/>
    <w:rsid w:val="00533709"/>
    <w:rsid w:val="00533D37"/>
    <w:rsid w:val="00535AD4"/>
    <w:rsid w:val="00535B13"/>
    <w:rsid w:val="00536428"/>
    <w:rsid w:val="00536481"/>
    <w:rsid w:val="00536C12"/>
    <w:rsid w:val="00537B1F"/>
    <w:rsid w:val="0054037D"/>
    <w:rsid w:val="00540C18"/>
    <w:rsid w:val="005416DD"/>
    <w:rsid w:val="00542840"/>
    <w:rsid w:val="0054394C"/>
    <w:rsid w:val="00544FDD"/>
    <w:rsid w:val="00546292"/>
    <w:rsid w:val="00551D58"/>
    <w:rsid w:val="00552094"/>
    <w:rsid w:val="00552157"/>
    <w:rsid w:val="005560A2"/>
    <w:rsid w:val="0056082F"/>
    <w:rsid w:val="00560C50"/>
    <w:rsid w:val="00560C75"/>
    <w:rsid w:val="005635E2"/>
    <w:rsid w:val="005638AE"/>
    <w:rsid w:val="00563B3D"/>
    <w:rsid w:val="00565301"/>
    <w:rsid w:val="0056679C"/>
    <w:rsid w:val="005668DA"/>
    <w:rsid w:val="00566E86"/>
    <w:rsid w:val="00567851"/>
    <w:rsid w:val="005711C9"/>
    <w:rsid w:val="005725E3"/>
    <w:rsid w:val="00573353"/>
    <w:rsid w:val="005751CA"/>
    <w:rsid w:val="00575A59"/>
    <w:rsid w:val="005779A9"/>
    <w:rsid w:val="005811A2"/>
    <w:rsid w:val="005816B5"/>
    <w:rsid w:val="00584EF8"/>
    <w:rsid w:val="005854A5"/>
    <w:rsid w:val="005855DF"/>
    <w:rsid w:val="00586AC3"/>
    <w:rsid w:val="005876B8"/>
    <w:rsid w:val="00591CEA"/>
    <w:rsid w:val="00592726"/>
    <w:rsid w:val="0059333E"/>
    <w:rsid w:val="00594500"/>
    <w:rsid w:val="00594984"/>
    <w:rsid w:val="0059683B"/>
    <w:rsid w:val="00596A89"/>
    <w:rsid w:val="0059761F"/>
    <w:rsid w:val="005A1168"/>
    <w:rsid w:val="005A25B0"/>
    <w:rsid w:val="005A2D6E"/>
    <w:rsid w:val="005A3BEE"/>
    <w:rsid w:val="005A7251"/>
    <w:rsid w:val="005A7587"/>
    <w:rsid w:val="005B1BC3"/>
    <w:rsid w:val="005B23C0"/>
    <w:rsid w:val="005B28BC"/>
    <w:rsid w:val="005B4372"/>
    <w:rsid w:val="005B6419"/>
    <w:rsid w:val="005B69EF"/>
    <w:rsid w:val="005B6A92"/>
    <w:rsid w:val="005B743C"/>
    <w:rsid w:val="005B7F1B"/>
    <w:rsid w:val="005C27D5"/>
    <w:rsid w:val="005C3796"/>
    <w:rsid w:val="005C42C8"/>
    <w:rsid w:val="005C4BE5"/>
    <w:rsid w:val="005C6480"/>
    <w:rsid w:val="005D0CA0"/>
    <w:rsid w:val="005D2567"/>
    <w:rsid w:val="005D2DC1"/>
    <w:rsid w:val="005D3C04"/>
    <w:rsid w:val="005D3FC0"/>
    <w:rsid w:val="005D764D"/>
    <w:rsid w:val="005E1CA1"/>
    <w:rsid w:val="005E607F"/>
    <w:rsid w:val="005E65E0"/>
    <w:rsid w:val="005F15EF"/>
    <w:rsid w:val="005F309E"/>
    <w:rsid w:val="005F634A"/>
    <w:rsid w:val="005F6442"/>
    <w:rsid w:val="005F670E"/>
    <w:rsid w:val="005F7BBF"/>
    <w:rsid w:val="005F7F22"/>
    <w:rsid w:val="00600763"/>
    <w:rsid w:val="00601F90"/>
    <w:rsid w:val="00605506"/>
    <w:rsid w:val="0060661A"/>
    <w:rsid w:val="0061137D"/>
    <w:rsid w:val="006125FD"/>
    <w:rsid w:val="006129C6"/>
    <w:rsid w:val="00612A1A"/>
    <w:rsid w:val="00612C5E"/>
    <w:rsid w:val="00612CB1"/>
    <w:rsid w:val="00614446"/>
    <w:rsid w:val="00614C76"/>
    <w:rsid w:val="00616437"/>
    <w:rsid w:val="006172B1"/>
    <w:rsid w:val="006178DB"/>
    <w:rsid w:val="00620420"/>
    <w:rsid w:val="00620486"/>
    <w:rsid w:val="006206DA"/>
    <w:rsid w:val="0062501D"/>
    <w:rsid w:val="00625983"/>
    <w:rsid w:val="00627248"/>
    <w:rsid w:val="00631616"/>
    <w:rsid w:val="00632712"/>
    <w:rsid w:val="00632733"/>
    <w:rsid w:val="00633B52"/>
    <w:rsid w:val="006349CB"/>
    <w:rsid w:val="00636000"/>
    <w:rsid w:val="00637DA2"/>
    <w:rsid w:val="00641400"/>
    <w:rsid w:val="0064166E"/>
    <w:rsid w:val="006417E5"/>
    <w:rsid w:val="0064213C"/>
    <w:rsid w:val="00643CC8"/>
    <w:rsid w:val="00645486"/>
    <w:rsid w:val="00646612"/>
    <w:rsid w:val="00647C02"/>
    <w:rsid w:val="00647E34"/>
    <w:rsid w:val="0065003B"/>
    <w:rsid w:val="0065266F"/>
    <w:rsid w:val="006534BB"/>
    <w:rsid w:val="00653BBD"/>
    <w:rsid w:val="00653D43"/>
    <w:rsid w:val="006542CA"/>
    <w:rsid w:val="006544B9"/>
    <w:rsid w:val="006545E3"/>
    <w:rsid w:val="006549E3"/>
    <w:rsid w:val="00655119"/>
    <w:rsid w:val="00656901"/>
    <w:rsid w:val="00656B0D"/>
    <w:rsid w:val="00657A3D"/>
    <w:rsid w:val="00657F44"/>
    <w:rsid w:val="00660B9E"/>
    <w:rsid w:val="00663B92"/>
    <w:rsid w:val="00665C6A"/>
    <w:rsid w:val="00666D73"/>
    <w:rsid w:val="0066746E"/>
    <w:rsid w:val="00667817"/>
    <w:rsid w:val="006725B1"/>
    <w:rsid w:val="0067328A"/>
    <w:rsid w:val="0067335E"/>
    <w:rsid w:val="00674A9B"/>
    <w:rsid w:val="0067556B"/>
    <w:rsid w:val="00675B51"/>
    <w:rsid w:val="00676DF8"/>
    <w:rsid w:val="006775FE"/>
    <w:rsid w:val="00677EE4"/>
    <w:rsid w:val="006807B7"/>
    <w:rsid w:val="0068094C"/>
    <w:rsid w:val="00680A2A"/>
    <w:rsid w:val="00680F12"/>
    <w:rsid w:val="006820C4"/>
    <w:rsid w:val="00683477"/>
    <w:rsid w:val="00685949"/>
    <w:rsid w:val="0068608F"/>
    <w:rsid w:val="006878B1"/>
    <w:rsid w:val="00687E86"/>
    <w:rsid w:val="00687FF1"/>
    <w:rsid w:val="0069048E"/>
    <w:rsid w:val="00690ED6"/>
    <w:rsid w:val="00694A25"/>
    <w:rsid w:val="00694C53"/>
    <w:rsid w:val="00694CD5"/>
    <w:rsid w:val="00697BB6"/>
    <w:rsid w:val="00697C91"/>
    <w:rsid w:val="006A0017"/>
    <w:rsid w:val="006A00A0"/>
    <w:rsid w:val="006A5CCE"/>
    <w:rsid w:val="006A67A0"/>
    <w:rsid w:val="006A7B5C"/>
    <w:rsid w:val="006B0158"/>
    <w:rsid w:val="006B1DA2"/>
    <w:rsid w:val="006B1E65"/>
    <w:rsid w:val="006B4AB2"/>
    <w:rsid w:val="006B4F92"/>
    <w:rsid w:val="006B6D53"/>
    <w:rsid w:val="006B70FC"/>
    <w:rsid w:val="006C06E2"/>
    <w:rsid w:val="006C0D16"/>
    <w:rsid w:val="006C132D"/>
    <w:rsid w:val="006C1A82"/>
    <w:rsid w:val="006C1B33"/>
    <w:rsid w:val="006C285E"/>
    <w:rsid w:val="006C36CE"/>
    <w:rsid w:val="006C4DD1"/>
    <w:rsid w:val="006C658C"/>
    <w:rsid w:val="006D0097"/>
    <w:rsid w:val="006D1F2A"/>
    <w:rsid w:val="006D20D9"/>
    <w:rsid w:val="006D340A"/>
    <w:rsid w:val="006D3986"/>
    <w:rsid w:val="006D39B7"/>
    <w:rsid w:val="006D3C90"/>
    <w:rsid w:val="006D56F6"/>
    <w:rsid w:val="006D7350"/>
    <w:rsid w:val="006E02A0"/>
    <w:rsid w:val="006E1313"/>
    <w:rsid w:val="006E2CE3"/>
    <w:rsid w:val="006E439E"/>
    <w:rsid w:val="006E6B66"/>
    <w:rsid w:val="006E721F"/>
    <w:rsid w:val="006F00FC"/>
    <w:rsid w:val="006F125D"/>
    <w:rsid w:val="006F20D3"/>
    <w:rsid w:val="006F2ADB"/>
    <w:rsid w:val="006F3EDB"/>
    <w:rsid w:val="006F5720"/>
    <w:rsid w:val="006F5CFA"/>
    <w:rsid w:val="006F5DB0"/>
    <w:rsid w:val="006F6877"/>
    <w:rsid w:val="006F6B77"/>
    <w:rsid w:val="006F77C3"/>
    <w:rsid w:val="0070101B"/>
    <w:rsid w:val="00701444"/>
    <w:rsid w:val="007017E4"/>
    <w:rsid w:val="0070323E"/>
    <w:rsid w:val="00705A97"/>
    <w:rsid w:val="00710FC4"/>
    <w:rsid w:val="007123B5"/>
    <w:rsid w:val="00714329"/>
    <w:rsid w:val="007161EA"/>
    <w:rsid w:val="00720700"/>
    <w:rsid w:val="007207FE"/>
    <w:rsid w:val="00722E57"/>
    <w:rsid w:val="007230E4"/>
    <w:rsid w:val="0072536F"/>
    <w:rsid w:val="00725EC0"/>
    <w:rsid w:val="00732283"/>
    <w:rsid w:val="0073309D"/>
    <w:rsid w:val="00733D5E"/>
    <w:rsid w:val="00733F80"/>
    <w:rsid w:val="007343CE"/>
    <w:rsid w:val="0073696C"/>
    <w:rsid w:val="00740105"/>
    <w:rsid w:val="0074044A"/>
    <w:rsid w:val="00741A2B"/>
    <w:rsid w:val="00741CCA"/>
    <w:rsid w:val="00743A04"/>
    <w:rsid w:val="007442C4"/>
    <w:rsid w:val="00744D34"/>
    <w:rsid w:val="0074640F"/>
    <w:rsid w:val="007473E8"/>
    <w:rsid w:val="00747667"/>
    <w:rsid w:val="0075296A"/>
    <w:rsid w:val="00753003"/>
    <w:rsid w:val="0075369E"/>
    <w:rsid w:val="00753E30"/>
    <w:rsid w:val="007565C2"/>
    <w:rsid w:val="007572E4"/>
    <w:rsid w:val="007573CE"/>
    <w:rsid w:val="0076050C"/>
    <w:rsid w:val="007609B3"/>
    <w:rsid w:val="00760E17"/>
    <w:rsid w:val="00761401"/>
    <w:rsid w:val="00762B8D"/>
    <w:rsid w:val="00764482"/>
    <w:rsid w:val="00766313"/>
    <w:rsid w:val="0076685F"/>
    <w:rsid w:val="00766E6F"/>
    <w:rsid w:val="00767D5F"/>
    <w:rsid w:val="00767F83"/>
    <w:rsid w:val="00770B42"/>
    <w:rsid w:val="00771CB9"/>
    <w:rsid w:val="00772001"/>
    <w:rsid w:val="007742AF"/>
    <w:rsid w:val="00775822"/>
    <w:rsid w:val="00776F44"/>
    <w:rsid w:val="00777764"/>
    <w:rsid w:val="00781544"/>
    <w:rsid w:val="0078191C"/>
    <w:rsid w:val="0078211F"/>
    <w:rsid w:val="0078537E"/>
    <w:rsid w:val="0079199B"/>
    <w:rsid w:val="00791E85"/>
    <w:rsid w:val="00792931"/>
    <w:rsid w:val="0079477F"/>
    <w:rsid w:val="007961F1"/>
    <w:rsid w:val="00796FF7"/>
    <w:rsid w:val="007A06B3"/>
    <w:rsid w:val="007A1A57"/>
    <w:rsid w:val="007A36E1"/>
    <w:rsid w:val="007A4EFF"/>
    <w:rsid w:val="007B082F"/>
    <w:rsid w:val="007B39EA"/>
    <w:rsid w:val="007B580D"/>
    <w:rsid w:val="007B5A12"/>
    <w:rsid w:val="007C007D"/>
    <w:rsid w:val="007C3A22"/>
    <w:rsid w:val="007C616D"/>
    <w:rsid w:val="007C631F"/>
    <w:rsid w:val="007D0D03"/>
    <w:rsid w:val="007D171B"/>
    <w:rsid w:val="007D1DE3"/>
    <w:rsid w:val="007D236A"/>
    <w:rsid w:val="007D2C22"/>
    <w:rsid w:val="007D3A0A"/>
    <w:rsid w:val="007D6907"/>
    <w:rsid w:val="007E1ADA"/>
    <w:rsid w:val="007E2ACF"/>
    <w:rsid w:val="007E477E"/>
    <w:rsid w:val="007E611D"/>
    <w:rsid w:val="007E6229"/>
    <w:rsid w:val="007F0053"/>
    <w:rsid w:val="007F0F04"/>
    <w:rsid w:val="007F15FB"/>
    <w:rsid w:val="007F2D23"/>
    <w:rsid w:val="007F4415"/>
    <w:rsid w:val="007F6193"/>
    <w:rsid w:val="007F7D52"/>
    <w:rsid w:val="007F7ECD"/>
    <w:rsid w:val="008003D5"/>
    <w:rsid w:val="00800889"/>
    <w:rsid w:val="00801268"/>
    <w:rsid w:val="008016DF"/>
    <w:rsid w:val="0080489F"/>
    <w:rsid w:val="0080511F"/>
    <w:rsid w:val="0080553C"/>
    <w:rsid w:val="00806BCA"/>
    <w:rsid w:val="00807849"/>
    <w:rsid w:val="008126D9"/>
    <w:rsid w:val="008131CA"/>
    <w:rsid w:val="008157C2"/>
    <w:rsid w:val="00815AA5"/>
    <w:rsid w:val="008212AA"/>
    <w:rsid w:val="00821B11"/>
    <w:rsid w:val="00821DB3"/>
    <w:rsid w:val="00822546"/>
    <w:rsid w:val="00822857"/>
    <w:rsid w:val="0082473B"/>
    <w:rsid w:val="00824D9D"/>
    <w:rsid w:val="008257C7"/>
    <w:rsid w:val="00827806"/>
    <w:rsid w:val="008279B3"/>
    <w:rsid w:val="008300A4"/>
    <w:rsid w:val="00833A96"/>
    <w:rsid w:val="00834B6C"/>
    <w:rsid w:val="0083606B"/>
    <w:rsid w:val="00836B04"/>
    <w:rsid w:val="00836F46"/>
    <w:rsid w:val="0083726A"/>
    <w:rsid w:val="00843CA5"/>
    <w:rsid w:val="00844A4E"/>
    <w:rsid w:val="00845097"/>
    <w:rsid w:val="008461E6"/>
    <w:rsid w:val="00846952"/>
    <w:rsid w:val="00851FB5"/>
    <w:rsid w:val="00853DC9"/>
    <w:rsid w:val="008548BC"/>
    <w:rsid w:val="008564A8"/>
    <w:rsid w:val="0085739A"/>
    <w:rsid w:val="00857539"/>
    <w:rsid w:val="00857ADF"/>
    <w:rsid w:val="00860C01"/>
    <w:rsid w:val="008610BD"/>
    <w:rsid w:val="00862F8D"/>
    <w:rsid w:val="00863F27"/>
    <w:rsid w:val="00864175"/>
    <w:rsid w:val="00865C1D"/>
    <w:rsid w:val="00865FDD"/>
    <w:rsid w:val="00867468"/>
    <w:rsid w:val="008675AF"/>
    <w:rsid w:val="00870B09"/>
    <w:rsid w:val="00870CEE"/>
    <w:rsid w:val="008725B0"/>
    <w:rsid w:val="00873E71"/>
    <w:rsid w:val="008761FE"/>
    <w:rsid w:val="00876F08"/>
    <w:rsid w:val="008826D4"/>
    <w:rsid w:val="00883918"/>
    <w:rsid w:val="00896895"/>
    <w:rsid w:val="008A0563"/>
    <w:rsid w:val="008A17E5"/>
    <w:rsid w:val="008A1A67"/>
    <w:rsid w:val="008A5FA9"/>
    <w:rsid w:val="008A6229"/>
    <w:rsid w:val="008A6954"/>
    <w:rsid w:val="008A71B2"/>
    <w:rsid w:val="008A7F8B"/>
    <w:rsid w:val="008B10D3"/>
    <w:rsid w:val="008B1F18"/>
    <w:rsid w:val="008B2002"/>
    <w:rsid w:val="008B2336"/>
    <w:rsid w:val="008B246C"/>
    <w:rsid w:val="008B2F0C"/>
    <w:rsid w:val="008B37D5"/>
    <w:rsid w:val="008B60F4"/>
    <w:rsid w:val="008C1AAB"/>
    <w:rsid w:val="008C20C3"/>
    <w:rsid w:val="008C2CBA"/>
    <w:rsid w:val="008C2DDB"/>
    <w:rsid w:val="008C34B7"/>
    <w:rsid w:val="008C35D7"/>
    <w:rsid w:val="008C3DFB"/>
    <w:rsid w:val="008C41A0"/>
    <w:rsid w:val="008C4473"/>
    <w:rsid w:val="008C4F0C"/>
    <w:rsid w:val="008C6473"/>
    <w:rsid w:val="008C65E9"/>
    <w:rsid w:val="008C675D"/>
    <w:rsid w:val="008C6F3B"/>
    <w:rsid w:val="008C78B4"/>
    <w:rsid w:val="008C7992"/>
    <w:rsid w:val="008D098F"/>
    <w:rsid w:val="008D1B45"/>
    <w:rsid w:val="008D1C19"/>
    <w:rsid w:val="008D40FB"/>
    <w:rsid w:val="008D41CC"/>
    <w:rsid w:val="008D4CAB"/>
    <w:rsid w:val="008D4E94"/>
    <w:rsid w:val="008D6229"/>
    <w:rsid w:val="008E0D3F"/>
    <w:rsid w:val="008E0EF2"/>
    <w:rsid w:val="008E178A"/>
    <w:rsid w:val="008E24C6"/>
    <w:rsid w:val="008E33DE"/>
    <w:rsid w:val="008E3BA2"/>
    <w:rsid w:val="008E428D"/>
    <w:rsid w:val="008E46B7"/>
    <w:rsid w:val="008E4B58"/>
    <w:rsid w:val="008E4D07"/>
    <w:rsid w:val="008F1709"/>
    <w:rsid w:val="008F715C"/>
    <w:rsid w:val="00900EC5"/>
    <w:rsid w:val="0090468A"/>
    <w:rsid w:val="009062F4"/>
    <w:rsid w:val="00907383"/>
    <w:rsid w:val="00907684"/>
    <w:rsid w:val="00907B0F"/>
    <w:rsid w:val="00910FDA"/>
    <w:rsid w:val="00912A19"/>
    <w:rsid w:val="00913951"/>
    <w:rsid w:val="00913E95"/>
    <w:rsid w:val="0091521A"/>
    <w:rsid w:val="00917053"/>
    <w:rsid w:val="00922FE8"/>
    <w:rsid w:val="00923139"/>
    <w:rsid w:val="0092337A"/>
    <w:rsid w:val="00924006"/>
    <w:rsid w:val="00924F70"/>
    <w:rsid w:val="0092603C"/>
    <w:rsid w:val="00927A4D"/>
    <w:rsid w:val="00930551"/>
    <w:rsid w:val="00930E58"/>
    <w:rsid w:val="00931E26"/>
    <w:rsid w:val="00932576"/>
    <w:rsid w:val="00933A44"/>
    <w:rsid w:val="00933A89"/>
    <w:rsid w:val="00933DDA"/>
    <w:rsid w:val="009346CB"/>
    <w:rsid w:val="00934A45"/>
    <w:rsid w:val="00936E98"/>
    <w:rsid w:val="00937505"/>
    <w:rsid w:val="00940B50"/>
    <w:rsid w:val="009424CD"/>
    <w:rsid w:val="009424FB"/>
    <w:rsid w:val="00942543"/>
    <w:rsid w:val="00944E25"/>
    <w:rsid w:val="00946B11"/>
    <w:rsid w:val="00951B39"/>
    <w:rsid w:val="00951B5B"/>
    <w:rsid w:val="00953291"/>
    <w:rsid w:val="009536FF"/>
    <w:rsid w:val="00953876"/>
    <w:rsid w:val="0096051F"/>
    <w:rsid w:val="00961EF1"/>
    <w:rsid w:val="00962711"/>
    <w:rsid w:val="0096437B"/>
    <w:rsid w:val="00964D27"/>
    <w:rsid w:val="00964FE1"/>
    <w:rsid w:val="00966089"/>
    <w:rsid w:val="00967602"/>
    <w:rsid w:val="00967746"/>
    <w:rsid w:val="00972F9B"/>
    <w:rsid w:val="00973AEC"/>
    <w:rsid w:val="0097605F"/>
    <w:rsid w:val="00977167"/>
    <w:rsid w:val="009773F2"/>
    <w:rsid w:val="00977B26"/>
    <w:rsid w:val="009800EC"/>
    <w:rsid w:val="009806F0"/>
    <w:rsid w:val="009816D2"/>
    <w:rsid w:val="00981AE6"/>
    <w:rsid w:val="0098224F"/>
    <w:rsid w:val="00982E81"/>
    <w:rsid w:val="009839F7"/>
    <w:rsid w:val="009842B0"/>
    <w:rsid w:val="0098508B"/>
    <w:rsid w:val="009857A0"/>
    <w:rsid w:val="009859AB"/>
    <w:rsid w:val="0098633B"/>
    <w:rsid w:val="00987426"/>
    <w:rsid w:val="00987901"/>
    <w:rsid w:val="009907BF"/>
    <w:rsid w:val="00991958"/>
    <w:rsid w:val="00991CE0"/>
    <w:rsid w:val="009921A8"/>
    <w:rsid w:val="009940E3"/>
    <w:rsid w:val="009A0CAE"/>
    <w:rsid w:val="009A0EF8"/>
    <w:rsid w:val="009A1519"/>
    <w:rsid w:val="009A1893"/>
    <w:rsid w:val="009A4A5F"/>
    <w:rsid w:val="009A558E"/>
    <w:rsid w:val="009A5769"/>
    <w:rsid w:val="009A6391"/>
    <w:rsid w:val="009B15C9"/>
    <w:rsid w:val="009C0C59"/>
    <w:rsid w:val="009C1EA6"/>
    <w:rsid w:val="009C2051"/>
    <w:rsid w:val="009C278C"/>
    <w:rsid w:val="009C3DB4"/>
    <w:rsid w:val="009C5598"/>
    <w:rsid w:val="009C6D35"/>
    <w:rsid w:val="009D15C5"/>
    <w:rsid w:val="009D1AD2"/>
    <w:rsid w:val="009D1D7E"/>
    <w:rsid w:val="009D1ECD"/>
    <w:rsid w:val="009D32F8"/>
    <w:rsid w:val="009D4DDF"/>
    <w:rsid w:val="009D5B12"/>
    <w:rsid w:val="009D5D2F"/>
    <w:rsid w:val="009D6214"/>
    <w:rsid w:val="009E0251"/>
    <w:rsid w:val="009E116D"/>
    <w:rsid w:val="009E1F72"/>
    <w:rsid w:val="009E204E"/>
    <w:rsid w:val="009E2C3C"/>
    <w:rsid w:val="009E67DF"/>
    <w:rsid w:val="009E6EE1"/>
    <w:rsid w:val="009F0107"/>
    <w:rsid w:val="009F0F19"/>
    <w:rsid w:val="009F3E13"/>
    <w:rsid w:val="009F3E98"/>
    <w:rsid w:val="009F5416"/>
    <w:rsid w:val="009F6294"/>
    <w:rsid w:val="009F6C5F"/>
    <w:rsid w:val="009F7AF4"/>
    <w:rsid w:val="009F7B30"/>
    <w:rsid w:val="00A00056"/>
    <w:rsid w:val="00A01FEA"/>
    <w:rsid w:val="00A03F0F"/>
    <w:rsid w:val="00A067F7"/>
    <w:rsid w:val="00A10B49"/>
    <w:rsid w:val="00A117C1"/>
    <w:rsid w:val="00A11A09"/>
    <w:rsid w:val="00A17039"/>
    <w:rsid w:val="00A200B2"/>
    <w:rsid w:val="00A257E9"/>
    <w:rsid w:val="00A26540"/>
    <w:rsid w:val="00A26A54"/>
    <w:rsid w:val="00A2732C"/>
    <w:rsid w:val="00A30FFA"/>
    <w:rsid w:val="00A31293"/>
    <w:rsid w:val="00A31C1B"/>
    <w:rsid w:val="00A31ED1"/>
    <w:rsid w:val="00A32B08"/>
    <w:rsid w:val="00A37421"/>
    <w:rsid w:val="00A42749"/>
    <w:rsid w:val="00A44412"/>
    <w:rsid w:val="00A4444F"/>
    <w:rsid w:val="00A44AB1"/>
    <w:rsid w:val="00A44B2E"/>
    <w:rsid w:val="00A45402"/>
    <w:rsid w:val="00A503AC"/>
    <w:rsid w:val="00A51D5E"/>
    <w:rsid w:val="00A544A6"/>
    <w:rsid w:val="00A55213"/>
    <w:rsid w:val="00A56632"/>
    <w:rsid w:val="00A56937"/>
    <w:rsid w:val="00A571B1"/>
    <w:rsid w:val="00A608CC"/>
    <w:rsid w:val="00A611DF"/>
    <w:rsid w:val="00A65193"/>
    <w:rsid w:val="00A659D4"/>
    <w:rsid w:val="00A67261"/>
    <w:rsid w:val="00A748D2"/>
    <w:rsid w:val="00A755C6"/>
    <w:rsid w:val="00A825D1"/>
    <w:rsid w:val="00A82718"/>
    <w:rsid w:val="00A832E6"/>
    <w:rsid w:val="00A8438C"/>
    <w:rsid w:val="00A85511"/>
    <w:rsid w:val="00A855CB"/>
    <w:rsid w:val="00A855F3"/>
    <w:rsid w:val="00A905D0"/>
    <w:rsid w:val="00A910AC"/>
    <w:rsid w:val="00A9128E"/>
    <w:rsid w:val="00A9357C"/>
    <w:rsid w:val="00A93B51"/>
    <w:rsid w:val="00A943B0"/>
    <w:rsid w:val="00A95DE1"/>
    <w:rsid w:val="00A9664F"/>
    <w:rsid w:val="00A96D90"/>
    <w:rsid w:val="00A979B2"/>
    <w:rsid w:val="00AA0090"/>
    <w:rsid w:val="00AA15F8"/>
    <w:rsid w:val="00AA5B81"/>
    <w:rsid w:val="00AB299A"/>
    <w:rsid w:val="00AB4BC0"/>
    <w:rsid w:val="00AB5231"/>
    <w:rsid w:val="00AB670E"/>
    <w:rsid w:val="00AB782F"/>
    <w:rsid w:val="00AB7D1D"/>
    <w:rsid w:val="00AC5CFC"/>
    <w:rsid w:val="00AC7933"/>
    <w:rsid w:val="00AC7D5D"/>
    <w:rsid w:val="00AD01F6"/>
    <w:rsid w:val="00AD1357"/>
    <w:rsid w:val="00AD2A1A"/>
    <w:rsid w:val="00AD357B"/>
    <w:rsid w:val="00AE2D62"/>
    <w:rsid w:val="00AE496E"/>
    <w:rsid w:val="00AE59A4"/>
    <w:rsid w:val="00AE6500"/>
    <w:rsid w:val="00AF1C00"/>
    <w:rsid w:val="00AF1DEA"/>
    <w:rsid w:val="00AF27ED"/>
    <w:rsid w:val="00AF78F5"/>
    <w:rsid w:val="00AF7EC3"/>
    <w:rsid w:val="00B011D0"/>
    <w:rsid w:val="00B01621"/>
    <w:rsid w:val="00B01BCA"/>
    <w:rsid w:val="00B02254"/>
    <w:rsid w:val="00B02C65"/>
    <w:rsid w:val="00B02CFF"/>
    <w:rsid w:val="00B0444E"/>
    <w:rsid w:val="00B04DAE"/>
    <w:rsid w:val="00B05912"/>
    <w:rsid w:val="00B07894"/>
    <w:rsid w:val="00B129DC"/>
    <w:rsid w:val="00B132D7"/>
    <w:rsid w:val="00B13D1A"/>
    <w:rsid w:val="00B13EE4"/>
    <w:rsid w:val="00B15853"/>
    <w:rsid w:val="00B16F37"/>
    <w:rsid w:val="00B17258"/>
    <w:rsid w:val="00B206A9"/>
    <w:rsid w:val="00B23197"/>
    <w:rsid w:val="00B248F5"/>
    <w:rsid w:val="00B24993"/>
    <w:rsid w:val="00B24D96"/>
    <w:rsid w:val="00B302DD"/>
    <w:rsid w:val="00B325CC"/>
    <w:rsid w:val="00B355DC"/>
    <w:rsid w:val="00B36E90"/>
    <w:rsid w:val="00B371E1"/>
    <w:rsid w:val="00B3753C"/>
    <w:rsid w:val="00B40B10"/>
    <w:rsid w:val="00B41ABA"/>
    <w:rsid w:val="00B41C7F"/>
    <w:rsid w:val="00B41DA4"/>
    <w:rsid w:val="00B4270C"/>
    <w:rsid w:val="00B42AE5"/>
    <w:rsid w:val="00B43A7D"/>
    <w:rsid w:val="00B450DD"/>
    <w:rsid w:val="00B47E4B"/>
    <w:rsid w:val="00B51239"/>
    <w:rsid w:val="00B513AF"/>
    <w:rsid w:val="00B513B2"/>
    <w:rsid w:val="00B516B0"/>
    <w:rsid w:val="00B51B2F"/>
    <w:rsid w:val="00B535DD"/>
    <w:rsid w:val="00B539DA"/>
    <w:rsid w:val="00B53B91"/>
    <w:rsid w:val="00B551DA"/>
    <w:rsid w:val="00B575EA"/>
    <w:rsid w:val="00B57982"/>
    <w:rsid w:val="00B62DF9"/>
    <w:rsid w:val="00B643EC"/>
    <w:rsid w:val="00B65171"/>
    <w:rsid w:val="00B65C68"/>
    <w:rsid w:val="00B67C68"/>
    <w:rsid w:val="00B70821"/>
    <w:rsid w:val="00B711D1"/>
    <w:rsid w:val="00B71B4B"/>
    <w:rsid w:val="00B72170"/>
    <w:rsid w:val="00B75075"/>
    <w:rsid w:val="00B778E8"/>
    <w:rsid w:val="00B81317"/>
    <w:rsid w:val="00B81A0C"/>
    <w:rsid w:val="00B81CE8"/>
    <w:rsid w:val="00B82236"/>
    <w:rsid w:val="00B82381"/>
    <w:rsid w:val="00B84A25"/>
    <w:rsid w:val="00B84DAD"/>
    <w:rsid w:val="00B85332"/>
    <w:rsid w:val="00B86D44"/>
    <w:rsid w:val="00B878F3"/>
    <w:rsid w:val="00B87BBD"/>
    <w:rsid w:val="00B907D1"/>
    <w:rsid w:val="00B930FD"/>
    <w:rsid w:val="00B95E74"/>
    <w:rsid w:val="00B97A63"/>
    <w:rsid w:val="00BA11B9"/>
    <w:rsid w:val="00BA16E1"/>
    <w:rsid w:val="00BA2097"/>
    <w:rsid w:val="00BA337E"/>
    <w:rsid w:val="00BA367A"/>
    <w:rsid w:val="00BA46F4"/>
    <w:rsid w:val="00BA52DC"/>
    <w:rsid w:val="00BA61AA"/>
    <w:rsid w:val="00BA68A8"/>
    <w:rsid w:val="00BA6DB4"/>
    <w:rsid w:val="00BA7D4D"/>
    <w:rsid w:val="00BB0553"/>
    <w:rsid w:val="00BB0E64"/>
    <w:rsid w:val="00BB2899"/>
    <w:rsid w:val="00BB30B4"/>
    <w:rsid w:val="00BB3E23"/>
    <w:rsid w:val="00BB5521"/>
    <w:rsid w:val="00BB5D22"/>
    <w:rsid w:val="00BB7736"/>
    <w:rsid w:val="00BC0520"/>
    <w:rsid w:val="00BC1867"/>
    <w:rsid w:val="00BC1A38"/>
    <w:rsid w:val="00BC20FB"/>
    <w:rsid w:val="00BC3FE0"/>
    <w:rsid w:val="00BC4F17"/>
    <w:rsid w:val="00BC5440"/>
    <w:rsid w:val="00BC6D5F"/>
    <w:rsid w:val="00BD0A0C"/>
    <w:rsid w:val="00BD0CAE"/>
    <w:rsid w:val="00BD1737"/>
    <w:rsid w:val="00BD4098"/>
    <w:rsid w:val="00BD4528"/>
    <w:rsid w:val="00BD6ED0"/>
    <w:rsid w:val="00BD7C13"/>
    <w:rsid w:val="00BD7C1E"/>
    <w:rsid w:val="00BE0ABD"/>
    <w:rsid w:val="00BE0AC9"/>
    <w:rsid w:val="00BE14E0"/>
    <w:rsid w:val="00BE31E3"/>
    <w:rsid w:val="00BE432C"/>
    <w:rsid w:val="00BE4F4D"/>
    <w:rsid w:val="00BE52BA"/>
    <w:rsid w:val="00BE599F"/>
    <w:rsid w:val="00BE6A3C"/>
    <w:rsid w:val="00BF04B7"/>
    <w:rsid w:val="00BF2B77"/>
    <w:rsid w:val="00BF3DDD"/>
    <w:rsid w:val="00BF3E1C"/>
    <w:rsid w:val="00BF6343"/>
    <w:rsid w:val="00BF6A00"/>
    <w:rsid w:val="00BF6C0D"/>
    <w:rsid w:val="00C018A5"/>
    <w:rsid w:val="00C020ED"/>
    <w:rsid w:val="00C02EDE"/>
    <w:rsid w:val="00C032DD"/>
    <w:rsid w:val="00C05DE1"/>
    <w:rsid w:val="00C06A68"/>
    <w:rsid w:val="00C07255"/>
    <w:rsid w:val="00C0766C"/>
    <w:rsid w:val="00C100A3"/>
    <w:rsid w:val="00C1088F"/>
    <w:rsid w:val="00C1406B"/>
    <w:rsid w:val="00C1429E"/>
    <w:rsid w:val="00C1572B"/>
    <w:rsid w:val="00C17776"/>
    <w:rsid w:val="00C17885"/>
    <w:rsid w:val="00C20224"/>
    <w:rsid w:val="00C20B51"/>
    <w:rsid w:val="00C216D5"/>
    <w:rsid w:val="00C21A9F"/>
    <w:rsid w:val="00C229CD"/>
    <w:rsid w:val="00C25590"/>
    <w:rsid w:val="00C264FD"/>
    <w:rsid w:val="00C26AC5"/>
    <w:rsid w:val="00C26D85"/>
    <w:rsid w:val="00C325D0"/>
    <w:rsid w:val="00C364FA"/>
    <w:rsid w:val="00C36E3F"/>
    <w:rsid w:val="00C3769B"/>
    <w:rsid w:val="00C402FD"/>
    <w:rsid w:val="00C40A39"/>
    <w:rsid w:val="00C40AC2"/>
    <w:rsid w:val="00C40CD5"/>
    <w:rsid w:val="00C422F4"/>
    <w:rsid w:val="00C458B2"/>
    <w:rsid w:val="00C46F0A"/>
    <w:rsid w:val="00C517D9"/>
    <w:rsid w:val="00C51A91"/>
    <w:rsid w:val="00C53980"/>
    <w:rsid w:val="00C53B87"/>
    <w:rsid w:val="00C54E03"/>
    <w:rsid w:val="00C55C27"/>
    <w:rsid w:val="00C5737F"/>
    <w:rsid w:val="00C574FC"/>
    <w:rsid w:val="00C578AC"/>
    <w:rsid w:val="00C602A2"/>
    <w:rsid w:val="00C60EF7"/>
    <w:rsid w:val="00C60F9F"/>
    <w:rsid w:val="00C61FE9"/>
    <w:rsid w:val="00C62FC5"/>
    <w:rsid w:val="00C6357A"/>
    <w:rsid w:val="00C641B2"/>
    <w:rsid w:val="00C645A9"/>
    <w:rsid w:val="00C66436"/>
    <w:rsid w:val="00C667FC"/>
    <w:rsid w:val="00C6755F"/>
    <w:rsid w:val="00C6785E"/>
    <w:rsid w:val="00C76867"/>
    <w:rsid w:val="00C76A20"/>
    <w:rsid w:val="00C772EC"/>
    <w:rsid w:val="00C800D4"/>
    <w:rsid w:val="00C818A8"/>
    <w:rsid w:val="00C82E4E"/>
    <w:rsid w:val="00C84E5C"/>
    <w:rsid w:val="00C854FB"/>
    <w:rsid w:val="00C8582F"/>
    <w:rsid w:val="00C87B80"/>
    <w:rsid w:val="00C93A4A"/>
    <w:rsid w:val="00C943DA"/>
    <w:rsid w:val="00C957C4"/>
    <w:rsid w:val="00C9598B"/>
    <w:rsid w:val="00C976AE"/>
    <w:rsid w:val="00CA0475"/>
    <w:rsid w:val="00CA0615"/>
    <w:rsid w:val="00CA1A1E"/>
    <w:rsid w:val="00CA1EC1"/>
    <w:rsid w:val="00CA2337"/>
    <w:rsid w:val="00CA348C"/>
    <w:rsid w:val="00CA363B"/>
    <w:rsid w:val="00CA4335"/>
    <w:rsid w:val="00CA4710"/>
    <w:rsid w:val="00CA4835"/>
    <w:rsid w:val="00CA4867"/>
    <w:rsid w:val="00CA53B3"/>
    <w:rsid w:val="00CA6634"/>
    <w:rsid w:val="00CB0C70"/>
    <w:rsid w:val="00CB523A"/>
    <w:rsid w:val="00CB574B"/>
    <w:rsid w:val="00CB71AF"/>
    <w:rsid w:val="00CC0016"/>
    <w:rsid w:val="00CC1A95"/>
    <w:rsid w:val="00CC2C04"/>
    <w:rsid w:val="00CC4772"/>
    <w:rsid w:val="00CC4B3F"/>
    <w:rsid w:val="00CC5FAF"/>
    <w:rsid w:val="00CC66D5"/>
    <w:rsid w:val="00CD15A8"/>
    <w:rsid w:val="00CD28B8"/>
    <w:rsid w:val="00CD322E"/>
    <w:rsid w:val="00CD55EA"/>
    <w:rsid w:val="00CD64F3"/>
    <w:rsid w:val="00CD7413"/>
    <w:rsid w:val="00CE0B50"/>
    <w:rsid w:val="00CE3046"/>
    <w:rsid w:val="00CE5189"/>
    <w:rsid w:val="00CE59A7"/>
    <w:rsid w:val="00CE5BB8"/>
    <w:rsid w:val="00CE5DC0"/>
    <w:rsid w:val="00CE667B"/>
    <w:rsid w:val="00CE72C3"/>
    <w:rsid w:val="00CE7E28"/>
    <w:rsid w:val="00CF02C5"/>
    <w:rsid w:val="00CF19EF"/>
    <w:rsid w:val="00CF4816"/>
    <w:rsid w:val="00CF4AC3"/>
    <w:rsid w:val="00CF4D04"/>
    <w:rsid w:val="00CF5BDE"/>
    <w:rsid w:val="00CF6704"/>
    <w:rsid w:val="00D012B9"/>
    <w:rsid w:val="00D014FD"/>
    <w:rsid w:val="00D02112"/>
    <w:rsid w:val="00D030C0"/>
    <w:rsid w:val="00D0407B"/>
    <w:rsid w:val="00D06680"/>
    <w:rsid w:val="00D0790D"/>
    <w:rsid w:val="00D079F8"/>
    <w:rsid w:val="00D12931"/>
    <w:rsid w:val="00D12ADE"/>
    <w:rsid w:val="00D13748"/>
    <w:rsid w:val="00D13F14"/>
    <w:rsid w:val="00D14AA5"/>
    <w:rsid w:val="00D14C82"/>
    <w:rsid w:val="00D15C2F"/>
    <w:rsid w:val="00D17138"/>
    <w:rsid w:val="00D17707"/>
    <w:rsid w:val="00D17DF2"/>
    <w:rsid w:val="00D202F5"/>
    <w:rsid w:val="00D214A2"/>
    <w:rsid w:val="00D22CD5"/>
    <w:rsid w:val="00D232BC"/>
    <w:rsid w:val="00D26EA4"/>
    <w:rsid w:val="00D27047"/>
    <w:rsid w:val="00D27367"/>
    <w:rsid w:val="00D27D83"/>
    <w:rsid w:val="00D30470"/>
    <w:rsid w:val="00D328DB"/>
    <w:rsid w:val="00D32BAA"/>
    <w:rsid w:val="00D33620"/>
    <w:rsid w:val="00D347A5"/>
    <w:rsid w:val="00D34885"/>
    <w:rsid w:val="00D3497C"/>
    <w:rsid w:val="00D369E8"/>
    <w:rsid w:val="00D40757"/>
    <w:rsid w:val="00D40E4F"/>
    <w:rsid w:val="00D42347"/>
    <w:rsid w:val="00D43932"/>
    <w:rsid w:val="00D43ED6"/>
    <w:rsid w:val="00D44FC5"/>
    <w:rsid w:val="00D458CD"/>
    <w:rsid w:val="00D461BB"/>
    <w:rsid w:val="00D46492"/>
    <w:rsid w:val="00D5121A"/>
    <w:rsid w:val="00D51993"/>
    <w:rsid w:val="00D527D3"/>
    <w:rsid w:val="00D5395E"/>
    <w:rsid w:val="00D53A83"/>
    <w:rsid w:val="00D546DA"/>
    <w:rsid w:val="00D5564B"/>
    <w:rsid w:val="00D57ADF"/>
    <w:rsid w:val="00D648DE"/>
    <w:rsid w:val="00D64ADC"/>
    <w:rsid w:val="00D65FFC"/>
    <w:rsid w:val="00D71E13"/>
    <w:rsid w:val="00D7270D"/>
    <w:rsid w:val="00D72AA7"/>
    <w:rsid w:val="00D73609"/>
    <w:rsid w:val="00D737FA"/>
    <w:rsid w:val="00D73D02"/>
    <w:rsid w:val="00D745C5"/>
    <w:rsid w:val="00D749CB"/>
    <w:rsid w:val="00D75B25"/>
    <w:rsid w:val="00D75C24"/>
    <w:rsid w:val="00D82F33"/>
    <w:rsid w:val="00D83741"/>
    <w:rsid w:val="00D83F39"/>
    <w:rsid w:val="00D84C2A"/>
    <w:rsid w:val="00D85B5D"/>
    <w:rsid w:val="00D8748B"/>
    <w:rsid w:val="00D87F6B"/>
    <w:rsid w:val="00D915D5"/>
    <w:rsid w:val="00D92BAF"/>
    <w:rsid w:val="00D95BB2"/>
    <w:rsid w:val="00D96CE3"/>
    <w:rsid w:val="00D96D0C"/>
    <w:rsid w:val="00DA00D3"/>
    <w:rsid w:val="00DA2386"/>
    <w:rsid w:val="00DA280A"/>
    <w:rsid w:val="00DA52DD"/>
    <w:rsid w:val="00DB27A7"/>
    <w:rsid w:val="00DB4869"/>
    <w:rsid w:val="00DB4C3A"/>
    <w:rsid w:val="00DB56C7"/>
    <w:rsid w:val="00DB5BFC"/>
    <w:rsid w:val="00DB6366"/>
    <w:rsid w:val="00DB6B6C"/>
    <w:rsid w:val="00DB7B6F"/>
    <w:rsid w:val="00DB7E49"/>
    <w:rsid w:val="00DC07A7"/>
    <w:rsid w:val="00DC0B58"/>
    <w:rsid w:val="00DC1C10"/>
    <w:rsid w:val="00DC3507"/>
    <w:rsid w:val="00DC4259"/>
    <w:rsid w:val="00DC4B60"/>
    <w:rsid w:val="00DC6DA2"/>
    <w:rsid w:val="00DC7B3B"/>
    <w:rsid w:val="00DD0851"/>
    <w:rsid w:val="00DD4960"/>
    <w:rsid w:val="00DD4B7A"/>
    <w:rsid w:val="00DD5E59"/>
    <w:rsid w:val="00DD6052"/>
    <w:rsid w:val="00DD738D"/>
    <w:rsid w:val="00DE1674"/>
    <w:rsid w:val="00DE2112"/>
    <w:rsid w:val="00DE2C10"/>
    <w:rsid w:val="00DE2F7A"/>
    <w:rsid w:val="00DE40B1"/>
    <w:rsid w:val="00DF0520"/>
    <w:rsid w:val="00DF0B85"/>
    <w:rsid w:val="00DF20BF"/>
    <w:rsid w:val="00DF24CF"/>
    <w:rsid w:val="00DF546D"/>
    <w:rsid w:val="00DF6359"/>
    <w:rsid w:val="00E0120B"/>
    <w:rsid w:val="00E01346"/>
    <w:rsid w:val="00E01A36"/>
    <w:rsid w:val="00E02482"/>
    <w:rsid w:val="00E03566"/>
    <w:rsid w:val="00E03A4E"/>
    <w:rsid w:val="00E0565D"/>
    <w:rsid w:val="00E056ED"/>
    <w:rsid w:val="00E05D8B"/>
    <w:rsid w:val="00E06A13"/>
    <w:rsid w:val="00E07D18"/>
    <w:rsid w:val="00E11D82"/>
    <w:rsid w:val="00E11EC8"/>
    <w:rsid w:val="00E127B2"/>
    <w:rsid w:val="00E137B1"/>
    <w:rsid w:val="00E14621"/>
    <w:rsid w:val="00E14656"/>
    <w:rsid w:val="00E16672"/>
    <w:rsid w:val="00E17310"/>
    <w:rsid w:val="00E215A5"/>
    <w:rsid w:val="00E2183D"/>
    <w:rsid w:val="00E21B00"/>
    <w:rsid w:val="00E22B9B"/>
    <w:rsid w:val="00E22DA9"/>
    <w:rsid w:val="00E24565"/>
    <w:rsid w:val="00E25D9C"/>
    <w:rsid w:val="00E25DEA"/>
    <w:rsid w:val="00E27DC4"/>
    <w:rsid w:val="00E308AF"/>
    <w:rsid w:val="00E31741"/>
    <w:rsid w:val="00E31B68"/>
    <w:rsid w:val="00E322AC"/>
    <w:rsid w:val="00E32E97"/>
    <w:rsid w:val="00E32EE5"/>
    <w:rsid w:val="00E35F44"/>
    <w:rsid w:val="00E36C53"/>
    <w:rsid w:val="00E378ED"/>
    <w:rsid w:val="00E37EBE"/>
    <w:rsid w:val="00E4141D"/>
    <w:rsid w:val="00E41470"/>
    <w:rsid w:val="00E415DC"/>
    <w:rsid w:val="00E42AB2"/>
    <w:rsid w:val="00E437F5"/>
    <w:rsid w:val="00E438A0"/>
    <w:rsid w:val="00E44A15"/>
    <w:rsid w:val="00E44EB5"/>
    <w:rsid w:val="00E4557F"/>
    <w:rsid w:val="00E47F7D"/>
    <w:rsid w:val="00E500EF"/>
    <w:rsid w:val="00E50918"/>
    <w:rsid w:val="00E50F85"/>
    <w:rsid w:val="00E525DD"/>
    <w:rsid w:val="00E52C9F"/>
    <w:rsid w:val="00E54AA2"/>
    <w:rsid w:val="00E551CE"/>
    <w:rsid w:val="00E55851"/>
    <w:rsid w:val="00E57054"/>
    <w:rsid w:val="00E6078B"/>
    <w:rsid w:val="00E61072"/>
    <w:rsid w:val="00E615F0"/>
    <w:rsid w:val="00E61BE8"/>
    <w:rsid w:val="00E62338"/>
    <w:rsid w:val="00E63A4B"/>
    <w:rsid w:val="00E66F2F"/>
    <w:rsid w:val="00E67CFB"/>
    <w:rsid w:val="00E7033A"/>
    <w:rsid w:val="00E70BF2"/>
    <w:rsid w:val="00E74BB5"/>
    <w:rsid w:val="00E76AFF"/>
    <w:rsid w:val="00E76F7A"/>
    <w:rsid w:val="00E80076"/>
    <w:rsid w:val="00E80338"/>
    <w:rsid w:val="00E80640"/>
    <w:rsid w:val="00E822BD"/>
    <w:rsid w:val="00E82DBE"/>
    <w:rsid w:val="00E84B7B"/>
    <w:rsid w:val="00E87233"/>
    <w:rsid w:val="00E90DAE"/>
    <w:rsid w:val="00E910B6"/>
    <w:rsid w:val="00E93B7A"/>
    <w:rsid w:val="00E970D7"/>
    <w:rsid w:val="00E971C0"/>
    <w:rsid w:val="00EA0456"/>
    <w:rsid w:val="00EA1477"/>
    <w:rsid w:val="00EA1698"/>
    <w:rsid w:val="00EA25A3"/>
    <w:rsid w:val="00EB2944"/>
    <w:rsid w:val="00EB41EE"/>
    <w:rsid w:val="00EB67BA"/>
    <w:rsid w:val="00EB68D7"/>
    <w:rsid w:val="00EB7401"/>
    <w:rsid w:val="00EB7D6D"/>
    <w:rsid w:val="00EC1F7F"/>
    <w:rsid w:val="00EC2AA3"/>
    <w:rsid w:val="00EC6A54"/>
    <w:rsid w:val="00ED0337"/>
    <w:rsid w:val="00ED1D1E"/>
    <w:rsid w:val="00ED2E8D"/>
    <w:rsid w:val="00ED2E9C"/>
    <w:rsid w:val="00ED3703"/>
    <w:rsid w:val="00EE0C14"/>
    <w:rsid w:val="00EE2774"/>
    <w:rsid w:val="00EE5F7E"/>
    <w:rsid w:val="00EE626E"/>
    <w:rsid w:val="00EE6331"/>
    <w:rsid w:val="00EE67E4"/>
    <w:rsid w:val="00EE6DA5"/>
    <w:rsid w:val="00EE74CE"/>
    <w:rsid w:val="00EE7657"/>
    <w:rsid w:val="00EF26DE"/>
    <w:rsid w:val="00EF28B6"/>
    <w:rsid w:val="00EF2D56"/>
    <w:rsid w:val="00EF3438"/>
    <w:rsid w:val="00EF3554"/>
    <w:rsid w:val="00EF49A8"/>
    <w:rsid w:val="00EF4E16"/>
    <w:rsid w:val="00EF5345"/>
    <w:rsid w:val="00EF6AFB"/>
    <w:rsid w:val="00F00D45"/>
    <w:rsid w:val="00F011A0"/>
    <w:rsid w:val="00F01773"/>
    <w:rsid w:val="00F02AF0"/>
    <w:rsid w:val="00F04A52"/>
    <w:rsid w:val="00F056F0"/>
    <w:rsid w:val="00F05DE7"/>
    <w:rsid w:val="00F12F82"/>
    <w:rsid w:val="00F1460C"/>
    <w:rsid w:val="00F15239"/>
    <w:rsid w:val="00F15C1A"/>
    <w:rsid w:val="00F1706C"/>
    <w:rsid w:val="00F17963"/>
    <w:rsid w:val="00F179A1"/>
    <w:rsid w:val="00F230C7"/>
    <w:rsid w:val="00F238EE"/>
    <w:rsid w:val="00F2405E"/>
    <w:rsid w:val="00F2676A"/>
    <w:rsid w:val="00F26E79"/>
    <w:rsid w:val="00F27DC2"/>
    <w:rsid w:val="00F304E8"/>
    <w:rsid w:val="00F31CD8"/>
    <w:rsid w:val="00F3532F"/>
    <w:rsid w:val="00F37FAC"/>
    <w:rsid w:val="00F41545"/>
    <w:rsid w:val="00F43C02"/>
    <w:rsid w:val="00F46C98"/>
    <w:rsid w:val="00F47715"/>
    <w:rsid w:val="00F47C9D"/>
    <w:rsid w:val="00F50973"/>
    <w:rsid w:val="00F5122C"/>
    <w:rsid w:val="00F517D0"/>
    <w:rsid w:val="00F53FFC"/>
    <w:rsid w:val="00F557F6"/>
    <w:rsid w:val="00F56001"/>
    <w:rsid w:val="00F5683E"/>
    <w:rsid w:val="00F577CC"/>
    <w:rsid w:val="00F57BFB"/>
    <w:rsid w:val="00F57D8A"/>
    <w:rsid w:val="00F600C5"/>
    <w:rsid w:val="00F602EB"/>
    <w:rsid w:val="00F61CDE"/>
    <w:rsid w:val="00F61E6E"/>
    <w:rsid w:val="00F628DF"/>
    <w:rsid w:val="00F62D6A"/>
    <w:rsid w:val="00F6359F"/>
    <w:rsid w:val="00F66E7C"/>
    <w:rsid w:val="00F72151"/>
    <w:rsid w:val="00F7243A"/>
    <w:rsid w:val="00F7394F"/>
    <w:rsid w:val="00F73984"/>
    <w:rsid w:val="00F73E0C"/>
    <w:rsid w:val="00F757C2"/>
    <w:rsid w:val="00F801BD"/>
    <w:rsid w:val="00F80AEC"/>
    <w:rsid w:val="00F80DF3"/>
    <w:rsid w:val="00F81779"/>
    <w:rsid w:val="00F83E01"/>
    <w:rsid w:val="00F842BE"/>
    <w:rsid w:val="00F84365"/>
    <w:rsid w:val="00F84B5C"/>
    <w:rsid w:val="00F8753D"/>
    <w:rsid w:val="00F918ED"/>
    <w:rsid w:val="00F931BC"/>
    <w:rsid w:val="00F93CD5"/>
    <w:rsid w:val="00F95781"/>
    <w:rsid w:val="00F9622F"/>
    <w:rsid w:val="00FA0514"/>
    <w:rsid w:val="00FA1DD3"/>
    <w:rsid w:val="00FA2522"/>
    <w:rsid w:val="00FA2E95"/>
    <w:rsid w:val="00FA3D44"/>
    <w:rsid w:val="00FA4420"/>
    <w:rsid w:val="00FA5A11"/>
    <w:rsid w:val="00FA7E1F"/>
    <w:rsid w:val="00FB0B65"/>
    <w:rsid w:val="00FB1A8E"/>
    <w:rsid w:val="00FB5B0C"/>
    <w:rsid w:val="00FB6363"/>
    <w:rsid w:val="00FB6EF7"/>
    <w:rsid w:val="00FB7365"/>
    <w:rsid w:val="00FC0424"/>
    <w:rsid w:val="00FC1105"/>
    <w:rsid w:val="00FC12BF"/>
    <w:rsid w:val="00FC1440"/>
    <w:rsid w:val="00FC29E0"/>
    <w:rsid w:val="00FC3579"/>
    <w:rsid w:val="00FC4637"/>
    <w:rsid w:val="00FC597E"/>
    <w:rsid w:val="00FD0E34"/>
    <w:rsid w:val="00FD1EB6"/>
    <w:rsid w:val="00FD4383"/>
    <w:rsid w:val="00FD6880"/>
    <w:rsid w:val="00FE08CF"/>
    <w:rsid w:val="00FE1173"/>
    <w:rsid w:val="00FE1177"/>
    <w:rsid w:val="00FE12DA"/>
    <w:rsid w:val="00FE4274"/>
    <w:rsid w:val="00FE4A0D"/>
    <w:rsid w:val="00FE518C"/>
    <w:rsid w:val="00FF0345"/>
    <w:rsid w:val="00FF057E"/>
    <w:rsid w:val="00FF177C"/>
    <w:rsid w:val="00FF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B450"/>
  <w15:docId w15:val="{0F854E52-9523-4C46-897F-A1545095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A9357C"/>
  </w:style>
  <w:style w:type="paragraph" w:styleId="Revision">
    <w:name w:val="Revision"/>
    <w:hidden/>
    <w:uiPriority w:val="99"/>
    <w:semiHidden/>
    <w:rsid w:val="00A9357C"/>
    <w:pPr>
      <w:spacing w:after="0" w:line="240" w:lineRule="auto"/>
    </w:pPr>
  </w:style>
  <w:style w:type="character" w:styleId="Hyperlink">
    <w:name w:val="Hyperlink"/>
    <w:basedOn w:val="DefaultParagraphFont"/>
    <w:uiPriority w:val="99"/>
    <w:unhideWhenUsed/>
    <w:rsid w:val="00A9357C"/>
    <w:rPr>
      <w:color w:val="0000FF" w:themeColor="hyperlink"/>
      <w:u w:val="single"/>
    </w:rPr>
  </w:style>
  <w:style w:type="character" w:styleId="UnresolvedMention">
    <w:name w:val="Unresolved Mention"/>
    <w:basedOn w:val="DefaultParagraphFont"/>
    <w:uiPriority w:val="99"/>
    <w:semiHidden/>
    <w:unhideWhenUsed/>
    <w:rsid w:val="00A935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A1168"/>
    <w:rPr>
      <w:b/>
      <w:bCs/>
    </w:rPr>
  </w:style>
  <w:style w:type="character" w:customStyle="1" w:styleId="CommentSubjectChar">
    <w:name w:val="Comment Subject Char"/>
    <w:basedOn w:val="CommentTextChar"/>
    <w:link w:val="CommentSubject"/>
    <w:uiPriority w:val="99"/>
    <w:semiHidden/>
    <w:rsid w:val="005A1168"/>
    <w:rPr>
      <w:b/>
      <w:bCs/>
      <w:sz w:val="20"/>
      <w:szCs w:val="20"/>
    </w:rPr>
  </w:style>
  <w:style w:type="paragraph" w:styleId="FootnoteText">
    <w:name w:val="footnote text"/>
    <w:basedOn w:val="Normal"/>
    <w:link w:val="FootnoteTextChar"/>
    <w:uiPriority w:val="99"/>
    <w:semiHidden/>
    <w:unhideWhenUsed/>
    <w:rsid w:val="00687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7E86"/>
    <w:rPr>
      <w:sz w:val="20"/>
      <w:szCs w:val="20"/>
    </w:rPr>
  </w:style>
  <w:style w:type="character" w:styleId="FootnoteReference">
    <w:name w:val="footnote reference"/>
    <w:basedOn w:val="DefaultParagraphFont"/>
    <w:uiPriority w:val="99"/>
    <w:semiHidden/>
    <w:unhideWhenUsed/>
    <w:rsid w:val="00687E86"/>
    <w:rPr>
      <w:vertAlign w:val="superscript"/>
    </w:rPr>
  </w:style>
  <w:style w:type="character" w:customStyle="1" w:styleId="cf01">
    <w:name w:val="cf01"/>
    <w:basedOn w:val="DefaultParagraphFont"/>
    <w:rsid w:val="00687E86"/>
    <w:rPr>
      <w:rFonts w:ascii="Segoe UI" w:hAnsi="Segoe UI" w:cs="Segoe UI" w:hint="default"/>
      <w:sz w:val="18"/>
      <w:szCs w:val="18"/>
    </w:rPr>
  </w:style>
  <w:style w:type="paragraph" w:customStyle="1" w:styleId="pf0">
    <w:name w:val="pf0"/>
    <w:basedOn w:val="Normal"/>
    <w:rsid w:val="00D84C2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04A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204A5F"/>
  </w:style>
  <w:style w:type="character" w:styleId="Emphasis">
    <w:name w:val="Emphasis"/>
    <w:basedOn w:val="DefaultParagraphFont"/>
    <w:uiPriority w:val="20"/>
    <w:qFormat/>
    <w:rsid w:val="00B05912"/>
    <w:rPr>
      <w:i/>
      <w:iCs/>
    </w:rPr>
  </w:style>
  <w:style w:type="paragraph" w:customStyle="1" w:styleId="list-inline-item">
    <w:name w:val="list-inline-item"/>
    <w:basedOn w:val="Normal"/>
    <w:rsid w:val="00B059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fld-contribauthor">
    <w:name w:val="hlfld-contribauthor"/>
    <w:basedOn w:val="DefaultParagraphFont"/>
    <w:rsid w:val="00B05912"/>
  </w:style>
  <w:style w:type="character" w:customStyle="1" w:styleId="ml-1">
    <w:name w:val="ml-1"/>
    <w:basedOn w:val="DefaultParagraphFont"/>
    <w:rsid w:val="00B05912"/>
  </w:style>
  <w:style w:type="paragraph" w:styleId="ListParagraph">
    <w:name w:val="List Paragraph"/>
    <w:basedOn w:val="Normal"/>
    <w:uiPriority w:val="34"/>
    <w:qFormat/>
    <w:rsid w:val="00BB7736"/>
    <w:pPr>
      <w:ind w:left="720"/>
      <w:contextualSpacing/>
    </w:pPr>
  </w:style>
  <w:style w:type="table" w:styleId="TableGrid">
    <w:name w:val="Table Grid"/>
    <w:basedOn w:val="TableNormal"/>
    <w:uiPriority w:val="39"/>
    <w:rsid w:val="00620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0B65"/>
    <w:rPr>
      <w:b/>
      <w:bCs/>
    </w:rPr>
  </w:style>
  <w:style w:type="character" w:styleId="HTMLCode">
    <w:name w:val="HTML Code"/>
    <w:basedOn w:val="DefaultParagraphFont"/>
    <w:uiPriority w:val="99"/>
    <w:semiHidden/>
    <w:unhideWhenUsed/>
    <w:rsid w:val="008725B0"/>
    <w:rPr>
      <w:rFonts w:ascii="Courier New" w:eastAsia="Times New Roman" w:hAnsi="Courier New" w:cs="Courier New"/>
      <w:sz w:val="20"/>
      <w:szCs w:val="20"/>
    </w:rPr>
  </w:style>
  <w:style w:type="paragraph" w:customStyle="1" w:styleId="Default">
    <w:name w:val="Default"/>
    <w:rsid w:val="0096437B"/>
    <w:pPr>
      <w:autoSpaceDE w:val="0"/>
      <w:autoSpaceDN w:val="0"/>
      <w:adjustRightInd w:val="0"/>
      <w:spacing w:after="0" w:line="240" w:lineRule="auto"/>
    </w:pPr>
    <w:rPr>
      <w:rFonts w:ascii="Charis SIL" w:hAnsi="Charis SIL" w:cs="Charis SIL"/>
      <w:color w:val="000000"/>
      <w:sz w:val="24"/>
      <w:szCs w:val="24"/>
    </w:rPr>
  </w:style>
  <w:style w:type="character" w:customStyle="1" w:styleId="cf11">
    <w:name w:val="cf11"/>
    <w:basedOn w:val="DefaultParagraphFont"/>
    <w:rsid w:val="008B2336"/>
    <w:rPr>
      <w:rFonts w:ascii="Segoe UI" w:hAnsi="Segoe UI" w:cs="Segoe UI" w:hint="default"/>
      <w:color w:val="1F1F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81251">
      <w:bodyDiv w:val="1"/>
      <w:marLeft w:val="0"/>
      <w:marRight w:val="0"/>
      <w:marTop w:val="0"/>
      <w:marBottom w:val="0"/>
      <w:divBdr>
        <w:top w:val="none" w:sz="0" w:space="0" w:color="auto"/>
        <w:left w:val="none" w:sz="0" w:space="0" w:color="auto"/>
        <w:bottom w:val="none" w:sz="0" w:space="0" w:color="auto"/>
        <w:right w:val="none" w:sz="0" w:space="0" w:color="auto"/>
      </w:divBdr>
    </w:div>
    <w:div w:id="339814388">
      <w:bodyDiv w:val="1"/>
      <w:marLeft w:val="0"/>
      <w:marRight w:val="0"/>
      <w:marTop w:val="0"/>
      <w:marBottom w:val="0"/>
      <w:divBdr>
        <w:top w:val="none" w:sz="0" w:space="0" w:color="auto"/>
        <w:left w:val="none" w:sz="0" w:space="0" w:color="auto"/>
        <w:bottom w:val="none" w:sz="0" w:space="0" w:color="auto"/>
        <w:right w:val="none" w:sz="0" w:space="0" w:color="auto"/>
      </w:divBdr>
    </w:div>
    <w:div w:id="388381284">
      <w:bodyDiv w:val="1"/>
      <w:marLeft w:val="0"/>
      <w:marRight w:val="0"/>
      <w:marTop w:val="0"/>
      <w:marBottom w:val="0"/>
      <w:divBdr>
        <w:top w:val="none" w:sz="0" w:space="0" w:color="auto"/>
        <w:left w:val="none" w:sz="0" w:space="0" w:color="auto"/>
        <w:bottom w:val="none" w:sz="0" w:space="0" w:color="auto"/>
        <w:right w:val="none" w:sz="0" w:space="0" w:color="auto"/>
      </w:divBdr>
    </w:div>
    <w:div w:id="446896145">
      <w:bodyDiv w:val="1"/>
      <w:marLeft w:val="0"/>
      <w:marRight w:val="0"/>
      <w:marTop w:val="0"/>
      <w:marBottom w:val="0"/>
      <w:divBdr>
        <w:top w:val="none" w:sz="0" w:space="0" w:color="auto"/>
        <w:left w:val="none" w:sz="0" w:space="0" w:color="auto"/>
        <w:bottom w:val="none" w:sz="0" w:space="0" w:color="auto"/>
        <w:right w:val="none" w:sz="0" w:space="0" w:color="auto"/>
      </w:divBdr>
    </w:div>
    <w:div w:id="683436771">
      <w:bodyDiv w:val="1"/>
      <w:marLeft w:val="0"/>
      <w:marRight w:val="0"/>
      <w:marTop w:val="0"/>
      <w:marBottom w:val="0"/>
      <w:divBdr>
        <w:top w:val="none" w:sz="0" w:space="0" w:color="auto"/>
        <w:left w:val="none" w:sz="0" w:space="0" w:color="auto"/>
        <w:bottom w:val="none" w:sz="0" w:space="0" w:color="auto"/>
        <w:right w:val="none" w:sz="0" w:space="0" w:color="auto"/>
      </w:divBdr>
    </w:div>
    <w:div w:id="1920288418">
      <w:bodyDiv w:val="1"/>
      <w:marLeft w:val="0"/>
      <w:marRight w:val="0"/>
      <w:marTop w:val="0"/>
      <w:marBottom w:val="0"/>
      <w:divBdr>
        <w:top w:val="none" w:sz="0" w:space="0" w:color="auto"/>
        <w:left w:val="none" w:sz="0" w:space="0" w:color="auto"/>
        <w:bottom w:val="none" w:sz="0" w:space="0" w:color="auto"/>
        <w:right w:val="none" w:sz="0" w:space="0" w:color="auto"/>
      </w:divBdr>
    </w:div>
    <w:div w:id="1967465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897/oneeco.5.e51103" TargetMode="External"/><Relationship Id="rId117" Type="http://schemas.openxmlformats.org/officeDocument/2006/relationships/hyperlink" Target="https://doi.org/10.1002/eap.1822" TargetMode="External"/><Relationship Id="rId21" Type="http://schemas.openxmlformats.org/officeDocument/2006/relationships/hyperlink" Target="https://doi.org/10.1038/s41597-022-01710-x" TargetMode="External"/><Relationship Id="rId42" Type="http://schemas.openxmlformats.org/officeDocument/2006/relationships/hyperlink" Target="https://zenodo.org/records/10961207" TargetMode="External"/><Relationship Id="rId47" Type="http://schemas.openxmlformats.org/officeDocument/2006/relationships/hyperlink" Target="https://doi.org/10.1093/biosci/bix014" TargetMode="External"/><Relationship Id="rId63" Type="http://schemas.openxmlformats.org/officeDocument/2006/relationships/hyperlink" Target="https://doi.org/10.1162/dint_a_00033" TargetMode="External"/><Relationship Id="rId68" Type="http://schemas.openxmlformats.org/officeDocument/2006/relationships/hyperlink" Target="https://doi.org/10.32942/X2M320" TargetMode="External"/><Relationship Id="rId84" Type="http://schemas.openxmlformats.org/officeDocument/2006/relationships/hyperlink" Target="https://doi.org/10.1016/j.envsoft.2020.104885" TargetMode="External"/><Relationship Id="rId89" Type="http://schemas.openxmlformats.org/officeDocument/2006/relationships/hyperlink" Target="https://doi.org/10.1016/j.gloenvcha.2023.102681" TargetMode="External"/><Relationship Id="rId112" Type="http://schemas.openxmlformats.org/officeDocument/2006/relationships/hyperlink" Target="https://doi.org/10.1016/j.landusepol.2015.05.021" TargetMode="External"/><Relationship Id="rId133" Type="http://schemas.openxmlformats.org/officeDocument/2006/relationships/hyperlink" Target="https://stacspec.org/en" TargetMode="External"/><Relationship Id="rId138" Type="http://schemas.openxmlformats.org/officeDocument/2006/relationships/hyperlink" Target="https://doi.org/10.1177/17456916231182568" TargetMode="External"/><Relationship Id="rId154" Type="http://schemas.openxmlformats.org/officeDocument/2006/relationships/hyperlink" Target="https://arxiv.org/ftp/arxiv/papers/0908/0908.0191.pdf" TargetMode="External"/><Relationship Id="rId159" Type="http://schemas.openxmlformats.org/officeDocument/2006/relationships/hyperlink" Target="https://doi.org/10.1016/j.envsoft.2018.11.002" TargetMode="External"/><Relationship Id="rId16" Type="http://schemas.openxmlformats.org/officeDocument/2006/relationships/hyperlink" Target="https://doi.org/10.1016/j.iswcr.2019.08.005" TargetMode="External"/><Relationship Id="rId107" Type="http://schemas.openxmlformats.org/officeDocument/2006/relationships/hyperlink" Target="https://naturalcapitalproject.stanford.edu/software/invest" TargetMode="External"/><Relationship Id="rId11" Type="http://schemas.openxmlformats.org/officeDocument/2006/relationships/hyperlink" Target="mailto:kjbagstad@usgs.gov" TargetMode="External"/><Relationship Id="rId32" Type="http://schemas.openxmlformats.org/officeDocument/2006/relationships/hyperlink" Target="https://www.cbd.int/doc/decisions/cop-15/cop-15-dec-04-en.pdf" TargetMode="External"/><Relationship Id="rId37" Type="http://schemas.openxmlformats.org/officeDocument/2006/relationships/hyperlink" Target="https://www.codes.global/" TargetMode="External"/><Relationship Id="rId53" Type="http://schemas.openxmlformats.org/officeDocument/2006/relationships/hyperlink" Target="https://doi.org/10.1016/j.websem.2018.12.010" TargetMode="External"/><Relationship Id="rId58" Type="http://schemas.openxmlformats.org/officeDocument/2006/relationships/hyperlink" Target="https://boninabox.geobon.org/" TargetMode="External"/><Relationship Id="rId74" Type="http://schemas.openxmlformats.org/officeDocument/2006/relationships/hyperlink" Target="https://doi.org/10.1016/j.ecoinf.2018.11.003" TargetMode="External"/><Relationship Id="rId79" Type="http://schemas.openxmlformats.org/officeDocument/2006/relationships/hyperlink" Target="https://github.com/INSPIRE-MIF/technical-guidelines/tree/main/metadata/metadata-iso19139" TargetMode="External"/><Relationship Id="rId102" Type="http://schemas.openxmlformats.org/officeDocument/2006/relationships/hyperlink" Target="https://doi.org/10.1016/j.scitotenv.2018.09.371" TargetMode="External"/><Relationship Id="rId123" Type="http://schemas.openxmlformats.org/officeDocument/2006/relationships/hyperlink" Target="https://doi.org/10.1093/biosci/bix075" TargetMode="External"/><Relationship Id="rId128" Type="http://schemas.openxmlformats.org/officeDocument/2006/relationships/hyperlink" Target="https://doi.org/10.1016/j.ecoser.2018.05.007" TargetMode="External"/><Relationship Id="rId144" Type="http://schemas.openxmlformats.org/officeDocument/2006/relationships/hyperlink" Target="https://seea.un.org/ecosystem-accounting" TargetMode="External"/><Relationship Id="rId149" Type="http://schemas.openxmlformats.org/officeDocument/2006/relationships/hyperlink" Target="https://doi.org/10.32942/X2W614" TargetMode="External"/><Relationship Id="rId5" Type="http://schemas.openxmlformats.org/officeDocument/2006/relationships/numbering" Target="numbering.xml"/><Relationship Id="rId90" Type="http://schemas.openxmlformats.org/officeDocument/2006/relationships/hyperlink" Target="https://doi.org/10.1080/14888386.2015.1068709" TargetMode="External"/><Relationship Id="rId95" Type="http://schemas.openxmlformats.org/officeDocument/2006/relationships/hyperlink" Target="https://doi.org/10.1016/j.envsoft.2012.09.006" TargetMode="External"/><Relationship Id="rId160" Type="http://schemas.openxmlformats.org/officeDocument/2006/relationships/hyperlink" Target="https://doi.org/10.1016/j.ecoser.2017.11.005" TargetMode="External"/><Relationship Id="rId165" Type="http://schemas.openxmlformats.org/officeDocument/2006/relationships/header" Target="header1.xml"/><Relationship Id="rId22" Type="http://schemas.openxmlformats.org/officeDocument/2006/relationships/hyperlink" Target="https://doi.org/10.1016/j.envsoft.2016.10.013" TargetMode="External"/><Relationship Id="rId27" Type="http://schemas.openxmlformats.org/officeDocument/2006/relationships/hyperlink" Target="https://doi.org/10.1016/j.tree.2018.11.010" TargetMode="External"/><Relationship Id="rId43" Type="http://schemas.openxmlformats.org/officeDocument/2006/relationships/hyperlink" Target="https://zenodo.org/records/10961209" TargetMode="External"/><Relationship Id="rId48" Type="http://schemas.openxmlformats.org/officeDocument/2006/relationships/hyperlink" Target="https://doi.org/10.1080/14735784.2011.621668" TargetMode="External"/><Relationship Id="rId64" Type="http://schemas.openxmlformats.org/officeDocument/2006/relationships/hyperlink" Target="https://doi.org/10.1098/rstb.2022.0182" TargetMode="External"/><Relationship Id="rId69" Type="http://schemas.openxmlformats.org/officeDocument/2006/relationships/hyperlink" Target="https://doi.org/10.1006/knac.1993.1008" TargetMode="External"/><Relationship Id="rId113" Type="http://schemas.openxmlformats.org/officeDocument/2006/relationships/hyperlink" Target="https://doi.org/10.1038/s41597-023-02364-z" TargetMode="External"/><Relationship Id="rId118" Type="http://schemas.openxmlformats.org/officeDocument/2006/relationships/hyperlink" Target="https://pypi.org/project/natcap.invest/" TargetMode="External"/><Relationship Id="rId134" Type="http://schemas.openxmlformats.org/officeDocument/2006/relationships/hyperlink" Target="https://doi.org/10.1016/j.ecoser.2021.101341" TargetMode="External"/><Relationship Id="rId139" Type="http://schemas.openxmlformats.org/officeDocument/2006/relationships/hyperlink" Target="https://tnfd.global/" TargetMode="External"/><Relationship Id="rId80" Type="http://schemas.openxmlformats.org/officeDocument/2006/relationships/hyperlink" Target="https://docs.integratedmodelling.org/technote/" TargetMode="External"/><Relationship Id="rId85" Type="http://schemas.openxmlformats.org/officeDocument/2006/relationships/hyperlink" Target="https://doi.org/10.1093/database/baab069" TargetMode="External"/><Relationship Id="rId150" Type="http://schemas.openxmlformats.org/officeDocument/2006/relationships/hyperlink" Target="https://doi.org/10.1016/j.ecoser.2021.101313" TargetMode="External"/><Relationship Id="rId155" Type="http://schemas.openxmlformats.org/officeDocument/2006/relationships/hyperlink" Target="https://www.w3.org/2005/Incubator/prov/wiki/What_Is_Provenance" TargetMode="External"/><Relationship Id="rId12" Type="http://schemas.openxmlformats.org/officeDocument/2006/relationships/hyperlink" Target="https://doi.org/10.1007/978-3-031-05760-1_19" TargetMode="External"/><Relationship Id="rId17" Type="http://schemas.openxmlformats.org/officeDocument/2006/relationships/hyperlink" Target="https://www.atlassian.com/git/tutorials/what-is-version-control" TargetMode="External"/><Relationship Id="rId33" Type="http://schemas.openxmlformats.org/officeDocument/2006/relationships/hyperlink" Target="https://www.cbd.int/doc/decisions/cop-15/cop-15-dec-05-en.pdf" TargetMode="External"/><Relationship Id="rId38" Type="http://schemas.openxmlformats.org/officeDocument/2006/relationships/hyperlink" Target="https://www.cop28.com/en/joint-statement-on-climate-nature" TargetMode="External"/><Relationship Id="rId59" Type="http://schemas.openxmlformats.org/officeDocument/2006/relationships/hyperlink" Target="https://geobon.org/ebvs/ecosystem-services/" TargetMode="External"/><Relationship Id="rId103" Type="http://schemas.openxmlformats.org/officeDocument/2006/relationships/hyperlink" Target="https://doi.org/10.1016/j.envsci.2021.12.023" TargetMode="External"/><Relationship Id="rId108" Type="http://schemas.openxmlformats.org/officeDocument/2006/relationships/hyperlink" Target="https://www.nlm.nih.gov/healthit/snomedct/index.html" TargetMode="External"/><Relationship Id="rId124" Type="http://schemas.openxmlformats.org/officeDocument/2006/relationships/hyperlink" Target="https://doi.org/10.3390/rs12111795" TargetMode="External"/><Relationship Id="rId129" Type="http://schemas.openxmlformats.org/officeDocument/2006/relationships/hyperlink" Target="https://doi.org/10.1016/j.cosust.2011.12.005" TargetMode="External"/><Relationship Id="rId54" Type="http://schemas.openxmlformats.org/officeDocument/2006/relationships/hyperlink" Target="https://doi.org/10.1016/j.ecoser.2020.101160" TargetMode="External"/><Relationship Id="rId70" Type="http://schemas.openxmlformats.org/officeDocument/2006/relationships/hyperlink" Target="https://doi.org/10.1007/978-3-540-92673-3" TargetMode="External"/><Relationship Id="rId75" Type="http://schemas.openxmlformats.org/officeDocument/2006/relationships/hyperlink" Target="https://doi.org/10.1145/210376.210392" TargetMode="External"/><Relationship Id="rId91" Type="http://schemas.openxmlformats.org/officeDocument/2006/relationships/hyperlink" Target="https://blog.scholasticahq.com/post/ways-journals-can-promote-fair-data/" TargetMode="External"/><Relationship Id="rId96" Type="http://schemas.openxmlformats.org/officeDocument/2006/relationships/hyperlink" Target="https://doi.org/10.1162/dint_a_00034" TargetMode="External"/><Relationship Id="rId140" Type="http://schemas.openxmlformats.org/officeDocument/2006/relationships/hyperlink" Target="https://doi.org/10.5194/gmd-15-1413-2022" TargetMode="External"/><Relationship Id="rId145" Type="http://schemas.openxmlformats.org/officeDocument/2006/relationships/hyperlink" Target="https://seea.un.org/sites/seea.un.org/files/interoperability_strategy_2023.pdf" TargetMode="External"/><Relationship Id="rId161" Type="http://schemas.openxmlformats.org/officeDocument/2006/relationships/image" Target="media/image1.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16/j.landurbplan.2008.08.007" TargetMode="External"/><Relationship Id="rId23" Type="http://schemas.openxmlformats.org/officeDocument/2006/relationships/hyperlink" Target="https://doi.org/10.1057/s41599-023-01831-7" TargetMode="External"/><Relationship Id="rId28" Type="http://schemas.openxmlformats.org/officeDocument/2006/relationships/hyperlink" Target="https://doi.org/10.1016/j.ecoser.2017.10.012" TargetMode="External"/><Relationship Id="rId36" Type="http://schemas.openxmlformats.org/officeDocument/2006/relationships/hyperlink" Target="https://doi.org/10.1016/j.earscirev.2020.103223" TargetMode="External"/><Relationship Id="rId49" Type="http://schemas.openxmlformats.org/officeDocument/2006/relationships/hyperlink" Target="https://doi.org/10.1016/j.ecoser.2014.12.002" TargetMode="External"/><Relationship Id="rId57" Type="http://schemas.openxmlformats.org/officeDocument/2006/relationships/hyperlink" Target="https://doi.org/10.1093/nar/gky1055" TargetMode="External"/><Relationship Id="rId106" Type="http://schemas.openxmlformats.org/officeDocument/2006/relationships/hyperlink" Target="https://doi.org/10.1002/ecs2.1974" TargetMode="External"/><Relationship Id="rId114" Type="http://schemas.openxmlformats.org/officeDocument/2006/relationships/hyperlink" Target="https://doi.org/10.1016/j.cosust.2016.12.006" TargetMode="External"/><Relationship Id="rId119" Type="http://schemas.openxmlformats.org/officeDocument/2006/relationships/hyperlink" Target="https://www.data4sdgs.org/news/why-people-are-essential-data-interoperability" TargetMode="External"/><Relationship Id="rId127" Type="http://schemas.openxmlformats.org/officeDocument/2006/relationships/hyperlink" Target="https://doi.org/10.1016/j.ecoser.2023.101558" TargetMode="External"/><Relationship Id="rId10" Type="http://schemas.openxmlformats.org/officeDocument/2006/relationships/endnotes" Target="endnotes.xml"/><Relationship Id="rId31" Type="http://schemas.openxmlformats.org/officeDocument/2006/relationships/hyperlink" Target="https://doi.org/10.5334/dsj-2020-043" TargetMode="External"/><Relationship Id="rId44" Type="http://schemas.openxmlformats.org/officeDocument/2006/relationships/hyperlink" Target="https://www.dataone.org/fair/" TargetMode="External"/><Relationship Id="rId52" Type="http://schemas.openxmlformats.org/officeDocument/2006/relationships/hyperlink" Target="https://esa-people-ea.org/en%20(accessed%2028%20March%202024)." TargetMode="External"/><Relationship Id="rId60" Type="http://schemas.openxmlformats.org/officeDocument/2006/relationships/hyperlink" Target="https://doi.org/10.1111/jiec.13220" TargetMode="External"/><Relationship Id="rId65" Type="http://schemas.openxmlformats.org/officeDocument/2006/relationships/hyperlink" Target="http://www.data4sdgs.org/resources/interoperability-practitioners-guide-joining-data-development-sector" TargetMode="External"/><Relationship Id="rId73" Type="http://schemas.openxmlformats.org/officeDocument/2006/relationships/hyperlink" Target="https://www.youtube.com/watch?v=N2zK3sAtr-4" TargetMode="External"/><Relationship Id="rId78" Type="http://schemas.openxmlformats.org/officeDocument/2006/relationships/hyperlink" Target="https://training.incf.org/course/session-8-fair-data-role-journals" TargetMode="External"/><Relationship Id="rId81" Type="http://schemas.openxmlformats.org/officeDocument/2006/relationships/hyperlink" Target="https://doi.org/10.5281/zenodo.6243095" TargetMode="External"/><Relationship Id="rId86" Type="http://schemas.openxmlformats.org/officeDocument/2006/relationships/hyperlink" Target="https://doi.org/10.1609/aimag.v36i1.2560" TargetMode="External"/><Relationship Id="rId94" Type="http://schemas.openxmlformats.org/officeDocument/2006/relationships/hyperlink" Target="https://doi.org/10.1016/j.cageo.2021.104821" TargetMode="External"/><Relationship Id="rId99" Type="http://schemas.openxmlformats.org/officeDocument/2006/relationships/hyperlink" Target="https://doi.org/10.1038/s41467-023-39434-0" TargetMode="External"/><Relationship Id="rId101" Type="http://schemas.openxmlformats.org/officeDocument/2006/relationships/hyperlink" Target="https://doi.org/10.4236/as.2018.95036" TargetMode="External"/><Relationship Id="rId122" Type="http://schemas.openxmlformats.org/officeDocument/2006/relationships/hyperlink" Target="https://doi.org/10.5771/9783956509568" TargetMode="External"/><Relationship Id="rId130" Type="http://schemas.openxmlformats.org/officeDocument/2006/relationships/hyperlink" Target="https://sdmx.org/" TargetMode="External"/><Relationship Id="rId135" Type="http://schemas.openxmlformats.org/officeDocument/2006/relationships/hyperlink" Target="http://mint-project.info/assets/publications/stoica-peckham-cwm19.pdf" TargetMode="External"/><Relationship Id="rId143" Type="http://schemas.openxmlformats.org/officeDocument/2006/relationships/hyperlink" Target="https://unstats.un.org/bigdata/hubs/spain/" TargetMode="External"/><Relationship Id="rId148" Type="http://schemas.openxmlformats.org/officeDocument/2006/relationships/hyperlink" Target="https://doi.org/10.1093/biosci/biw170" TargetMode="External"/><Relationship Id="rId151" Type="http://schemas.openxmlformats.org/officeDocument/2006/relationships/hyperlink" Target="https://doi.org/10.1016/j.envsoft.2008.09.009" TargetMode="External"/><Relationship Id="rId156" Type="http://schemas.openxmlformats.org/officeDocument/2006/relationships/hyperlink" Target="https://doi.org/10.1371/journal.pone.0029715" TargetMode="External"/><Relationship Id="rId16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32942/X21W5S" TargetMode="External"/><Relationship Id="rId18" Type="http://schemas.openxmlformats.org/officeDocument/2006/relationships/hyperlink" Target="https://doi.org/10.3389/fenvs.2022.782229" TargetMode="External"/><Relationship Id="rId39" Type="http://schemas.openxmlformats.org/officeDocument/2006/relationships/hyperlink" Target="https://doi.org/10.1016/j.ecoser.2013.02.001" TargetMode="External"/><Relationship Id="rId109" Type="http://schemas.openxmlformats.org/officeDocument/2006/relationships/hyperlink" Target="https://openeo.org/" TargetMode="External"/><Relationship Id="rId34" Type="http://schemas.openxmlformats.org/officeDocument/2006/relationships/hyperlink" Target="https://doi.org/10.1073/pnas.1525002113" TargetMode="External"/><Relationship Id="rId50" Type="http://schemas.openxmlformats.org/officeDocument/2006/relationships/hyperlink" Target="https://www.es-partnership.org/community/workings-groups/thematic-working-groups/twg-5-modeling-es/" TargetMode="External"/><Relationship Id="rId55" Type="http://schemas.openxmlformats.org/officeDocument/2006/relationships/hyperlink" Target="https://doi.org/10.1080/17538947.2023.2198778" TargetMode="External"/><Relationship Id="rId76" Type="http://schemas.openxmlformats.org/officeDocument/2006/relationships/hyperlink" Target="https://doi.org/10.1016/j.ecolind.2009.09.009" TargetMode="External"/><Relationship Id="rId97" Type="http://schemas.openxmlformats.org/officeDocument/2006/relationships/hyperlink" Target="https://doi.org/10.1109/BigData.2016.7840943" TargetMode="External"/><Relationship Id="rId104" Type="http://schemas.openxmlformats.org/officeDocument/2006/relationships/hyperlink" Target="https://doi.org/10.1029/2021WR030600" TargetMode="External"/><Relationship Id="rId120" Type="http://schemas.openxmlformats.org/officeDocument/2006/relationships/hyperlink" Target="https://doi.org/10.1016/j.ecoser.2014.12.009" TargetMode="External"/><Relationship Id="rId125" Type="http://schemas.openxmlformats.org/officeDocument/2006/relationships/hyperlink" Target="https://doi.org/10.1016/j.cosust.2018.10.021" TargetMode="External"/><Relationship Id="rId141" Type="http://schemas.openxmlformats.org/officeDocument/2006/relationships/hyperlink" Target="https://zenodo.org/records/10949034" TargetMode="External"/><Relationship Id="rId146" Type="http://schemas.openxmlformats.org/officeDocument/2006/relationships/hyperlink" Target="https://vocabularies.unesco.org/browser/thesaurus/en/page/?uri=http%3A%2F%2Fvocabularies.unesco.org%2Fthesaurus%2Fconcept4772" TargetMode="Externa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oi.org/10.1162/dint_a_00040" TargetMode="External"/><Relationship Id="rId92" Type="http://schemas.openxmlformats.org/officeDocument/2006/relationships/hyperlink" Target="https://doi.org/10.1016/j.ecoser.2013.11.002" TargetMode="External"/><Relationship Id="rId162" Type="http://schemas.openxmlformats.org/officeDocument/2006/relationships/image" Target="media/image2.png"/><Relationship Id="rId2" Type="http://schemas.openxmlformats.org/officeDocument/2006/relationships/customXml" Target="../customXml/item2.xml"/><Relationship Id="rId29" Type="http://schemas.openxmlformats.org/officeDocument/2006/relationships/hyperlink" Target="https://doi.org/" TargetMode="External"/><Relationship Id="rId24" Type="http://schemas.openxmlformats.org/officeDocument/2006/relationships/hyperlink" Target="https://doi.org/10.3897/oneeco.7.e85389" TargetMode="External"/><Relationship Id="rId40" Type="http://schemas.openxmlformats.org/officeDocument/2006/relationships/hyperlink" Target="https://zenodo.org/doi/10.5281/zenodo.10404413" TargetMode="External"/><Relationship Id="rId45" Type="http://schemas.openxmlformats.org/officeDocument/2006/relationships/hyperlink" Target="https://ddialliance.org/taxonomy/term/198" TargetMode="External"/><Relationship Id="rId66" Type="http://schemas.openxmlformats.org/officeDocument/2006/relationships/hyperlink" Target="https://doi.org/10.1002/asi.24165" TargetMode="External"/><Relationship Id="rId87" Type="http://schemas.openxmlformats.org/officeDocument/2006/relationships/hyperlink" Target="https://doi.org/10.1016/j.ecoser.2017.08.001" TargetMode="External"/><Relationship Id="rId110" Type="http://schemas.openxmlformats.org/officeDocument/2006/relationships/hyperlink" Target="https://doi.org/10.3233/AO-220262" TargetMode="External"/><Relationship Id="rId115" Type="http://schemas.openxmlformats.org/officeDocument/2006/relationships/hyperlink" Target="https://doi.org/10.1371/journal.pone.0229182" TargetMode="External"/><Relationship Id="rId131" Type="http://schemas.openxmlformats.org/officeDocument/2006/relationships/hyperlink" Target="https://doi.org/10.1016/j.ecoser.2019.100945" TargetMode="External"/><Relationship Id="rId136" Type="http://schemas.openxmlformats.org/officeDocument/2006/relationships/hyperlink" Target="https://doi.org/10.1016/S0169-023X(97)00056-6" TargetMode="External"/><Relationship Id="rId157" Type="http://schemas.openxmlformats.org/officeDocument/2006/relationships/hyperlink" Target="https://doi.org/10.1038/sdata.2018.118" TargetMode="External"/><Relationship Id="rId61" Type="http://schemas.openxmlformats.org/officeDocument/2006/relationships/hyperlink" Target="https://doi.org/10.1145/3192335" TargetMode="External"/><Relationship Id="rId82" Type="http://schemas.openxmlformats.org/officeDocument/2006/relationships/hyperlink" Target="https://files.ipbes.net/ipbes-web-prod-public-files/2023-09/scoping_report_for_the_monitoring_assessment.pdf" TargetMode="External"/><Relationship Id="rId152" Type="http://schemas.openxmlformats.org/officeDocument/2006/relationships/hyperlink" Target="https://doi.org/10.1371/journal.pone.0091001" TargetMode="External"/><Relationship Id="rId19" Type="http://schemas.openxmlformats.org/officeDocument/2006/relationships/hyperlink" Target="https://doi.org/10.1016/j.websem.2003.12.003" TargetMode="External"/><Relationship Id="rId14" Type="http://schemas.openxmlformats.org/officeDocument/2006/relationships/hyperlink" Target="https://agmip.org/overview/" TargetMode="External"/><Relationship Id="rId30" Type="http://schemas.openxmlformats.org/officeDocument/2006/relationships/hyperlink" Target="https://doi.org/10.1073/pnas.0808772106" TargetMode="External"/><Relationship Id="rId35" Type="http://schemas.openxmlformats.org/officeDocument/2006/relationships/hyperlink" Target="https://doi.org/10.1016/j.gloenvcha.2024.102891" TargetMode="External"/><Relationship Id="rId56" Type="http://schemas.openxmlformats.org/officeDocument/2006/relationships/hyperlink" Target="https://doi.org/" TargetMode="External"/><Relationship Id="rId77" Type="http://schemas.openxmlformats.org/officeDocument/2006/relationships/hyperlink" Target="https://doi.org/10.1109/IEEESTD.1990.101064" TargetMode="External"/><Relationship Id="rId100" Type="http://schemas.openxmlformats.org/officeDocument/2006/relationships/hyperlink" Target="https://doi.org/10.48550/arXiv.2107.06547" TargetMode="External"/><Relationship Id="rId105" Type="http://schemas.openxmlformats.org/officeDocument/2006/relationships/hyperlink" Target="https://doi.org/10.1016/j.scitotenv.2017.12.001" TargetMode="External"/><Relationship Id="rId126" Type="http://schemas.openxmlformats.org/officeDocument/2006/relationships/hyperlink" Target="https://doi.org/10.1016/j.gecco.2019.e00860" TargetMode="External"/><Relationship Id="rId147" Type="http://schemas.openxmlformats.org/officeDocument/2006/relationships/hyperlink" Target="https://esml.epa.gov/" TargetMode="External"/><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016/j.ecoser.2022.101413" TargetMode="External"/><Relationship Id="rId72" Type="http://schemas.openxmlformats.org/officeDocument/2006/relationships/hyperlink" Target="https://doi.org/10.1890/120103" TargetMode="External"/><Relationship Id="rId93" Type="http://schemas.openxmlformats.org/officeDocument/2006/relationships/hyperlink" Target="https://doi.org/10.1016/j.eiar.2019.106317" TargetMode="External"/><Relationship Id="rId98" Type="http://schemas.openxmlformats.org/officeDocument/2006/relationships/hyperlink" Target="https://www.researchgate.net/profile/Mark-Schildhauer/publication/266596977_Using_Semantic_Metadata_for_Discovery_and_Integration_of_Heterogeneous_Ecological_Data/links/545e96e30cf27487b44f0cc7/Using-Semantic-Metadata-for-Discovery-and-Integration-of-Heterogeneous-Ecological-Data.pdf" TargetMode="External"/><Relationship Id="rId121" Type="http://schemas.openxmlformats.org/officeDocument/2006/relationships/hyperlink" Target="https://www.nomos-elibrary.de/10.5771/9783956509568/knowledge-organization-across-disciplines-domains-services-and-technologies?page=1" TargetMode="External"/><Relationship Id="rId142" Type="http://schemas.openxmlformats.org/officeDocument/2006/relationships/hyperlink" Target="https://seea.un.org/content/aries-for-seea" TargetMode="External"/><Relationship Id="rId163" Type="http://schemas.openxmlformats.org/officeDocument/2006/relationships/image" Target="media/image3.png"/><Relationship Id="rId3" Type="http://schemas.openxmlformats.org/officeDocument/2006/relationships/customXml" Target="../customXml/item3.xml"/><Relationship Id="rId25" Type="http://schemas.openxmlformats.org/officeDocument/2006/relationships/hyperlink" Target="https://zenodo.org/records/10715892" TargetMode="External"/><Relationship Id="rId46" Type="http://schemas.openxmlformats.org/officeDocument/2006/relationships/hyperlink" Target="https://doi.org/10.1016/j.marpol.2023.105761" TargetMode="External"/><Relationship Id="rId67" Type="http://schemas.openxmlformats.org/officeDocument/2006/relationships/hyperlink" Target="https://doi.org/10.5334/dsj-2018-022" TargetMode="External"/><Relationship Id="rId116" Type="http://schemas.openxmlformats.org/officeDocument/2006/relationships/hyperlink" Target="https://doi.org/10.3897/oneeco.3.e27110" TargetMode="External"/><Relationship Id="rId137" Type="http://schemas.openxmlformats.org/officeDocument/2006/relationships/hyperlink" Target="https://ceur-ws.org/Vol-2576/paper11.pdf" TargetMode="External"/><Relationship Id="rId158" Type="http://schemas.openxmlformats.org/officeDocument/2006/relationships/hyperlink" Target="https://community.wmo.int/en/activity-areas/WIGOS" TargetMode="External"/><Relationship Id="rId20" Type="http://schemas.openxmlformats.org/officeDocument/2006/relationships/hyperlink" Target="https://doi.org/10.1016/j.cosust.2022.101152" TargetMode="External"/><Relationship Id="rId41" Type="http://schemas.openxmlformats.org/officeDocument/2006/relationships/hyperlink" Target="https://zenodo.org/records/10961205" TargetMode="External"/><Relationship Id="rId62" Type="http://schemas.openxmlformats.org/officeDocument/2006/relationships/hyperlink" Target="https://www.go-fair.org/fair-principles/" TargetMode="External"/><Relationship Id="rId83" Type="http://schemas.openxmlformats.org/officeDocument/2006/relationships/hyperlink" Target="https://doi.org/10.1093/bioinformatics/btt113" TargetMode="External"/><Relationship Id="rId88" Type="http://schemas.openxmlformats.org/officeDocument/2006/relationships/hyperlink" Target="https://github.com/integratedmodelling/klab-client-python" TargetMode="External"/><Relationship Id="rId111" Type="http://schemas.openxmlformats.org/officeDocument/2006/relationships/hyperlink" Target="https://doi.org/10.3897/oneeco.3.e20713" TargetMode="External"/><Relationship Id="rId132" Type="http://schemas.openxmlformats.org/officeDocument/2006/relationships/hyperlink" Target="https://doi.org/10.1016/j.envsoft.2019.04.009" TargetMode="External"/><Relationship Id="rId153" Type="http://schemas.openxmlformats.org/officeDocument/2006/relationships/hyperlink" Target="https://doi.org/10.1080/13645579.2018.15312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http://schemas.microsoft.com/sharepoint/v3">Final BAO approved manuscript</DocumentType>
    <DocumentDescription xmlns="http://schemas.microsoft.com/sharepoint/v3">Bureau Review and Approval</DocumentDescrip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PDocumentContentType" ma:contentTypeID="0x0101006BD571182E2C4DE7854527CFFCE1B0FE00EFAC538733D41643A496BFDB030EC5D2" ma:contentTypeVersion="1" ma:contentTypeDescription="Information Product Document Content Type" ma:contentTypeScope="" ma:versionID="62cc3854591187aeecf325a079a3ee7f">
  <xsd:schema xmlns:xsd="http://www.w3.org/2001/XMLSchema" xmlns:xs="http://www.w3.org/2001/XMLSchema" xmlns:p="http://schemas.microsoft.com/office/2006/metadata/properties" xmlns:ns1="http://schemas.microsoft.com/sharepoint/v3" targetNamespace="http://schemas.microsoft.com/office/2006/metadata/properties" ma:root="true" ma:fieldsID="9b52e2e0daa89aa8c8ff1ddaf0497b5b" ns1:_="">
    <xsd:import namespace="http://schemas.microsoft.com/sharepoint/v3"/>
    <xsd:element name="properties">
      <xsd:complexType>
        <xsd:sequence>
          <xsd:element name="documentManagement">
            <xsd:complexType>
              <xsd:all>
                <xsd:element ref="ns1:DocumentType" minOccurs="0"/>
                <xsd:element ref="ns1:Documen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8" nillable="true" ma:displayName="Document Type" ma:default="" ma:format="Dropdown" ma:internalName="DocumentType">
      <xsd:simpleType>
        <xsd:restriction base="dms:Choice">
          <xsd:enumeration value="[Select]"/>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IPPA"/>
          <xsd:enumeration value="Accepted Manuscript (only .docx file)"/>
          <xsd:enumeration value="Other"/>
        </xsd:restriction>
      </xsd:simpleType>
    </xsd:element>
    <xsd:element name="DocumentDescription" ma:index="9" nillable="true" ma:displayName="Description" ma:internalName="Document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6CD18-BC52-466B-A45A-F15F8A6BD5C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8C0C537-B5F9-4E59-AC58-C761A6A694CC}">
  <ds:schemaRefs>
    <ds:schemaRef ds:uri="http://schemas.microsoft.com/sharepoint/v3/contenttype/forms"/>
  </ds:schemaRefs>
</ds:datastoreItem>
</file>

<file path=customXml/itemProps3.xml><?xml version="1.0" encoding="utf-8"?>
<ds:datastoreItem xmlns:ds="http://schemas.openxmlformats.org/officeDocument/2006/customXml" ds:itemID="{5F054D0A-66CC-40F0-A76C-8AA3E9C7B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C396A-0751-4B72-B873-CFD4D17A1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20883</Words>
  <Characters>119037</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Bureau Review and Approval</vt:lpstr>
    </vt:vector>
  </TitlesOfParts>
  <Company>Department of the Interior</Company>
  <LinksUpToDate>false</LinksUpToDate>
  <CharactersWithSpaces>139641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Review and Approval</dc:title>
  <dc:creator>Bagstad, Kenneth J.</dc:creator>
  <cp:lastModifiedBy>Bagstad, Kenneth J</cp:lastModifiedBy>
  <cp:revision>2</cp:revision>
  <dcterms:created xsi:type="dcterms:W3CDTF">2024-12-10T00:50:00Z</dcterms:created>
  <dcterms:modified xsi:type="dcterms:W3CDTF">2024-12-10T00:50:00Z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0x0101006BD571182E2C4DE7854527CFFCE1B0FE00EFAC538733D41643A496BFDB030EC5D2</vt:lpwstr>
  </property>
</Properties>
</file>