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992C" w14:textId="77777777" w:rsidR="00411166" w:rsidRDefault="00411166">
      <w:pPr>
        <w:pStyle w:val="Heading1"/>
        <w:ind w:right="-448"/>
        <w:rPr>
          <w:b/>
          <w:bCs/>
          <w:szCs w:val="32"/>
        </w:rPr>
      </w:pPr>
      <w:r w:rsidRPr="005D1C44">
        <w:rPr>
          <w:b/>
          <w:bCs/>
          <w:szCs w:val="32"/>
        </w:rPr>
        <w:t>PHI-base - The multi-species Pathogen-Host Interaction Database in 2025</w:t>
      </w:r>
    </w:p>
    <w:p w14:paraId="4A4EDA2A" w14:textId="77777777" w:rsidR="00411166" w:rsidRPr="005D1C44" w:rsidRDefault="00411166">
      <w:pPr>
        <w:rPr>
          <w:highlight w:val="yellow"/>
        </w:rPr>
      </w:pPr>
    </w:p>
    <w:p w14:paraId="4E146B67" w14:textId="166DF452" w:rsidR="00411166" w:rsidRDefault="7308F284" w:rsidP="692906EA">
      <w:pPr>
        <w:shd w:val="clear" w:color="auto" w:fill="FFFFFF" w:themeFill="background1"/>
        <w:spacing w:line="259" w:lineRule="auto"/>
        <w:ind w:right="5"/>
        <w:rPr>
          <w:highlight w:val="white"/>
        </w:rPr>
      </w:pPr>
      <w:r w:rsidRPr="692906EA">
        <w:rPr>
          <w:highlight w:val="white"/>
        </w:rPr>
        <w:t>Martin Urban</w:t>
      </w:r>
      <w:r w:rsidRPr="692906EA">
        <w:rPr>
          <w:highlight w:val="white"/>
          <w:vertAlign w:val="superscript"/>
        </w:rPr>
        <w:t>†1</w:t>
      </w:r>
      <w:r w:rsidRPr="692906EA">
        <w:rPr>
          <w:highlight w:val="white"/>
        </w:rPr>
        <w:t>, Alayne Cuzick</w:t>
      </w:r>
      <w:r w:rsidRPr="692906EA">
        <w:rPr>
          <w:highlight w:val="white"/>
          <w:vertAlign w:val="superscript"/>
        </w:rPr>
        <w:t>†1</w:t>
      </w:r>
      <w:r w:rsidRPr="692906EA">
        <w:rPr>
          <w:highlight w:val="white"/>
        </w:rPr>
        <w:t>, James Seager</w:t>
      </w:r>
      <w:r w:rsidRPr="692906EA">
        <w:rPr>
          <w:highlight w:val="white"/>
          <w:vertAlign w:val="superscript"/>
        </w:rPr>
        <w:t>†1</w:t>
      </w:r>
      <w:r w:rsidRPr="692906EA">
        <w:rPr>
          <w:highlight w:val="white"/>
        </w:rPr>
        <w:t>, Nagashree Nonavinakere</w:t>
      </w:r>
      <w:r w:rsidRPr="692906EA">
        <w:rPr>
          <w:highlight w:val="white"/>
          <w:vertAlign w:val="superscript"/>
        </w:rPr>
        <w:t>2</w:t>
      </w:r>
      <w:r w:rsidRPr="692906EA">
        <w:rPr>
          <w:highlight w:val="white"/>
        </w:rPr>
        <w:t>, Jashobanta Sahu</w:t>
      </w:r>
      <w:r w:rsidRPr="692906EA">
        <w:rPr>
          <w:highlight w:val="white"/>
          <w:vertAlign w:val="superscript"/>
        </w:rPr>
        <w:t>2</w:t>
      </w:r>
      <w:r w:rsidRPr="692906EA">
        <w:rPr>
          <w:highlight w:val="white"/>
        </w:rPr>
        <w:t>, Pallavi Sahu</w:t>
      </w:r>
      <w:r w:rsidRPr="692906EA">
        <w:rPr>
          <w:highlight w:val="white"/>
          <w:vertAlign w:val="superscript"/>
        </w:rPr>
        <w:t>2</w:t>
      </w:r>
      <w:r w:rsidRPr="692906EA">
        <w:rPr>
          <w:highlight w:val="white"/>
        </w:rPr>
        <w:t>, Vijay Laksmi Iyer</w:t>
      </w:r>
      <w:r w:rsidRPr="692906EA">
        <w:rPr>
          <w:highlight w:val="white"/>
          <w:vertAlign w:val="superscript"/>
        </w:rPr>
        <w:t>2</w:t>
      </w:r>
      <w:r w:rsidRPr="692906EA">
        <w:rPr>
          <w:highlight w:val="white"/>
        </w:rPr>
        <w:t>, Lokanath Khamari</w:t>
      </w:r>
      <w:r w:rsidRPr="692906EA">
        <w:rPr>
          <w:highlight w:val="white"/>
          <w:vertAlign w:val="superscript"/>
        </w:rPr>
        <w:t>2</w:t>
      </w:r>
      <w:r w:rsidRPr="692906EA">
        <w:rPr>
          <w:highlight w:val="white"/>
        </w:rPr>
        <w:t>, Manuel Carbajo Martinez</w:t>
      </w:r>
      <w:r w:rsidRPr="692906EA">
        <w:rPr>
          <w:highlight w:val="white"/>
          <w:vertAlign w:val="superscript"/>
        </w:rPr>
        <w:t>3</w:t>
      </w:r>
      <w:r w:rsidRPr="692906EA">
        <w:rPr>
          <w:highlight w:val="white"/>
        </w:rPr>
        <w:t xml:space="preserve"> and Kim E. Hammond-Kosack</w:t>
      </w:r>
      <w:r w:rsidRPr="692906EA">
        <w:rPr>
          <w:highlight w:val="white"/>
          <w:vertAlign w:val="superscript"/>
        </w:rPr>
        <w:t>1</w:t>
      </w:r>
    </w:p>
    <w:p w14:paraId="006928B6" w14:textId="26C8B5DA" w:rsidR="00411166" w:rsidRDefault="00411166">
      <w:pPr>
        <w:shd w:val="clear" w:color="auto" w:fill="FFFFFF"/>
        <w:ind w:right="5"/>
        <w:rPr>
          <w:highlight w:val="white"/>
        </w:rPr>
      </w:pPr>
      <w:r>
        <w:rPr>
          <w:highlight w:val="white"/>
          <w:vertAlign w:val="superscript"/>
        </w:rPr>
        <w:t>1</w:t>
      </w:r>
      <w:r>
        <w:rPr>
          <w:highlight w:val="white"/>
        </w:rPr>
        <w:t xml:space="preserve"> Protecting Crops and the Environment, Rothamsted Research, Harpenden, AL5 2JQ, UK</w:t>
      </w:r>
    </w:p>
    <w:p w14:paraId="5D4B7CDF" w14:textId="77777777" w:rsidR="00411166" w:rsidRDefault="00411166">
      <w:pPr>
        <w:shd w:val="clear" w:color="auto" w:fill="FFFFFF"/>
        <w:ind w:right="5"/>
        <w:rPr>
          <w:highlight w:val="white"/>
        </w:rPr>
      </w:pPr>
      <w:r>
        <w:rPr>
          <w:highlight w:val="white"/>
          <w:vertAlign w:val="superscript"/>
        </w:rPr>
        <w:t>2</w:t>
      </w:r>
      <w:r>
        <w:rPr>
          <w:highlight w:val="white"/>
        </w:rPr>
        <w:t xml:space="preserve"> Molecular Connections, Kandala Mansions, Kariappa Road, Basavanagudi, Bengaluru 560 004, India</w:t>
      </w:r>
    </w:p>
    <w:p w14:paraId="34025E0A" w14:textId="77777777" w:rsidR="00411166" w:rsidRDefault="00411166">
      <w:pPr>
        <w:shd w:val="clear" w:color="auto" w:fill="FFFFFF"/>
        <w:ind w:right="5"/>
        <w:rPr>
          <w:highlight w:val="white"/>
        </w:rPr>
      </w:pPr>
      <w:r>
        <w:rPr>
          <w:highlight w:val="white"/>
          <w:vertAlign w:val="superscript"/>
        </w:rPr>
        <w:t xml:space="preserve">3 </w:t>
      </w:r>
      <w:r>
        <w:rPr>
          <w:highlight w:val="white"/>
        </w:rPr>
        <w:t>European Molecular Biology Laboratory, European Bioinformatics Institute, Wellcome Genome Campus, Hinxton, Cambridge CB10 1SD, UK</w:t>
      </w:r>
    </w:p>
    <w:p w14:paraId="59DE847E" w14:textId="77777777" w:rsidR="00411166" w:rsidRDefault="00411166">
      <w:pPr>
        <w:shd w:val="clear" w:color="auto" w:fill="FFFFFF"/>
        <w:ind w:right="5"/>
        <w:rPr>
          <w:highlight w:val="white"/>
        </w:rPr>
      </w:pPr>
      <w:r w:rsidRPr="00116616">
        <w:rPr>
          <w:highlight w:val="white"/>
          <w:vertAlign w:val="superscript"/>
        </w:rPr>
        <w:t>†</w:t>
      </w:r>
      <w:r w:rsidRPr="00116616">
        <w:rPr>
          <w:highlight w:val="white"/>
        </w:rPr>
        <w:t xml:space="preserve">The first </w:t>
      </w:r>
      <w:r>
        <w:rPr>
          <w:highlight w:val="white"/>
        </w:rPr>
        <w:t>three</w:t>
      </w:r>
      <w:r w:rsidRPr="00116616">
        <w:rPr>
          <w:highlight w:val="white"/>
        </w:rPr>
        <w:t xml:space="preserve"> authors contributed equally to this work</w:t>
      </w:r>
    </w:p>
    <w:p w14:paraId="488DADF7" w14:textId="77777777" w:rsidR="00411166" w:rsidRDefault="00411166">
      <w:pPr>
        <w:ind w:right="5"/>
      </w:pPr>
      <w:bookmarkStart w:id="0" w:name="_ih7xuh2nu8i" w:colFirst="0" w:colLast="0"/>
      <w:bookmarkEnd w:id="0"/>
      <w:r>
        <w:t xml:space="preserve">Corresponding author: </w:t>
      </w:r>
      <w:hyperlink r:id="rId5" w:history="1">
        <w:r w:rsidRPr="0081413B">
          <w:rPr>
            <w:rStyle w:val="Hyperlink"/>
          </w:rPr>
          <w:t>Kim.Hammond-Kosack@rothamsted.ac.uk</w:t>
        </w:r>
      </w:hyperlink>
      <w:r>
        <w:br/>
      </w:r>
    </w:p>
    <w:p w14:paraId="7E57AE8C" w14:textId="77777777" w:rsidR="00411166" w:rsidRDefault="00411166">
      <w:pPr>
        <w:shd w:val="clear" w:color="auto" w:fill="FFFFFF"/>
        <w:spacing w:line="259" w:lineRule="auto"/>
        <w:ind w:right="5"/>
        <w:rPr>
          <w:highlight w:val="white"/>
        </w:rPr>
      </w:pPr>
      <w:r>
        <w:rPr>
          <w:b/>
          <w:highlight w:val="white"/>
        </w:rPr>
        <w:t>Keywords:</w:t>
      </w:r>
      <w:r>
        <w:rPr>
          <w:highlight w:val="white"/>
        </w:rPr>
        <w:t xml:space="preserve"> pathogenicity, virulence, effector, infectious disease, comparative genomics</w:t>
      </w:r>
    </w:p>
    <w:p w14:paraId="04D03E8D" w14:textId="77777777" w:rsidR="00411166" w:rsidRDefault="00411166">
      <w:pPr>
        <w:ind w:right="5"/>
      </w:pPr>
    </w:p>
    <w:p w14:paraId="43FC6D48" w14:textId="77777777" w:rsidR="00411166" w:rsidRPr="005D1C44" w:rsidRDefault="00411166">
      <w:pPr>
        <w:pStyle w:val="Heading1"/>
        <w:shd w:val="clear" w:color="auto" w:fill="FFFFFF"/>
        <w:spacing w:line="259" w:lineRule="auto"/>
        <w:ind w:right="5"/>
        <w:rPr>
          <w:szCs w:val="32"/>
        </w:rPr>
      </w:pPr>
      <w:bookmarkStart w:id="1" w:name="_86p7qtlv8req" w:colFirst="0" w:colLast="0"/>
      <w:bookmarkEnd w:id="1"/>
      <w:r w:rsidRPr="005D1C44">
        <w:rPr>
          <w:szCs w:val="32"/>
        </w:rPr>
        <w:t>Abstract</w:t>
      </w:r>
    </w:p>
    <w:p w14:paraId="45F936A0" w14:textId="3DB7DF96" w:rsidR="00411166" w:rsidRDefault="00245FD4">
      <w:pPr>
        <w:ind w:right="5"/>
      </w:pPr>
      <w:r w:rsidRPr="00220129">
        <w:rPr>
          <w:color w:val="000000" w:themeColor="text1"/>
        </w:rPr>
        <w:t>The Pathogen–Host Interactions Database (PHI-base) has, since 2005, provided manually curated genes from fungal, bacterial, and protist pathogens that have been experimentally verified to have important pathogenicity, virulence, and/or effector functions during different types of interactions involving human, animal, plant, invertebrate and fungal hosts.</w:t>
      </w:r>
      <w:r w:rsidR="7308F284" w:rsidRPr="00220129">
        <w:rPr>
          <w:color w:val="000000" w:themeColor="text1"/>
        </w:rPr>
        <w:t xml:space="preserve"> </w:t>
      </w:r>
      <w:r w:rsidR="7308F284">
        <w:t xml:space="preserve">PHI-base provides phenotypic annotation and genotypic information for both native and model host interactions, including gene alterations that do not alter the phenotype of the interaction. </w:t>
      </w:r>
      <w:r w:rsidR="00411166">
        <w:br/>
      </w:r>
      <w:r w:rsidR="7308F284">
        <w:t xml:space="preserve">In this article, we describe major updates to PHI-base. The latest version of PHI-base, 4.17, contains a 19% increase in genes and a 23% increase in interactions relative to version 4.12 (released September 2022). We also describe the unification of data in PHI-base 4 with the data curated from a new curation workflow (PHI-Canto), which forms the first complete release of PHI-base version 5.0. </w:t>
      </w:r>
      <w:r w:rsidR="41F2937C" w:rsidRPr="00220129">
        <w:rPr>
          <w:color w:val="000000" w:themeColor="text1"/>
        </w:rPr>
        <w:t>Additionally</w:t>
      </w:r>
      <w:r w:rsidR="7308F284" w:rsidRPr="00220129">
        <w:rPr>
          <w:color w:val="000000" w:themeColor="text1"/>
        </w:rPr>
        <w:t xml:space="preserve">, </w:t>
      </w:r>
      <w:r w:rsidR="7308F284">
        <w:t xml:space="preserve">we describe adding support for the Frictionless Data framework to PHI-base 4 datasets, new ways of sharing interaction data with the Ensembl database, </w:t>
      </w:r>
      <w:r w:rsidR="032318BE" w:rsidRPr="00220129">
        <w:rPr>
          <w:color w:val="000000" w:themeColor="text1"/>
        </w:rPr>
        <w:t>an analysis of the conserved orthologous genes in</w:t>
      </w:r>
      <w:r w:rsidR="7308F284" w:rsidRPr="00220129">
        <w:rPr>
          <w:color w:val="000000" w:themeColor="text1"/>
        </w:rPr>
        <w:t xml:space="preserve"> </w:t>
      </w:r>
      <w:r w:rsidR="7308F284">
        <w:t xml:space="preserve">PHI-base, and the increasing variety of research studies that make use of PHI-base. PHI-base version 4.17 is freely available at </w:t>
      </w:r>
      <w:hyperlink r:id="rId6">
        <w:r w:rsidR="7308F284" w:rsidRPr="692906EA">
          <w:rPr>
            <w:color w:val="1155CC"/>
            <w:u w:val="single"/>
          </w:rPr>
          <w:t>www.phi-base.org</w:t>
        </w:r>
      </w:hyperlink>
      <w:r w:rsidR="7308F284">
        <w:t xml:space="preserve"> and PHI-base version 5.0 is freely available at </w:t>
      </w:r>
      <w:hyperlink r:id="rId7">
        <w:r w:rsidR="7308F284" w:rsidRPr="692906EA">
          <w:rPr>
            <w:color w:val="1155CC"/>
            <w:u w:val="single"/>
          </w:rPr>
          <w:t>phi5.phi-base.org</w:t>
        </w:r>
      </w:hyperlink>
      <w:r w:rsidR="7308F284">
        <w:t>.</w:t>
      </w:r>
    </w:p>
    <w:p w14:paraId="04B17F4E" w14:textId="77777777" w:rsidR="00411166" w:rsidRDefault="00411166">
      <w:pPr>
        <w:ind w:right="5"/>
      </w:pPr>
    </w:p>
    <w:p w14:paraId="286D8B62" w14:textId="77777777" w:rsidR="00411166" w:rsidRDefault="00411166">
      <w:pPr>
        <w:ind w:right="5"/>
      </w:pPr>
    </w:p>
    <w:p w14:paraId="0D890359" w14:textId="77777777" w:rsidR="00411166" w:rsidRDefault="00411166">
      <w:pPr>
        <w:pStyle w:val="Heading1"/>
        <w:ind w:right="5"/>
      </w:pPr>
      <w:bookmarkStart w:id="2" w:name="_64ohac4iesg8" w:colFirst="0" w:colLast="0"/>
      <w:bookmarkStart w:id="3" w:name="_ki6rx4ansr5h" w:colFirst="0" w:colLast="0"/>
      <w:bookmarkEnd w:id="2"/>
      <w:bookmarkEnd w:id="3"/>
      <w:r>
        <w:lastRenderedPageBreak/>
        <w:t>Introduction</w:t>
      </w:r>
    </w:p>
    <w:p w14:paraId="5C523184" w14:textId="327E433F" w:rsidR="00411166" w:rsidRDefault="7308F284">
      <w:pPr>
        <w:spacing w:before="240" w:after="240"/>
        <w:ind w:right="5"/>
      </w:pPr>
      <w:r>
        <w:t xml:space="preserve">The health of plants, animals, humans, and entire ecosystems can be temporarily or persistently compromised by the occurrence of one or more infectious diseases. Globally as well as locally, infectious diseases threaten the economic wealth of continents, countries, and regions, human and farmed animal community structures, the availability and expense of foods, feeds, and fibres, and the biodiversity of natural and human-modified aquatic and terrestrial ecosystems </w:t>
      </w:r>
      <w:r w:rsidRPr="692906EA">
        <w:rPr>
          <w:noProof/>
        </w:rPr>
        <w:t>(1-6)</w:t>
      </w:r>
      <w:r>
        <w:t xml:space="preserve">. In addition, the incidence, severity, and impact of infectious diseases </w:t>
      </w:r>
      <w:r w:rsidR="2D2F5D19" w:rsidRPr="00220129">
        <w:rPr>
          <w:color w:val="000000" w:themeColor="text1"/>
        </w:rPr>
        <w:t>are</w:t>
      </w:r>
      <w:r w:rsidRPr="00220129">
        <w:rPr>
          <w:color w:val="000000" w:themeColor="text1"/>
        </w:rPr>
        <w:t xml:space="preserve"> </w:t>
      </w:r>
      <w:r>
        <w:t xml:space="preserve">steadily rising due to increased global travel and the trading of fresh produce. As a result of a changing climate, disease impacts can be further exacerbated through the ever-widening range of detrimental effects, including the co-occurrence of negative biotic and abiotic threats </w:t>
      </w:r>
      <w:r w:rsidRPr="692906EA">
        <w:rPr>
          <w:noProof/>
        </w:rPr>
        <w:t>(4,7)</w:t>
      </w:r>
      <w:r>
        <w:t xml:space="preserve">. In many regions of the world, pathogenic species are migrating poleward </w:t>
      </w:r>
      <w:r w:rsidRPr="692906EA">
        <w:rPr>
          <w:noProof/>
        </w:rPr>
        <w:t>(8)</w:t>
      </w:r>
      <w:r>
        <w:t xml:space="preserve"> or to higher elevations </w:t>
      </w:r>
      <w:r w:rsidRPr="692906EA">
        <w:rPr>
          <w:noProof/>
        </w:rPr>
        <w:t>(9)</w:t>
      </w:r>
      <w:r>
        <w:t xml:space="preserve">. This is primarily caused by the gradual rising in global temperatures and unusual rainfall patterns. As a result, host species are becoming infected with unfamiliar pathogens, and novel disease outbreaks are </w:t>
      </w:r>
      <w:r w:rsidR="5B7720DE">
        <w:t>occurring</w:t>
      </w:r>
      <w:r>
        <w:t xml:space="preserve"> </w:t>
      </w:r>
      <w:r w:rsidRPr="692906EA">
        <w:rPr>
          <w:noProof/>
        </w:rPr>
        <w:t>(10,11)</w:t>
      </w:r>
      <w:r>
        <w:t xml:space="preserve">. In many agricultural, medical and veterinary settings, </w:t>
      </w:r>
      <w:r w:rsidR="00B40D72" w:rsidRPr="00220129">
        <w:rPr>
          <w:color w:val="000000" w:themeColor="text1"/>
        </w:rPr>
        <w:t>the number and type of anti-infective chemicals available commercially that can still be used to control infectious diseases effectively</w:t>
      </w:r>
      <w:r>
        <w:t xml:space="preserve"> </w:t>
      </w:r>
      <w:r w:rsidR="09FAFF4A">
        <w:t>are</w:t>
      </w:r>
      <w:r>
        <w:t xml:space="preserve"> now highly reduced, either because new legislation has banned or restricted the use of previously registered chemistries or because of the emergence of chemical-resistant species or strains </w:t>
      </w:r>
      <w:r w:rsidRPr="692906EA">
        <w:rPr>
          <w:noProof/>
        </w:rPr>
        <w:t>(12,13)</w:t>
      </w:r>
      <w:r>
        <w:t xml:space="preserve">. Within the ‘One Health’ concept, which evolved through a sequential series of health domain specific conferences held during the late 2000s </w:t>
      </w:r>
      <w:r w:rsidRPr="692906EA">
        <w:rPr>
          <w:highlight w:val="white"/>
        </w:rPr>
        <w:t xml:space="preserve">(see reviews </w:t>
      </w:r>
      <w:r w:rsidRPr="692906EA">
        <w:rPr>
          <w:noProof/>
        </w:rPr>
        <w:t>(14,15)</w:t>
      </w:r>
      <w:r w:rsidR="7AAD7EAB" w:rsidRPr="00220129">
        <w:rPr>
          <w:noProof/>
          <w:color w:val="000000" w:themeColor="text1"/>
        </w:rPr>
        <w:t>)</w:t>
      </w:r>
      <w:r>
        <w:t xml:space="preserve">, there is growing recognition of the multiple interconnectedness between crop health, animal health, human health and ecosystem health </w:t>
      </w:r>
      <w:r w:rsidRPr="692906EA">
        <w:rPr>
          <w:noProof/>
        </w:rPr>
        <w:t>(14,16,17</w:t>
      </w:r>
      <w:r w:rsidR="6C4DC70D" w:rsidRPr="00220129">
        <w:rPr>
          <w:noProof/>
          <w:color w:val="000000" w:themeColor="text1"/>
        </w:rPr>
        <w:t>,18</w:t>
      </w:r>
      <w:r w:rsidRPr="00220129">
        <w:rPr>
          <w:noProof/>
          <w:color w:val="000000" w:themeColor="text1"/>
        </w:rPr>
        <w:t>)</w:t>
      </w:r>
      <w:r w:rsidRPr="692906EA">
        <w:rPr>
          <w:sz w:val="24"/>
          <w:szCs w:val="24"/>
        </w:rPr>
        <w:t xml:space="preserve">. </w:t>
      </w:r>
      <w:r>
        <w:t>In addition,</w:t>
      </w:r>
      <w:r w:rsidR="6968ABA0">
        <w:t xml:space="preserve"> </w:t>
      </w:r>
      <w:r w:rsidR="6968ABA0" w:rsidRPr="00220129">
        <w:rPr>
          <w:color w:val="000000" w:themeColor="text1"/>
        </w:rPr>
        <w:t>the metagenome of</w:t>
      </w:r>
      <w:r w:rsidRPr="00220129">
        <w:rPr>
          <w:color w:val="000000" w:themeColor="text1"/>
        </w:rPr>
        <w:t xml:space="preserve"> </w:t>
      </w:r>
      <w:r>
        <w:t xml:space="preserve">microbial communities associated with </w:t>
      </w:r>
      <w:r w:rsidRPr="692906EA">
        <w:rPr>
          <w:highlight w:val="white"/>
        </w:rPr>
        <w:t xml:space="preserve">plants, animals, and humans </w:t>
      </w:r>
      <w:r w:rsidR="14F17E72" w:rsidRPr="00220129">
        <w:rPr>
          <w:color w:val="000000" w:themeColor="text1"/>
        </w:rPr>
        <w:t xml:space="preserve">can be said </w:t>
      </w:r>
      <w:r w:rsidRPr="00220129">
        <w:rPr>
          <w:color w:val="000000" w:themeColor="text1"/>
        </w:rPr>
        <w:t xml:space="preserve">to function as a ‘second genome’ </w:t>
      </w:r>
      <w:r w:rsidR="00F1284A" w:rsidRPr="00220129">
        <w:rPr>
          <w:color w:val="000000" w:themeColor="text1"/>
        </w:rPr>
        <w:t xml:space="preserve">more commonly referred to as a metagenome </w:t>
      </w:r>
      <w:r w:rsidRPr="692906EA">
        <w:rPr>
          <w:highlight w:val="white"/>
        </w:rPr>
        <w:t xml:space="preserve">that drives the fitness and performance of almost all organisms </w:t>
      </w:r>
      <w:r w:rsidRPr="692906EA">
        <w:rPr>
          <w:noProof/>
          <w:highlight w:val="white"/>
        </w:rPr>
        <w:t>(11,15)</w:t>
      </w:r>
      <w:r w:rsidRPr="692906EA">
        <w:rPr>
          <w:highlight w:val="white"/>
        </w:rPr>
        <w:t>.  C</w:t>
      </w:r>
      <w:r>
        <w:t xml:space="preserve">ollectively, as a result of the increased societal, economic and ecological relevance of infectious diseases, there is an ongoing and pressing need to understand the underlying pathogenic processes </w:t>
      </w:r>
      <w:r w:rsidRPr="692906EA">
        <w:rPr>
          <w:i/>
          <w:iCs/>
        </w:rPr>
        <w:t xml:space="preserve">per se </w:t>
      </w:r>
      <w:r>
        <w:t>and how these processes are evolving in the myriad of disease-causing species, as well as to understand how host species combat very different infection processes and the spectrum of ‘in host’ pathogen lifestyles.</w:t>
      </w:r>
    </w:p>
    <w:p w14:paraId="58427A08" w14:textId="77777777" w:rsidR="00411166" w:rsidRDefault="00411166">
      <w:pPr>
        <w:spacing w:before="240" w:after="240"/>
        <w:ind w:right="5"/>
      </w:pPr>
      <w:r>
        <w:t xml:space="preserve">The Pathogen–Host Interactions database (PHI-base), established in 2005, is freely available at </w:t>
      </w:r>
      <w:hyperlink r:id="rId8">
        <w:r>
          <w:rPr>
            <w:color w:val="1155CC"/>
            <w:u w:val="single"/>
          </w:rPr>
          <w:t>www.phi-base.org</w:t>
        </w:r>
      </w:hyperlink>
      <w:r>
        <w:t xml:space="preserve">. PHI-base adheres to the FAIR principles to ensure data is Findable, Accessible, Interoperable, and Reusable </w:t>
      </w:r>
      <w:r>
        <w:rPr>
          <w:noProof/>
        </w:rPr>
        <w:t>(19)</w:t>
      </w:r>
      <w:r>
        <w:t xml:space="preserve">. PHI-base stores expertly curated molecular and biological information on genes proven to affect the phenotypic outcome of pathogen–host interactions. Each entry in PHI-base has strongly supported experimental evidence obtained from a peer-reviewed publication. The term ‘interaction’ in each PHI-base entry is used to define the observable function of either one gene or one protein, on one host, and on one tissue type or one </w:t>
      </w:r>
      <w:r>
        <w:rPr>
          <w:i/>
        </w:rPr>
        <w:t>in vitro</w:t>
      </w:r>
      <w:r>
        <w:t xml:space="preserve"> situation </w:t>
      </w:r>
      <w:r>
        <w:rPr>
          <w:noProof/>
        </w:rPr>
        <w:t>(20)</w:t>
      </w:r>
      <w:r>
        <w:t xml:space="preserve">. PHI-base includes entries for bacterial, fungal and protist pathogens which infect plant, human, animal, insect and other hosts, but does not include viral pathogens. The PHI-base entries also cover the direct first-host targets of pathogen effectors (when known) and the targets of commercial anti-infective chemicals. To enhance PHI-base’s usage in comparative, pangenome, diagnostic and evolutionary studies, genes experimentally tested but found not to affect the interaction outcome are also curated. In addition, although several features in PHI-base have changed or gradually evolved over the past 20 years, nine high-level phenotypic outcome terms remain in long-term use to permit the comparison of interactions across the entire tree of life </w:t>
      </w:r>
      <w:r>
        <w:rPr>
          <w:noProof/>
        </w:rPr>
        <w:t>(21)</w:t>
      </w:r>
      <w:r>
        <w:t xml:space="preserve">. These terms are ‘loss of pathogenicity’, ‘reduced virulence’, ‘increased virulence (hypervirulence)’, ‘unaffected pathogenicity’, ‘effector’, ‘lethal’, ‘enhanced antagonism’, ‘resistance </w:t>
      </w:r>
      <w:r>
        <w:lastRenderedPageBreak/>
        <w:t>to chemical’ and ‘sensitivity to chemical’. In comparative studies, biologists and computational biologists find these high-level terms particularly useful when undertaking multi-discipline analyses or mega-scale data analyses and are often unfamiliar with different pathogen-host systems (pathosystems), but aim to include pathogenic species with different lifestyles, host ranges, environmental requirements, and/or niche occupancies in their comparative analyses</w:t>
      </w:r>
      <w:r w:rsidRPr="00E26B67">
        <w:t>. Within PHI-b</w:t>
      </w:r>
      <w:r>
        <w:t xml:space="preserve">ase, a BLAST tool (PHIB-BLAST, </w:t>
      </w:r>
      <w:hyperlink r:id="rId9">
        <w:r>
          <w:rPr>
            <w:color w:val="1155CC"/>
            <w:u w:val="single"/>
          </w:rPr>
          <w:t>phi-blast.phi-base.org</w:t>
        </w:r>
      </w:hyperlink>
      <w:r>
        <w:t>) is available to permit BLAST queries of modest gene lists (&lt; 300 sequences per run) arising from functional genomics, transcriptomics, proteomics, and protein–protein interaction experimentation.</w:t>
      </w:r>
    </w:p>
    <w:p w14:paraId="09506006" w14:textId="00B1D684" w:rsidR="00411166" w:rsidRDefault="7308F284">
      <w:pPr>
        <w:spacing w:before="240" w:after="240"/>
        <w:ind w:right="5"/>
      </w:pPr>
      <w:r>
        <w:t xml:space="preserve">The phenotypic data in PHI-base is directly connected to the </w:t>
      </w:r>
      <w:r w:rsidR="00F1284A" w:rsidRPr="00220129">
        <w:rPr>
          <w:color w:val="000000" w:themeColor="text1"/>
        </w:rPr>
        <w:t xml:space="preserve">entries for </w:t>
      </w:r>
      <w:r>
        <w:t xml:space="preserve">individual </w:t>
      </w:r>
      <w:r w:rsidRPr="00220129">
        <w:rPr>
          <w:color w:val="000000" w:themeColor="text1"/>
        </w:rPr>
        <w:t>gene</w:t>
      </w:r>
      <w:r w:rsidR="42E854F4" w:rsidRPr="00220129">
        <w:rPr>
          <w:color w:val="000000" w:themeColor="text1"/>
        </w:rPr>
        <w:t>s</w:t>
      </w:r>
      <w:r w:rsidRPr="00220129">
        <w:rPr>
          <w:color w:val="000000" w:themeColor="text1"/>
        </w:rPr>
        <w:t xml:space="preserve"> </w:t>
      </w:r>
      <w:r>
        <w:t>within the genomes of plant pathogenic species available within Ensembl Fungi, Ensembl Bacteria, and Ensembl Protists</w:t>
      </w:r>
      <w:r w:rsidRPr="692906EA">
        <w:rPr>
          <w:color w:val="0042AA"/>
        </w:rPr>
        <w:t xml:space="preserve"> </w:t>
      </w:r>
      <w:r>
        <w:t>(22,23)</w:t>
      </w:r>
      <w:r w:rsidRPr="692906EA">
        <w:rPr>
          <w:color w:val="0042AA"/>
        </w:rPr>
        <w:t xml:space="preserve"> </w:t>
      </w:r>
      <w:r>
        <w:t xml:space="preserve">and displayed within entries for </w:t>
      </w:r>
      <w:r w:rsidR="5531C365" w:rsidRPr="00220129">
        <w:rPr>
          <w:color w:val="000000" w:themeColor="text1"/>
        </w:rPr>
        <w:t>plant-, human-, and/or animal-infecting species</w:t>
      </w:r>
      <w:r w:rsidRPr="00220129">
        <w:rPr>
          <w:color w:val="000000" w:themeColor="text1"/>
        </w:rPr>
        <w:t xml:space="preserve"> </w:t>
      </w:r>
      <w:r>
        <w:t xml:space="preserve">in FungiDB under the content pane ‘Identify Genes based on Phenotype Evidence’ </w:t>
      </w:r>
      <w:r w:rsidRPr="692906EA">
        <w:rPr>
          <w:noProof/>
        </w:rPr>
        <w:t>(24)</w:t>
      </w:r>
      <w:r>
        <w:t xml:space="preserve">, and within UniProtKB </w:t>
      </w:r>
      <w:r w:rsidRPr="692906EA">
        <w:rPr>
          <w:noProof/>
        </w:rPr>
        <w:t>(25)</w:t>
      </w:r>
      <w:r>
        <w:t xml:space="preserve"> under the content pane ‘Phenotypes &amp; Variants’. PHI-base also reuses resources and ontologies provided by external resources, including PubMed, NCBI Taxonomy </w:t>
      </w:r>
      <w:r w:rsidRPr="692906EA">
        <w:rPr>
          <w:noProof/>
        </w:rPr>
        <w:t>(26)</w:t>
      </w:r>
      <w:r>
        <w:t xml:space="preserve">, UniProtKB </w:t>
      </w:r>
      <w:r w:rsidRPr="692906EA">
        <w:rPr>
          <w:noProof/>
        </w:rPr>
        <w:t>(25)</w:t>
      </w:r>
      <w:r>
        <w:t xml:space="preserve">, Gene Ontology (GO) </w:t>
      </w:r>
      <w:r w:rsidRPr="692906EA">
        <w:rPr>
          <w:noProof/>
        </w:rPr>
        <w:t>(27)</w:t>
      </w:r>
      <w:r>
        <w:t xml:space="preserve">, ChEBI </w:t>
      </w:r>
      <w:r w:rsidRPr="692906EA">
        <w:rPr>
          <w:noProof/>
        </w:rPr>
        <w:t>(28)</w:t>
      </w:r>
      <w:r>
        <w:t xml:space="preserve"> and the Fungicide Resistance Action Committee (FRAC) (</w:t>
      </w:r>
      <w:hyperlink r:id="rId10">
        <w:r w:rsidRPr="692906EA">
          <w:rPr>
            <w:color w:val="1155CC"/>
            <w:u w:val="single"/>
          </w:rPr>
          <w:t>www.frac.info</w:t>
        </w:r>
      </w:hyperlink>
      <w:r>
        <w:t xml:space="preserve">). Several other multi-pathogen species databases exist, and these have previously been reviewed and compared in detail </w:t>
      </w:r>
      <w:r w:rsidRPr="692906EA">
        <w:rPr>
          <w:noProof/>
        </w:rPr>
        <w:t>(29-31)</w:t>
      </w:r>
      <w:r>
        <w:t xml:space="preserve">. These include Ensembl Genomes </w:t>
      </w:r>
      <w:r w:rsidRPr="692906EA">
        <w:rPr>
          <w:noProof/>
        </w:rPr>
        <w:t>(22)</w:t>
      </w:r>
      <w:r>
        <w:t xml:space="preserve">, FungiDB </w:t>
      </w:r>
      <w:r w:rsidRPr="692906EA">
        <w:rPr>
          <w:noProof/>
        </w:rPr>
        <w:t>(24)</w:t>
      </w:r>
      <w:r>
        <w:t xml:space="preserve">, PATRIC </w:t>
      </w:r>
      <w:r w:rsidRPr="692906EA">
        <w:rPr>
          <w:noProof/>
        </w:rPr>
        <w:t>(32)</w:t>
      </w:r>
      <w:r>
        <w:t xml:space="preserve">, and SecretEPDB </w:t>
      </w:r>
      <w:r w:rsidRPr="692906EA">
        <w:rPr>
          <w:noProof/>
        </w:rPr>
        <w:t>(33)</w:t>
      </w:r>
      <w:r>
        <w:t xml:space="preserve"> which focus, respectively, on providing genomic data and annotations for microbes, comparative genomics tools and functional information for fungal organisms, information on virulence factors and antimicrobial resistance genes in bacteria, and secreted bacterial effectors produced by various animal or plant infecting species. Whereas uniquely, PHI-base consistently describes phenotypes using the same controlled generic vocabulary for a wide spectrum of plant, human, animal, and insect pathogen–host interactions across more than 290 pathogenic species.</w:t>
      </w:r>
    </w:p>
    <w:p w14:paraId="6B8074DC" w14:textId="6ECCF7D5" w:rsidR="00411166" w:rsidRDefault="7308F284">
      <w:pPr>
        <w:spacing w:before="240" w:after="240"/>
        <w:ind w:right="5"/>
      </w:pPr>
      <w:r>
        <w:t xml:space="preserve">In this article, we report on a major increase in PHI-base gene content, and the first full release of PHI-base version 5.0, which combines, under one schema, data from PHI-base 4 with newly curated data supplied by curators and authors using the PHI-Canto community curation tool (available at </w:t>
      </w:r>
      <w:hyperlink r:id="rId11">
        <w:r w:rsidRPr="692906EA">
          <w:rPr>
            <w:color w:val="1155CC"/>
            <w:u w:val="single"/>
          </w:rPr>
          <w:t>https://canto.phi-base.org</w:t>
        </w:r>
      </w:hyperlink>
      <w:r>
        <w:t xml:space="preserve">) </w:t>
      </w:r>
      <w:r w:rsidRPr="692906EA">
        <w:rPr>
          <w:noProof/>
        </w:rPr>
        <w:t>(34)</w:t>
      </w:r>
      <w:r>
        <w:t xml:space="preserve">. We also report on deeper integration with the Ensembl project by enabling the importing of interactions, phenotypes, and anti-infective resistance annotations from PHI-base 4; improving compliance with the FAIR data principles by </w:t>
      </w:r>
      <w:r w:rsidR="6210ECA7" w:rsidRPr="00220129">
        <w:rPr>
          <w:color w:val="000000" w:themeColor="text1"/>
        </w:rPr>
        <w:t xml:space="preserve">using the Frictionless Data framework to add </w:t>
      </w:r>
      <w:r w:rsidR="396754C6" w:rsidRPr="00220129">
        <w:rPr>
          <w:color w:val="000000" w:themeColor="text1"/>
        </w:rPr>
        <w:t>additional metadata to PHI-base 4 datasets</w:t>
      </w:r>
      <w:r w:rsidR="0E7A31D5" w:rsidRPr="00220129">
        <w:rPr>
          <w:color w:val="000000" w:themeColor="text1"/>
        </w:rPr>
        <w:t xml:space="preserve">, </w:t>
      </w:r>
      <w:r w:rsidR="0BA92922" w:rsidRPr="00220129">
        <w:rPr>
          <w:color w:val="000000" w:themeColor="text1"/>
        </w:rPr>
        <w:t xml:space="preserve">and assigning persistent identifiers </w:t>
      </w:r>
      <w:r w:rsidR="762F4679" w:rsidRPr="00220129">
        <w:rPr>
          <w:color w:val="000000" w:themeColor="text1"/>
        </w:rPr>
        <w:t xml:space="preserve">(a DOI) </w:t>
      </w:r>
      <w:r w:rsidR="0BA92922" w:rsidRPr="00220129">
        <w:rPr>
          <w:color w:val="000000" w:themeColor="text1"/>
        </w:rPr>
        <w:t xml:space="preserve">to </w:t>
      </w:r>
      <w:r w:rsidR="71423051" w:rsidRPr="00220129">
        <w:rPr>
          <w:color w:val="000000" w:themeColor="text1"/>
        </w:rPr>
        <w:t xml:space="preserve">each </w:t>
      </w:r>
      <w:r w:rsidR="79646C3F" w:rsidRPr="00220129">
        <w:rPr>
          <w:color w:val="000000" w:themeColor="text1"/>
        </w:rPr>
        <w:t>dataset</w:t>
      </w:r>
      <w:r w:rsidR="0ADC0AD6" w:rsidRPr="00220129">
        <w:rPr>
          <w:color w:val="000000" w:themeColor="text1"/>
        </w:rPr>
        <w:t xml:space="preserve"> </w:t>
      </w:r>
      <w:r w:rsidR="0BA92922" w:rsidRPr="00220129">
        <w:rPr>
          <w:color w:val="000000" w:themeColor="text1"/>
        </w:rPr>
        <w:t>via the Zenodo repository</w:t>
      </w:r>
      <w:r w:rsidR="2A0A3662" w:rsidRPr="00220129">
        <w:rPr>
          <w:color w:val="000000" w:themeColor="text1"/>
        </w:rPr>
        <w:t xml:space="preserve">; </w:t>
      </w:r>
      <w:r>
        <w:t xml:space="preserve">mapping proteins in PHI-base to orthologous groups across functional categories using the eggNOG database; and an increasing breadth of use cases, including functional gene characterisation, </w:t>
      </w:r>
      <w:r w:rsidR="00BB4861">
        <w:t>‘</w:t>
      </w:r>
      <w:r>
        <w:t>omics</w:t>
      </w:r>
      <w:r w:rsidR="00BB4861">
        <w:t>’</w:t>
      </w:r>
      <w:r>
        <w:t xml:space="preserve"> studies and predictive modelling.</w:t>
      </w:r>
    </w:p>
    <w:p w14:paraId="3A0FFBFB" w14:textId="77777777" w:rsidR="00411166" w:rsidRDefault="00411166">
      <w:pPr>
        <w:spacing w:before="240" w:after="240"/>
        <w:ind w:right="5"/>
      </w:pPr>
    </w:p>
    <w:p w14:paraId="1242A0EE" w14:textId="77777777" w:rsidR="00411166" w:rsidRDefault="00411166">
      <w:pPr>
        <w:pStyle w:val="Heading1"/>
        <w:ind w:right="5"/>
      </w:pPr>
      <w:bookmarkStart w:id="4" w:name="_llmfh5fq4d06" w:colFirst="0" w:colLast="0"/>
      <w:bookmarkEnd w:id="4"/>
      <w:r>
        <w:t>Results and discussion</w:t>
      </w:r>
    </w:p>
    <w:p w14:paraId="21248EA6" w14:textId="77777777" w:rsidR="00411166" w:rsidRDefault="00411166">
      <w:pPr>
        <w:pStyle w:val="Heading2"/>
        <w:spacing w:before="240" w:after="240"/>
        <w:ind w:right="5"/>
      </w:pPr>
      <w:bookmarkStart w:id="5" w:name="_vafzfekv9v3" w:colFirst="0" w:colLast="0"/>
      <w:bookmarkEnd w:id="5"/>
      <w:r>
        <w:t>Biological data update</w:t>
      </w:r>
    </w:p>
    <w:p w14:paraId="12813506" w14:textId="77777777" w:rsidR="00411166" w:rsidRDefault="7308F284">
      <w:pPr>
        <w:spacing w:before="240" w:after="240"/>
        <w:ind w:right="5"/>
      </w:pPr>
      <w:r>
        <w:t xml:space="preserve">Version 4.17 of PHI-base (released in May 2024 and described in this article) contains 9,973 genes, 22,415 pathogen–host interactions (PHIs), 295 pathogens, 246 hosts, 548 diseases, and 5,521 references. The number of genes manually curated for PHIs has increased by 18.6% since </w:t>
      </w:r>
      <w:r>
        <w:lastRenderedPageBreak/>
        <w:t xml:space="preserve">version 4.12 (reported in 2022) </w:t>
      </w:r>
      <w:r w:rsidRPr="692906EA">
        <w:rPr>
          <w:noProof/>
        </w:rPr>
        <w:t>(35)</w:t>
      </w:r>
      <w:r>
        <w:t xml:space="preserve">. </w:t>
      </w:r>
      <w:bookmarkStart w:id="6" w:name="_Int_E9pHVkEZ"/>
      <w:r>
        <w:t>Bacteria</w:t>
      </w:r>
      <w:bookmarkEnd w:id="6"/>
      <w:r>
        <w:t xml:space="preserve"> and fungal pathogens provide 96.3% of the PHI phenotype annotations (of which 54% involve bacterial pathogens and 46% involve fungal pathogens), whilst protists, protozoa, nematodes and insects provide 3.4% (</w:t>
      </w:r>
      <w:r w:rsidRPr="692906EA">
        <w:rPr>
          <w:b/>
          <w:bCs/>
        </w:rPr>
        <w:t>Table 1</w:t>
      </w:r>
      <w:r>
        <w:t>). These species contributions are almost identical to those reported for version 4.12. The ascomycete fungi dominate the fungal pathogen curation with 8,699 PHI phenotype annotations and 107 species (88% of all fungal PHI phenotypes), followed by the basidiomycetes with 1,119 PHI phenotypes and 12 species (11.4 % of all fungal PHI phenotypes). Compared to version 4.12, an additional 4,229 PHI phenotype annotations describing experimental data for 1,562 genes from 1,134 newly manually curated publications are included up to May 2024.</w:t>
      </w:r>
    </w:p>
    <w:p w14:paraId="01DBDBEF" w14:textId="77777777" w:rsidR="00411166" w:rsidRDefault="00411166">
      <w:pPr>
        <w:spacing w:before="240" w:after="240"/>
        <w:ind w:right="5"/>
      </w:pPr>
      <w:r>
        <w:t xml:space="preserve">The number of pathogenic species in PHI-base has increased by 17 to a total of 295 pathogens. New species include newly emerging pathogens under intense investigation, such as the bacterial fruit rot pathogen </w:t>
      </w:r>
      <w:r>
        <w:rPr>
          <w:i/>
        </w:rPr>
        <w:t>Paracidovorax citrulli</w:t>
      </w:r>
      <w:r>
        <w:t>, and species included in comparative studies (</w:t>
      </w:r>
      <w:r w:rsidRPr="00AD63A7">
        <w:rPr>
          <w:b/>
        </w:rPr>
        <w:t>Supplementary Table 1</w:t>
      </w:r>
      <w:r>
        <w:t xml:space="preserve">). Within PHI-base, plant pathogens represent </w:t>
      </w:r>
      <w:r>
        <w:rPr>
          <w:rFonts w:ascii="Arial Unicode MS" w:eastAsia="Arial Unicode MS" w:hAnsi="Arial Unicode MS" w:cs="Arial Unicode MS"/>
        </w:rPr>
        <w:t>∼</w:t>
      </w:r>
      <w:r>
        <w:t>53% of the species investigated (</w:t>
      </w:r>
      <w:r w:rsidRPr="00AD63A7">
        <w:rPr>
          <w:b/>
        </w:rPr>
        <w:t>Table 2</w:t>
      </w:r>
      <w:r>
        <w:t xml:space="preserve">). There are now slightly more curated non-cereal infecting species entries at 6,128 compared to cereal infecting species at 5,514 and a further 135 entries from species infecting other monocot hosts, including </w:t>
      </w:r>
      <w:r>
        <w:rPr>
          <w:i/>
        </w:rPr>
        <w:t>Allium</w:t>
      </w:r>
      <w:r>
        <w:t>,</w:t>
      </w:r>
      <w:r>
        <w:rPr>
          <w:i/>
        </w:rPr>
        <w:t xml:space="preserve"> Lilium</w:t>
      </w:r>
      <w:r>
        <w:t xml:space="preserve"> and </w:t>
      </w:r>
      <w:r>
        <w:rPr>
          <w:i/>
        </w:rPr>
        <w:t>Musa</w:t>
      </w:r>
      <w:r>
        <w:t xml:space="preserve"> (banana) species. Tree and woody shrub infecting species provide 1,360 plant PHI annotations, involving 51 species</w:t>
      </w:r>
      <w:r>
        <w:rPr>
          <w:sz w:val="16"/>
          <w:szCs w:val="16"/>
        </w:rPr>
        <w:t xml:space="preserve"> </w:t>
      </w:r>
      <w:r>
        <w:t xml:space="preserve">(11.6% of the plant PHIs), of which 1,135 PHIs are for economically important fruit-bearing species in the genus </w:t>
      </w:r>
      <w:r>
        <w:rPr>
          <w:i/>
        </w:rPr>
        <w:t>Citrus</w:t>
      </w:r>
      <w:r>
        <w:t xml:space="preserve">, </w:t>
      </w:r>
      <w:r>
        <w:rPr>
          <w:i/>
        </w:rPr>
        <w:t>Malus</w:t>
      </w:r>
      <w:r>
        <w:t xml:space="preserve">, </w:t>
      </w:r>
      <w:r>
        <w:rPr>
          <w:i/>
        </w:rPr>
        <w:t>Prunus</w:t>
      </w:r>
      <w:r>
        <w:t xml:space="preserve"> or </w:t>
      </w:r>
      <w:r>
        <w:rPr>
          <w:i/>
        </w:rPr>
        <w:t>Pyrus</w:t>
      </w:r>
      <w:r>
        <w:t xml:space="preserve">. The three model plant species </w:t>
      </w:r>
      <w:r>
        <w:rPr>
          <w:i/>
        </w:rPr>
        <w:t>Arabidopsis thaliana</w:t>
      </w:r>
      <w:r>
        <w:t xml:space="preserve">, </w:t>
      </w:r>
      <w:r>
        <w:rPr>
          <w:i/>
        </w:rPr>
        <w:t>Nicotiana benthamiana</w:t>
      </w:r>
      <w:r>
        <w:t xml:space="preserve">, and </w:t>
      </w:r>
      <w:r>
        <w:rPr>
          <w:i/>
        </w:rPr>
        <w:t>Nicotiana tabacum</w:t>
      </w:r>
      <w:r>
        <w:t xml:space="preserve"> continue to provide </w:t>
      </w:r>
      <w:r>
        <w:rPr>
          <w:rFonts w:ascii="Arial Unicode MS" w:eastAsia="Arial Unicode MS" w:hAnsi="Arial Unicode MS" w:cs="Arial Unicode MS"/>
        </w:rPr>
        <w:t>∼</w:t>
      </w:r>
      <w:r>
        <w:t xml:space="preserve">5% of the data (1,218 PHIs). The number of curated PHI phenotypes for pathogens that infect vertebrates, and their model hosts has increased to 43.4% of the total (9,726 PHIs), while 25.6% of annotations (5,736 PHIs) come from pathogenic species infecting agricultural, horticultural or viticultural crop species. The emerging pathogen species that have been curated for the first time include </w:t>
      </w:r>
      <w:r>
        <w:rPr>
          <w:i/>
        </w:rPr>
        <w:t>Candida auris</w:t>
      </w:r>
      <w:r>
        <w:t xml:space="preserve">, </w:t>
      </w:r>
      <w:r>
        <w:rPr>
          <w:i/>
        </w:rPr>
        <w:t>Colletotrichum fructicola</w:t>
      </w:r>
      <w:r>
        <w:t xml:space="preserve">, </w:t>
      </w:r>
      <w:r>
        <w:rPr>
          <w:i/>
        </w:rPr>
        <w:t>Plasmopara viticola</w:t>
      </w:r>
      <w:r>
        <w:t xml:space="preserve">, </w:t>
      </w:r>
      <w:r>
        <w:rPr>
          <w:i/>
        </w:rPr>
        <w:t>Vibrio alginolyticus</w:t>
      </w:r>
      <w:r>
        <w:t xml:space="preserve">, and </w:t>
      </w:r>
      <w:r>
        <w:rPr>
          <w:i/>
        </w:rPr>
        <w:t>Paracidovorax citrulli</w:t>
      </w:r>
      <w:r>
        <w:t xml:space="preserve"> (</w:t>
      </w:r>
      <w:r w:rsidRPr="00AD63A7">
        <w:rPr>
          <w:b/>
        </w:rPr>
        <w:t>Supplementary Table 1</w:t>
      </w:r>
      <w:r>
        <w:t>).</w:t>
      </w:r>
    </w:p>
    <w:p w14:paraId="6A910E81" w14:textId="1E09EE8B" w:rsidR="00411166" w:rsidRDefault="7308F284">
      <w:pPr>
        <w:spacing w:before="240" w:after="240"/>
        <w:ind w:right="5"/>
      </w:pPr>
      <w:r>
        <w:t>The 30 most annotated pathogen species in PHI-base account for 70.7% of the total PHI data, which is provided by the curation of 7,082 genes (</w:t>
      </w:r>
      <w:r w:rsidRPr="692906EA">
        <w:rPr>
          <w:b/>
          <w:bCs/>
        </w:rPr>
        <w:t>Table 3</w:t>
      </w:r>
      <w:r>
        <w:t xml:space="preserve">). The species in this top 30 list remain the same as for PHI-base version 4.12, and </w:t>
      </w:r>
      <w:r w:rsidR="78155D39" w:rsidRPr="00220129">
        <w:rPr>
          <w:color w:val="000000" w:themeColor="text1"/>
        </w:rPr>
        <w:t>include</w:t>
      </w:r>
      <w:r>
        <w:t xml:space="preserve"> 12 plant infecting species, 17 human and/or animal infecting species and one insect infecting species. The filamentous fungal pathogens </w:t>
      </w:r>
      <w:r w:rsidRPr="692906EA">
        <w:rPr>
          <w:i/>
          <w:iCs/>
        </w:rPr>
        <w:t>Fusarium graminearum</w:t>
      </w:r>
      <w:r>
        <w:t xml:space="preserve"> and </w:t>
      </w:r>
      <w:r w:rsidRPr="692906EA">
        <w:rPr>
          <w:i/>
          <w:iCs/>
        </w:rPr>
        <w:t>Magnaporthe oryzae</w:t>
      </w:r>
      <w:r>
        <w:t xml:space="preserve">, which cause various diseases on staple cereal crops, such as wheat, barley, rice and maize, continue to provide the highest number of PHI entries by both interaction types explored and genes/proteins investigated. </w:t>
      </w:r>
      <w:bookmarkStart w:id="7" w:name="_Hlk180336529"/>
      <w:r>
        <w:t xml:space="preserve">Amongst the plant-infecting bacteria, entries </w:t>
      </w:r>
      <w:r w:rsidRPr="00220129">
        <w:rPr>
          <w:color w:val="000000" w:themeColor="text1"/>
        </w:rPr>
        <w:t xml:space="preserve">for </w:t>
      </w:r>
      <w:r w:rsidR="73D189E4" w:rsidRPr="00220129">
        <w:rPr>
          <w:color w:val="000000" w:themeColor="text1"/>
        </w:rPr>
        <w:t xml:space="preserve">specified and non-specified </w:t>
      </w:r>
      <w:r w:rsidR="0157354F" w:rsidRPr="00220129">
        <w:rPr>
          <w:color w:val="000000" w:themeColor="text1"/>
        </w:rPr>
        <w:t xml:space="preserve">biotypes within </w:t>
      </w:r>
      <w:r w:rsidR="6211F512" w:rsidRPr="00220129">
        <w:rPr>
          <w:color w:val="000000" w:themeColor="text1"/>
        </w:rPr>
        <w:t xml:space="preserve">the </w:t>
      </w:r>
      <w:r w:rsidRPr="00220129">
        <w:rPr>
          <w:i/>
          <w:iCs/>
          <w:color w:val="000000" w:themeColor="text1"/>
        </w:rPr>
        <w:t>Ralstonia solanacearum</w:t>
      </w:r>
      <w:r w:rsidR="76A655B5" w:rsidRPr="00220129">
        <w:rPr>
          <w:i/>
          <w:iCs/>
          <w:color w:val="000000" w:themeColor="text1"/>
        </w:rPr>
        <w:t xml:space="preserve"> </w:t>
      </w:r>
      <w:r w:rsidR="76A655B5" w:rsidRPr="00220129">
        <w:rPr>
          <w:color w:val="000000" w:themeColor="text1"/>
        </w:rPr>
        <w:t>species complex</w:t>
      </w:r>
      <w:r w:rsidRPr="00220129">
        <w:rPr>
          <w:i/>
          <w:iCs/>
          <w:color w:val="000000" w:themeColor="text1"/>
        </w:rPr>
        <w:t xml:space="preserve">, </w:t>
      </w:r>
      <w:r w:rsidR="05DFAA2A" w:rsidRPr="00220129">
        <w:rPr>
          <w:color w:val="000000" w:themeColor="text1"/>
        </w:rPr>
        <w:t xml:space="preserve">which infect </w:t>
      </w:r>
      <w:r w:rsidRPr="00220129">
        <w:rPr>
          <w:color w:val="000000" w:themeColor="text1"/>
        </w:rPr>
        <w:t>potato and</w:t>
      </w:r>
      <w:r w:rsidR="028FBF46" w:rsidRPr="00220129">
        <w:rPr>
          <w:color w:val="000000" w:themeColor="text1"/>
        </w:rPr>
        <w:t xml:space="preserve">/or a range of </w:t>
      </w:r>
      <w:r>
        <w:t xml:space="preserve">other </w:t>
      </w:r>
      <w:r w:rsidRPr="692906EA">
        <w:rPr>
          <w:i/>
          <w:iCs/>
        </w:rPr>
        <w:t xml:space="preserve">Solanaceae </w:t>
      </w:r>
      <w:r>
        <w:t xml:space="preserve">species, have increased considerably to 947 interaction entries. </w:t>
      </w:r>
      <w:bookmarkEnd w:id="7"/>
      <w:r>
        <w:t xml:space="preserve">For the animal kingdom, the most curated pathogens include the human pathogens </w:t>
      </w:r>
      <w:r w:rsidRPr="692906EA">
        <w:rPr>
          <w:i/>
          <w:iCs/>
        </w:rPr>
        <w:t>Salmonella enterica</w:t>
      </w:r>
      <w:r>
        <w:t xml:space="preserve">, </w:t>
      </w:r>
      <w:r w:rsidRPr="692906EA">
        <w:rPr>
          <w:i/>
          <w:iCs/>
        </w:rPr>
        <w:t>Candida albicans</w:t>
      </w:r>
      <w:r>
        <w:t xml:space="preserve">, </w:t>
      </w:r>
      <w:r w:rsidRPr="692906EA">
        <w:rPr>
          <w:i/>
          <w:iCs/>
        </w:rPr>
        <w:t>Escherichia coli</w:t>
      </w:r>
      <w:r>
        <w:t xml:space="preserve">, </w:t>
      </w:r>
      <w:r w:rsidRPr="692906EA">
        <w:rPr>
          <w:i/>
          <w:iCs/>
        </w:rPr>
        <w:t>Aspergillus fumigatus</w:t>
      </w:r>
      <w:r>
        <w:t xml:space="preserve"> and </w:t>
      </w:r>
      <w:r w:rsidRPr="692906EA">
        <w:rPr>
          <w:i/>
          <w:iCs/>
        </w:rPr>
        <w:t>Cryptococcus neoformans</w:t>
      </w:r>
      <w:r>
        <w:t xml:space="preserve"> (</w:t>
      </w:r>
      <w:r w:rsidRPr="692906EA">
        <w:rPr>
          <w:b/>
          <w:bCs/>
        </w:rPr>
        <w:t>Table 3</w:t>
      </w:r>
      <w:r>
        <w:t xml:space="preserve">). Entries for </w:t>
      </w:r>
      <w:r w:rsidRPr="692906EA">
        <w:rPr>
          <w:i/>
          <w:iCs/>
        </w:rPr>
        <w:t>Toxoplasma gondii</w:t>
      </w:r>
      <w:r>
        <w:t xml:space="preserve">, a protozoan parasite that infects most species of warm-blooded animals, including humans, have increased considerably to 286 interaction entries. Two pathogens </w:t>
      </w:r>
      <w:r w:rsidR="6A196E03" w:rsidRPr="00220129">
        <w:rPr>
          <w:color w:val="000000" w:themeColor="text1"/>
        </w:rPr>
        <w:t>that</w:t>
      </w:r>
      <w:r w:rsidRPr="00220129">
        <w:rPr>
          <w:color w:val="000000" w:themeColor="text1"/>
        </w:rPr>
        <w:t xml:space="preserve"> infect both plants and </w:t>
      </w:r>
      <w:r w:rsidR="6C393464" w:rsidRPr="00220129">
        <w:rPr>
          <w:color w:val="000000" w:themeColor="text1"/>
        </w:rPr>
        <w:t>immunocompromised animals</w:t>
      </w:r>
      <w:r w:rsidRPr="00220129">
        <w:rPr>
          <w:color w:val="000000" w:themeColor="text1"/>
        </w:rPr>
        <w:t xml:space="preserve"> </w:t>
      </w:r>
      <w:r>
        <w:t xml:space="preserve">are well curated, namely the bacteria </w:t>
      </w:r>
      <w:r w:rsidRPr="692906EA">
        <w:rPr>
          <w:i/>
          <w:iCs/>
        </w:rPr>
        <w:t>Pseudomonas aeruginosa</w:t>
      </w:r>
      <w:r>
        <w:t xml:space="preserve"> (748 PHIs) and the fungus </w:t>
      </w:r>
      <w:r w:rsidRPr="692906EA">
        <w:rPr>
          <w:i/>
          <w:iCs/>
        </w:rPr>
        <w:t>Fusarium oxysporum</w:t>
      </w:r>
      <w:r>
        <w:t xml:space="preserve"> (337 PHIs). The entries for the insect infecting biocontrol species </w:t>
      </w:r>
      <w:r w:rsidRPr="692906EA">
        <w:rPr>
          <w:i/>
          <w:iCs/>
        </w:rPr>
        <w:t>Beauveria bassiana</w:t>
      </w:r>
      <w:r>
        <w:t xml:space="preserve"> have increased considerably to 197 interactions.</w:t>
      </w:r>
    </w:p>
    <w:p w14:paraId="59E64AEC" w14:textId="77777777" w:rsidR="00411166" w:rsidRDefault="00411166">
      <w:pPr>
        <w:spacing w:before="240" w:after="240"/>
        <w:ind w:right="5"/>
      </w:pPr>
      <w:r>
        <w:t xml:space="preserve">Twelve plant-infecting </w:t>
      </w:r>
      <w:r>
        <w:rPr>
          <w:i/>
        </w:rPr>
        <w:t>Fusarium</w:t>
      </w:r>
      <w:r>
        <w:t xml:space="preserve"> species now provide 10.5% of all entries (2,348 interactions). Eight of these species infect cereals and contaminate the harvested grains with various </w:t>
      </w:r>
      <w:r>
        <w:lastRenderedPageBreak/>
        <w:t xml:space="preserve">mycotoxins which are harmful to humans and animals </w:t>
      </w:r>
      <w:r>
        <w:rPr>
          <w:noProof/>
        </w:rPr>
        <w:t>(36)</w:t>
      </w:r>
      <w:r>
        <w:t xml:space="preserve">. These mycotoxin-producing species contribute </w:t>
      </w:r>
      <w:proofErr w:type="gramStart"/>
      <w:r>
        <w:t>in</w:t>
      </w:r>
      <w:proofErr w:type="gramEnd"/>
      <w:r>
        <w:t xml:space="preserve"> total</w:t>
      </w:r>
      <w:r>
        <w:rPr>
          <w:color w:val="00FF00"/>
        </w:rPr>
        <w:t xml:space="preserve"> </w:t>
      </w:r>
      <w:r>
        <w:t xml:space="preserve">1,994 interaction entries and reside within the species complexes </w:t>
      </w:r>
      <w:r>
        <w:rPr>
          <w:i/>
        </w:rPr>
        <w:t>sambucinum</w:t>
      </w:r>
      <w:r>
        <w:t xml:space="preserve"> </w:t>
      </w:r>
      <w:r w:rsidRPr="00F86C3B">
        <w:t>(6 species)</w:t>
      </w:r>
      <w:r>
        <w:t xml:space="preserve"> or </w:t>
      </w:r>
      <w:r>
        <w:rPr>
          <w:i/>
        </w:rPr>
        <w:t>fujikuroi</w:t>
      </w:r>
      <w:r>
        <w:t xml:space="preserve"> </w:t>
      </w:r>
      <w:r w:rsidRPr="00F86C3B">
        <w:t>(3 species)</w:t>
      </w:r>
      <w:r>
        <w:t xml:space="preserve"> </w:t>
      </w:r>
      <w:r>
        <w:rPr>
          <w:noProof/>
        </w:rPr>
        <w:t>(37,38)</w:t>
      </w:r>
      <w:r>
        <w:t xml:space="preserve">. The other three </w:t>
      </w:r>
      <w:r>
        <w:rPr>
          <w:i/>
        </w:rPr>
        <w:t>Fusarium</w:t>
      </w:r>
      <w:r>
        <w:t xml:space="preserve"> species reside within the species complexes </w:t>
      </w:r>
      <w:r>
        <w:rPr>
          <w:i/>
        </w:rPr>
        <w:t xml:space="preserve">solani </w:t>
      </w:r>
      <w:r>
        <w:t xml:space="preserve">(2 species) or </w:t>
      </w:r>
      <w:r>
        <w:rPr>
          <w:i/>
        </w:rPr>
        <w:t>oxysporum</w:t>
      </w:r>
      <w:r>
        <w:t xml:space="preserve"> (1 species), and cause a range of disease types in various non-cereal monocotyledonous and dicotyledonous horticultural or arable species, and are not known to produce mycotoxins.</w:t>
      </w:r>
    </w:p>
    <w:p w14:paraId="72D52B54" w14:textId="77777777" w:rsidR="00411166" w:rsidRDefault="00411166">
      <w:pPr>
        <w:spacing w:before="240" w:after="240"/>
        <w:ind w:right="5"/>
      </w:pPr>
      <w:r>
        <w:t>There are 22 new host species in PHI-base version 4.17. This includes 16 plant species, five fish species and two crustacean species as either the natural host(s), or the surrogate model host for testing (</w:t>
      </w:r>
      <w:r w:rsidRPr="00AD63A7">
        <w:rPr>
          <w:b/>
        </w:rPr>
        <w:t>Supplementary Table 2</w:t>
      </w:r>
      <w:r>
        <w:t xml:space="preserve">). New fish test species include two species each of carp, grouper, and Senegalese sole. New plant species include three additional species to test effector functions, as well as two new host–pathogen interactions of emerging concern. New plant species curated for the first time include </w:t>
      </w:r>
      <w:r>
        <w:rPr>
          <w:i/>
        </w:rPr>
        <w:t>Beta vulgaris</w:t>
      </w:r>
      <w:r>
        <w:t xml:space="preserve">, </w:t>
      </w:r>
      <w:r>
        <w:rPr>
          <w:i/>
        </w:rPr>
        <w:t>Fraxinus excelsior</w:t>
      </w:r>
      <w:r>
        <w:t xml:space="preserve">, </w:t>
      </w:r>
      <w:r>
        <w:rPr>
          <w:i/>
        </w:rPr>
        <w:t>Panax ginseng</w:t>
      </w:r>
      <w:r>
        <w:t xml:space="preserve">, </w:t>
      </w:r>
      <w:r>
        <w:rPr>
          <w:i/>
        </w:rPr>
        <w:t>Trifolium pratense</w:t>
      </w:r>
      <w:r>
        <w:t xml:space="preserve"> and </w:t>
      </w:r>
      <w:r>
        <w:rPr>
          <w:i/>
        </w:rPr>
        <w:t>Vitis riparia</w:t>
      </w:r>
      <w:r>
        <w:t>.</w:t>
      </w:r>
    </w:p>
    <w:p w14:paraId="76EC2F6C" w14:textId="047F6106" w:rsidR="00411166" w:rsidRDefault="7308F284">
      <w:pPr>
        <w:spacing w:before="240" w:after="240"/>
        <w:ind w:right="5"/>
      </w:pPr>
      <w:r>
        <w:t xml:space="preserve">To permit taxonomically-wide interspecies comparisons, PHI-base has consistently assigned high-level phenotype annotations to all interaction entries </w:t>
      </w:r>
      <w:r w:rsidRPr="692906EA">
        <w:rPr>
          <w:noProof/>
        </w:rPr>
        <w:t>(21)</w:t>
      </w:r>
      <w:r>
        <w:t xml:space="preserve">. These phenotype annotations are summarised for the pathogen species in </w:t>
      </w:r>
      <w:r w:rsidRPr="692906EA">
        <w:rPr>
          <w:b/>
          <w:bCs/>
        </w:rPr>
        <w:t>Table 1</w:t>
      </w:r>
      <w:r>
        <w:t xml:space="preserve"> and for the host species in </w:t>
      </w:r>
      <w:r w:rsidRPr="692906EA">
        <w:rPr>
          <w:b/>
          <w:bCs/>
        </w:rPr>
        <w:t>Table 2</w:t>
      </w:r>
      <w:r>
        <w:t xml:space="preserve">. For pathogens, the ‘reduced virulence’ phenotype has the highest number of PHI annotations at 10,955 (48.9%), whereas the ‘loss of pathogenicity’ PHI phenotype has only 1,209 entries (5.4%), a split </w:t>
      </w:r>
      <w:bookmarkStart w:id="8" w:name="_Int_D8QAz1QW"/>
      <w:r>
        <w:t>similar to</w:t>
      </w:r>
      <w:bookmarkEnd w:id="8"/>
      <w:r>
        <w:t xml:space="preserve"> previous releases </w:t>
      </w:r>
      <w:r w:rsidRPr="692906EA">
        <w:rPr>
          <w:noProof/>
        </w:rPr>
        <w:t>(35)</w:t>
      </w:r>
      <w:r>
        <w:t xml:space="preserve">. The ‘loss of pathogenicity’ entries </w:t>
      </w:r>
      <w:bookmarkStart w:id="9" w:name="_Int_s8RoOQnx"/>
      <w:r>
        <w:t>are</w:t>
      </w:r>
      <w:bookmarkEnd w:id="9"/>
      <w:r>
        <w:t xml:space="preserve"> far more prevalent for the plant pathogens</w:t>
      </w:r>
      <w:r w:rsidR="440FC8CE">
        <w:t>,</w:t>
      </w:r>
      <w:r>
        <w:t xml:space="preserve"> at 67%. The number of genes with an ‘increased virulence’ PHI phenotype when a pathogen gene is modified or deleted now stands at 1,302 entries, a rise of 34% compared to the 2022 figure. More than half of these entries are for bacterial pathogens. For hosts, there has been a considerable rise (34%) in the number of interactions annotated with ‘increased virulence’ for vertebrate infecting pathogens (739 entries). This reflects the continuing efforts from the international research community to identify and inter-compare the negative regulators and feedback control points in different host–pathogen systems.</w:t>
      </w:r>
    </w:p>
    <w:p w14:paraId="5DE43074" w14:textId="103FEE6D" w:rsidR="00411166" w:rsidRDefault="7308F284">
      <w:pPr>
        <w:spacing w:before="240" w:after="240"/>
        <w:ind w:right="5"/>
      </w:pPr>
      <w:r>
        <w:t xml:space="preserve">Since 2016, a major curation effort for PHI-base has been to increase the coverage of pathogen effectors. An effector is an entity derived from a pathogenic or non-pathogenic species, that either activates or suppresses the host’s defensive responses or other responses </w:t>
      </w:r>
      <w:r w:rsidRPr="692906EA">
        <w:rPr>
          <w:noProof/>
        </w:rPr>
        <w:t>(39-42)</w:t>
      </w:r>
      <w:r>
        <w:t>. The number of curated pathogen effector proteins interacting directly with one or more host species is 830 genes tested in 3,117 interactions, an increase since version 4.12 of 26.3% and 18%, respectively. Effectors represent 14% of all interaction entries in PHI-base. Effector entries from 75 plant-infecting pathogenic species provide 86% of the curated interactions, whilst 14% of interaction entries are provided from 33 species infecting human, other vertebrates or invertebrates (</w:t>
      </w:r>
      <w:r w:rsidRPr="692906EA">
        <w:rPr>
          <w:b/>
          <w:bCs/>
        </w:rPr>
        <w:t>Table 4</w:t>
      </w:r>
      <w:r>
        <w:t xml:space="preserve">). Most of the plant interactions are contributed by non-cereal infecting bacteria, especially </w:t>
      </w:r>
      <w:r w:rsidRPr="692906EA">
        <w:rPr>
          <w:i/>
          <w:iCs/>
        </w:rPr>
        <w:t>Ralstonia solanacearum</w:t>
      </w:r>
      <w:r w:rsidR="158B02F4" w:rsidRPr="00220129">
        <w:rPr>
          <w:color w:val="000000" w:themeColor="text1"/>
        </w:rPr>
        <w:t xml:space="preserve"> (805 interactions, 83 genes), various</w:t>
      </w:r>
      <w:r w:rsidRPr="00220129">
        <w:rPr>
          <w:color w:val="000000" w:themeColor="text1"/>
        </w:rPr>
        <w:t xml:space="preserve"> </w:t>
      </w:r>
      <w:r w:rsidRPr="692906EA">
        <w:rPr>
          <w:i/>
          <w:iCs/>
        </w:rPr>
        <w:t xml:space="preserve">Xanthomonas </w:t>
      </w:r>
      <w:r>
        <w:t xml:space="preserve">species (469 interactions, 70 genes) and various </w:t>
      </w:r>
      <w:r w:rsidRPr="692906EA">
        <w:rPr>
          <w:i/>
          <w:iCs/>
        </w:rPr>
        <w:t>Pseudomonas</w:t>
      </w:r>
      <w:r>
        <w:t xml:space="preserve"> species (290 interactions, 93 genes). However, the number of fungal species infecting plant species that contribute effector entries has risen considerably from 21 to 37 species, and these interaction entries have risen by 62% to 681. Most fungal effector genes have been explored for the rice blast fungus </w:t>
      </w:r>
      <w:r w:rsidRPr="692906EA">
        <w:rPr>
          <w:i/>
          <w:iCs/>
        </w:rPr>
        <w:t>Magnaporthe oryzae</w:t>
      </w:r>
      <w:r>
        <w:t xml:space="preserve"> (35 interactions). Whilst interaction entry numbers are high for the wheat infecting fungus </w:t>
      </w:r>
      <w:r w:rsidRPr="692906EA">
        <w:rPr>
          <w:i/>
          <w:iCs/>
        </w:rPr>
        <w:t>Pyrenophora tritici-repentis</w:t>
      </w:r>
      <w:r>
        <w:t xml:space="preserve"> (138 interactions) and for the fungus </w:t>
      </w:r>
      <w:r w:rsidRPr="692906EA">
        <w:rPr>
          <w:i/>
          <w:iCs/>
        </w:rPr>
        <w:t>Colletotrichum orbiculare</w:t>
      </w:r>
      <w:r>
        <w:t xml:space="preserve"> (65 interactions) which causes disease on melon and cucumber fruit even though only two genes from each species have been investigated. The three model plant species,</w:t>
      </w:r>
      <w:r w:rsidRPr="692906EA">
        <w:rPr>
          <w:i/>
          <w:iCs/>
        </w:rPr>
        <w:t xml:space="preserve"> Nicotiana benthamiana</w:t>
      </w:r>
      <w:r>
        <w:t xml:space="preserve">, </w:t>
      </w:r>
      <w:r w:rsidRPr="692906EA">
        <w:rPr>
          <w:i/>
          <w:iCs/>
        </w:rPr>
        <w:t>Nicotiana tabacum</w:t>
      </w:r>
      <w:r>
        <w:t xml:space="preserve"> and </w:t>
      </w:r>
      <w:r w:rsidRPr="692906EA">
        <w:rPr>
          <w:i/>
          <w:iCs/>
        </w:rPr>
        <w:t>Arabidopsis thaliana</w:t>
      </w:r>
      <w:r>
        <w:t xml:space="preserve"> continue to provide a high proportion of the plant effector entries at 660 </w:t>
      </w:r>
      <w:r>
        <w:lastRenderedPageBreak/>
        <w:t xml:space="preserve">interaction (25%). Increasingly, in these </w:t>
      </w:r>
      <w:r w:rsidRPr="692906EA">
        <w:rPr>
          <w:i/>
          <w:iCs/>
        </w:rPr>
        <w:t>in planta</w:t>
      </w:r>
      <w:r>
        <w:t xml:space="preserve"> bioassays, research is focussed on comparing the induction of non-host responses and the consequences of race-specific </w:t>
      </w:r>
      <w:r w:rsidR="3BE6AACA" w:rsidRPr="00220129">
        <w:rPr>
          <w:color w:val="000000" w:themeColor="text1"/>
        </w:rPr>
        <w:t xml:space="preserve">interactions between resistance proteins and avirulence proteins </w:t>
      </w:r>
      <w:r>
        <w:t xml:space="preserve">and is also reporting on the various subcellular locations targeted by effector proteins, including chloroplasts, nuclei, and mitochondria </w:t>
      </w:r>
      <w:r w:rsidRPr="692906EA">
        <w:rPr>
          <w:noProof/>
        </w:rPr>
        <w:t>(39,43)</w:t>
      </w:r>
      <w:r>
        <w:t xml:space="preserve">. Curated effector studies involving human, vertebrate and model invertebrate hosts from bacterial pathogens continue to increase, with total entries now at 379 interactions, 203 genes and 31 species in version 4.17. </w:t>
      </w:r>
      <w:r w:rsidRPr="692906EA">
        <w:rPr>
          <w:i/>
          <w:iCs/>
        </w:rPr>
        <w:t>Salmonella enterica</w:t>
      </w:r>
      <w:r>
        <w:t xml:space="preserve"> still provides by far the highest number of entries (145 interactions, 90 genes), but there are a growing number of entries from</w:t>
      </w:r>
      <w:r w:rsidRPr="692906EA">
        <w:rPr>
          <w:i/>
          <w:iCs/>
        </w:rPr>
        <w:t xml:space="preserve"> Coxiella burnetii</w:t>
      </w:r>
      <w:r>
        <w:t xml:space="preserve">, </w:t>
      </w:r>
      <w:r w:rsidRPr="692906EA">
        <w:rPr>
          <w:i/>
          <w:iCs/>
        </w:rPr>
        <w:t xml:space="preserve">Legionella pneumophila </w:t>
      </w:r>
      <w:r>
        <w:t xml:space="preserve">and </w:t>
      </w:r>
      <w:r w:rsidRPr="692906EA">
        <w:rPr>
          <w:i/>
          <w:iCs/>
        </w:rPr>
        <w:t>Acinetobacter nosocomialis</w:t>
      </w:r>
      <w:r>
        <w:t xml:space="preserve">. Also of note for the first time are 13 effector entries from bacterial species from poor-quality water environments that cause diseases in fish species. The bacterial pathogens involved are </w:t>
      </w:r>
      <w:r w:rsidRPr="692906EA">
        <w:rPr>
          <w:i/>
          <w:iCs/>
        </w:rPr>
        <w:t>Edwardsiella ictaluri</w:t>
      </w:r>
      <w:r>
        <w:t xml:space="preserve"> and </w:t>
      </w:r>
      <w:r w:rsidRPr="692906EA">
        <w:rPr>
          <w:i/>
          <w:iCs/>
        </w:rPr>
        <w:t>Edwardsiella tarda</w:t>
      </w:r>
      <w:r>
        <w:t xml:space="preserve">, which cause either acute septicaemia or chronic encephalitis; </w:t>
      </w:r>
      <w:r w:rsidRPr="692906EA">
        <w:rPr>
          <w:i/>
          <w:iCs/>
        </w:rPr>
        <w:t>Aeromonas hydrophila,</w:t>
      </w:r>
      <w:r>
        <w:t xml:space="preserve"> which enters the blood and causes organ damage by producing a cytotoxic endotoxin; and </w:t>
      </w:r>
      <w:r w:rsidRPr="692906EA">
        <w:rPr>
          <w:i/>
          <w:iCs/>
        </w:rPr>
        <w:t>Aeromonas salmonicida,</w:t>
      </w:r>
      <w:r>
        <w:t xml:space="preserve"> which causes furunculosis, which includes sepsis and haemorrhaging. </w:t>
      </w:r>
      <w:r w:rsidRPr="692906EA">
        <w:rPr>
          <w:i/>
          <w:iCs/>
        </w:rPr>
        <w:t>Aeromonas hydrophila</w:t>
      </w:r>
      <w:r>
        <w:t xml:space="preserve"> is also a well-recognised human pathogen. Thirty-two bacterial effector entries involve five bacterial species of humans and/or vertebrates, which have been tested using the larvae of </w:t>
      </w:r>
      <w:r w:rsidRPr="692906EA">
        <w:rPr>
          <w:i/>
          <w:iCs/>
        </w:rPr>
        <w:t xml:space="preserve">Galleria mellonella </w:t>
      </w:r>
      <w:r>
        <w:t xml:space="preserve">(greater wax moth). This curation indicates the further gradual adoption of the 3Rs principles (replacement, reduction, refinement) by the international research community. The new plant host species contributing comparative effector entries are </w:t>
      </w:r>
      <w:r w:rsidRPr="692906EA">
        <w:rPr>
          <w:i/>
          <w:iCs/>
        </w:rPr>
        <w:t>Actinidia arguta</w:t>
      </w:r>
      <w:r>
        <w:t xml:space="preserve">, </w:t>
      </w:r>
      <w:r w:rsidRPr="692906EA">
        <w:rPr>
          <w:i/>
          <w:iCs/>
        </w:rPr>
        <w:t>Beta vulgaris</w:t>
      </w:r>
      <w:r>
        <w:t xml:space="preserve"> and </w:t>
      </w:r>
      <w:r w:rsidRPr="692906EA">
        <w:rPr>
          <w:i/>
          <w:iCs/>
        </w:rPr>
        <w:t>Solanum albicans</w:t>
      </w:r>
      <w:r>
        <w:t>.</w:t>
      </w:r>
    </w:p>
    <w:p w14:paraId="1623B37A" w14:textId="3EBF60A9" w:rsidR="00411166" w:rsidRDefault="7308F284">
      <w:pPr>
        <w:spacing w:before="240" w:after="240"/>
        <w:ind w:right="5"/>
      </w:pPr>
      <w:r>
        <w:t xml:space="preserve">There are growing concerns over the impacts of climate change on agricultural production systems and the transportation of fresh commodities and how these changes will affect global food and feed security. </w:t>
      </w:r>
      <w:r w:rsidR="44A7CB22" w:rsidRPr="00220129">
        <w:rPr>
          <w:color w:val="000000" w:themeColor="text1"/>
        </w:rPr>
        <w:t>Consequently</w:t>
      </w:r>
      <w:r w:rsidRPr="00220129">
        <w:rPr>
          <w:color w:val="000000" w:themeColor="text1"/>
        </w:rPr>
        <w:t xml:space="preserve">, </w:t>
      </w:r>
      <w:r w:rsidR="002456A9" w:rsidRPr="00220129">
        <w:rPr>
          <w:color w:val="000000" w:themeColor="text1"/>
        </w:rPr>
        <w:t>researchers across the globe are increasingly focussing on investigating pathogenic interactions involving the current crop plant species</w:t>
      </w:r>
      <w:r w:rsidR="008D676E" w:rsidRPr="00220129">
        <w:rPr>
          <w:color w:val="000000" w:themeColor="text1"/>
        </w:rPr>
        <w:t xml:space="preserve">, </w:t>
      </w:r>
      <w:r>
        <w:t xml:space="preserve">as well as new species anticipated to be grown in new regions, or grown at greater frequencies in the future. The interaction entries in PHI-base involving major food and feed crops continues to rise, and includes significant curation for wheat (2,106), rice (1,815), maize (902), barley (618), tomato (880), potato (175), soybean (207) and </w:t>
      </w:r>
      <w:r w:rsidRPr="692906EA">
        <w:rPr>
          <w:i/>
          <w:iCs/>
        </w:rPr>
        <w:t>Brassica</w:t>
      </w:r>
      <w:r>
        <w:t xml:space="preserve"> species (303). Collectively the 86 </w:t>
      </w:r>
      <w:r w:rsidR="7E0ABCB5" w:rsidRPr="00220129">
        <w:rPr>
          <w:color w:val="000000" w:themeColor="text1"/>
        </w:rPr>
        <w:t>crop</w:t>
      </w:r>
      <w:r>
        <w:t xml:space="preserve"> plant species provide 10,082 interaction entries, which is 85.6% of the total plant entries and involves 135 pathogenic species. The cereal species provide 5,510 interactions and involve 47 pathogenic species, including the fungi </w:t>
      </w:r>
      <w:r w:rsidRPr="692906EA">
        <w:rPr>
          <w:i/>
          <w:iCs/>
        </w:rPr>
        <w:t>Fusarium graminearum</w:t>
      </w:r>
      <w:r>
        <w:t xml:space="preserve">, </w:t>
      </w:r>
      <w:r w:rsidRPr="692906EA">
        <w:rPr>
          <w:i/>
          <w:iCs/>
        </w:rPr>
        <w:t>Magnaporthe oryzae</w:t>
      </w:r>
      <w:r>
        <w:t xml:space="preserve"> and </w:t>
      </w:r>
      <w:r w:rsidRPr="692906EA">
        <w:rPr>
          <w:i/>
          <w:iCs/>
        </w:rPr>
        <w:t>Ustilago maydis</w:t>
      </w:r>
      <w:r>
        <w:t xml:space="preserve"> (from the top 30 list) as well as other key global species, including the major wheat pathogens </w:t>
      </w:r>
      <w:r w:rsidRPr="692906EA">
        <w:rPr>
          <w:i/>
          <w:iCs/>
        </w:rPr>
        <w:t>Puccinia striiformis</w:t>
      </w:r>
      <w:r>
        <w:t xml:space="preserve"> and </w:t>
      </w:r>
      <w:r w:rsidRPr="692906EA">
        <w:rPr>
          <w:i/>
          <w:iCs/>
        </w:rPr>
        <w:t>Zymoseptoria tritici</w:t>
      </w:r>
      <w:r>
        <w:t xml:space="preserve"> – with 31 and 100 entries, respectively – and the major rice pathogens </w:t>
      </w:r>
      <w:r w:rsidRPr="692906EA">
        <w:rPr>
          <w:i/>
          <w:iCs/>
        </w:rPr>
        <w:t>Ustilaginoidea virens</w:t>
      </w:r>
      <w:r>
        <w:t xml:space="preserve"> and </w:t>
      </w:r>
      <w:r w:rsidRPr="692906EA">
        <w:rPr>
          <w:i/>
          <w:iCs/>
        </w:rPr>
        <w:t>Burkholderia glumae</w:t>
      </w:r>
      <w:r>
        <w:t>, with 37 and 74 entries, respectively.</w:t>
      </w:r>
    </w:p>
    <w:p w14:paraId="72A900EC" w14:textId="77777777" w:rsidR="00411166" w:rsidRDefault="00411166">
      <w:pPr>
        <w:pStyle w:val="Heading2"/>
        <w:spacing w:before="240" w:after="240"/>
        <w:ind w:right="5"/>
      </w:pPr>
      <w:bookmarkStart w:id="10" w:name="_d6khbpz58flp" w:colFirst="0" w:colLast="0"/>
      <w:bookmarkEnd w:id="10"/>
      <w:r>
        <w:t>Collaboration with Ensembl Genomes</w:t>
      </w:r>
    </w:p>
    <w:p w14:paraId="58954103" w14:textId="77777777" w:rsidR="00411166" w:rsidRPr="001229E9" w:rsidRDefault="00411166">
      <w:r>
        <w:t xml:space="preserve">Since November 2022, we have contributed data on molecular interactions and phenotypes to Ensembl Fungi, Ensembl Bacteria, and Ensembl Protists. More recently, </w:t>
      </w:r>
      <w:r w:rsidRPr="001229E9">
        <w:t>Ensembl developed a new data model (22) to capture interactions between any two entities (proteins, genes, mRNA</w:t>
      </w:r>
      <w:r>
        <w:t>,</w:t>
      </w:r>
      <w:r w:rsidRPr="001229E9">
        <w:t xml:space="preserve"> and small molecules) and built visualisations into their gene pages and R</w:t>
      </w:r>
      <w:r>
        <w:t xml:space="preserve">EST </w:t>
      </w:r>
      <w:r w:rsidRPr="001229E9">
        <w:t xml:space="preserve">APIs for querying. In collaboration with the Ensembl team, we developed new tabular formats to distribute datasets on pathogen–host interactions, gene-for-gene interactions, protein–protein interactions, and interactions between pathogens and antimicrobial chemicals (which describe changes in antimicrobial resistance). While these were primarily aimed at the </w:t>
      </w:r>
      <w:r w:rsidRPr="001229E9">
        <w:lastRenderedPageBreak/>
        <w:t xml:space="preserve">Ensembl data import pipeline, these are </w:t>
      </w:r>
      <w:r>
        <w:t xml:space="preserve">freely </w:t>
      </w:r>
      <w:r w:rsidRPr="001229E9">
        <w:t>available for any other resource to use as input.</w:t>
      </w:r>
    </w:p>
    <w:p w14:paraId="70EC03DA" w14:textId="77777777" w:rsidR="00411166" w:rsidRPr="001229E9" w:rsidRDefault="00411166">
      <w:r w:rsidRPr="001229E9">
        <w:t xml:space="preserve">As of September 2024, the following subset of PHI-base interactions </w:t>
      </w:r>
      <w:r>
        <w:t>has</w:t>
      </w:r>
      <w:r w:rsidRPr="001229E9">
        <w:t xml:space="preserve"> been loaded into Ensembl: 5,199 interactions from PHI-base 4.17 and 135 interactions from PHI-base 5.0, of which 55 are anti-infective microbial interactions. The Ensembl interactions schema was designed to aggregate relationships involving the same entities (e.g.</w:t>
      </w:r>
      <w:r>
        <w:t>,</w:t>
      </w:r>
      <w:r w:rsidRPr="001229E9">
        <w:t xml:space="preserve"> a protein) in a reference genome into a single record, linked to metadata about the experimental or environmental conditions in which the interaction was observed. Future modifications to disambiguate multiple mutations of the same protein and strain variations as unique records are being discussed, in order to be able to represent the full repertoire of the PHI-base data.</w:t>
      </w:r>
    </w:p>
    <w:p w14:paraId="295CB463" w14:textId="77777777" w:rsidR="00411166" w:rsidRDefault="00411166">
      <w:pPr>
        <w:pStyle w:val="Heading2"/>
        <w:ind w:right="5"/>
      </w:pPr>
      <w:bookmarkStart w:id="11" w:name="_7159en350jwd" w:colFirst="0" w:colLast="0"/>
      <w:bookmarkEnd w:id="11"/>
      <w:r>
        <w:t>Conserved Orthologous Gene analysis of PHI-base</w:t>
      </w:r>
    </w:p>
    <w:p w14:paraId="64810CE9" w14:textId="0502C8A3" w:rsidR="00411166" w:rsidRDefault="7308F284">
      <w:pPr>
        <w:ind w:right="5"/>
      </w:pPr>
      <w:r>
        <w:t xml:space="preserve">To explore the distribution of functional diversity, 7,545 out of 9,051 PHI proteins were mapped to orthologous groups across different functional categories using the eggNOG database (Release v2.1.9) </w:t>
      </w:r>
      <w:r w:rsidRPr="692906EA">
        <w:rPr>
          <w:noProof/>
        </w:rPr>
        <w:t>(44)</w:t>
      </w:r>
      <w:r>
        <w:t>. These proteins were mapped to broad functional categories and grouped by host specificity – ‘animal pathogen’, ‘wheat pathogen’ and ‘other plant pathogen’ – to investigate unique infection mechanisms and where the greatest functional knowledge currently resides. The mapping identifies several trends in functional allocation among the three pathogen groups (</w:t>
      </w:r>
      <w:r w:rsidRPr="692906EA">
        <w:rPr>
          <w:b/>
          <w:bCs/>
        </w:rPr>
        <w:t>Figure 1</w:t>
      </w:r>
      <w:r>
        <w:t xml:space="preserve">). </w:t>
      </w:r>
      <w:r w:rsidR="5FC184E6" w:rsidRPr="00220129">
        <w:rPr>
          <w:color w:val="000000" w:themeColor="text1"/>
        </w:rPr>
        <w:t xml:space="preserve">Datasets for these three nominated pathogen groups </w:t>
      </w:r>
      <w:r>
        <w:t xml:space="preserve">and data transformation scripts are accessible on Zenodo </w:t>
      </w:r>
      <w:r w:rsidRPr="692906EA">
        <w:rPr>
          <w:noProof/>
        </w:rPr>
        <w:t>(45)</w:t>
      </w:r>
      <w:r>
        <w:t xml:space="preserve">. Animal pathogens exhibit a wider diversity of functions, particularly in categories related to cell wall, cell membrane, and cell envelope biogenesis, and inorganic ion transport and metabolism, indicating specialised adaptations to their animal hosts. In contrast, wheat pathogens were enriched in proteins associated with chromatin structure and dynamics, suggesting the presence of unique regulatory mechanisms adapted to infect wheat. Other plant pathogens showed diverse functionalities, albeit with fewer specific enrichments compared to the other two categories. A significant portion of the PHI proteins (35%) could not be mapped in the eggNOG database or were categorised as having an unknown function. This observation aligns with a study by Vanni et al. (2022), which reported that about 30% of microbial sequences can not be functionally annotated, reduced from a previously higher reported value of 40%-60% of functionally unannotated proteins </w:t>
      </w:r>
      <w:r w:rsidRPr="692906EA">
        <w:rPr>
          <w:noProof/>
        </w:rPr>
        <w:t>(46)</w:t>
      </w:r>
      <w:r>
        <w:t>. Additional functional assays and experiments are needed to fill this functional annotation gap.</w:t>
      </w:r>
    </w:p>
    <w:p w14:paraId="45D92368" w14:textId="77777777" w:rsidR="00411166" w:rsidRDefault="00411166">
      <w:pPr>
        <w:pStyle w:val="Heading2"/>
        <w:ind w:right="5"/>
      </w:pPr>
      <w:bookmarkStart w:id="12" w:name="_ezoafzr027mw" w:colFirst="0" w:colLast="0"/>
      <w:bookmarkEnd w:id="12"/>
      <w:r>
        <w:t>Full release of PHI-base 5 and data migration</w:t>
      </w:r>
    </w:p>
    <w:p w14:paraId="363021AD" w14:textId="77777777" w:rsidR="00411166" w:rsidRDefault="00411166">
      <w:pPr>
        <w:ind w:right="5"/>
      </w:pPr>
      <w:r>
        <w:t xml:space="preserve">The first full release of PHI-base 5 (version 5.0) took place in March 2024. This release contains data from 81 publications, curated using PHI-Canto and the pathogen-host interaction phenotype ontology (PHIPO), plus curation from 4,686 publications migrated from PHI-base 4 to the new PHI-base 5 schema. The data content is described in </w:t>
      </w:r>
      <w:r w:rsidRPr="00026105">
        <w:rPr>
          <w:b/>
          <w:bCs/>
        </w:rPr>
        <w:t>Table 5</w:t>
      </w:r>
      <w:r>
        <w:t xml:space="preserve">. Of note are the new annotation types, many of which have been used to supply annotations that were previously unrepresented (or underrepresented) in PHI-base 4, such as </w:t>
      </w:r>
      <w:r>
        <w:rPr>
          <w:i/>
        </w:rPr>
        <w:t xml:space="preserve">Gene-for-Gene phenotype </w:t>
      </w:r>
      <w:r>
        <w:t xml:space="preserve">and </w:t>
      </w:r>
      <w:r>
        <w:rPr>
          <w:i/>
        </w:rPr>
        <w:t>Host phenotype</w:t>
      </w:r>
      <w:r>
        <w:t xml:space="preserve">. The PHI-base 5.0 dataset has been published on Zenodo </w:t>
      </w:r>
      <w:r>
        <w:rPr>
          <w:noProof/>
        </w:rPr>
        <w:t>(47)</w:t>
      </w:r>
      <w:r>
        <w:t>, where it is available both in its source JSON format, and as an Excel spreadsheet for ease of use.</w:t>
      </w:r>
    </w:p>
    <w:p w14:paraId="6F88BBF7" w14:textId="77777777" w:rsidR="00411166" w:rsidRDefault="00411166">
      <w:pPr>
        <w:ind w:right="5"/>
        <w:rPr>
          <w:b/>
          <w:highlight w:val="yellow"/>
        </w:rPr>
      </w:pPr>
      <w:r>
        <w:t xml:space="preserve">In total, 17,185 records were migrated from PHI-base 4.16, which is approximately 79% of the total number of records. PHI-base 4.17 was not used because data migration preceded its release. </w:t>
      </w:r>
      <w:r>
        <w:lastRenderedPageBreak/>
        <w:t>Since one record in PHI-base 4 may contain more than one phenotype, each record may generate more than one annotation in PHI-base 5. Consequently, the total number of annotations generated is 38,671, more than double the number of records (</w:t>
      </w:r>
      <w:r w:rsidRPr="00026105">
        <w:rPr>
          <w:b/>
          <w:bCs/>
        </w:rPr>
        <w:t>Table 5</w:t>
      </w:r>
      <w:r>
        <w:t xml:space="preserve">). The remaining 21% of records (4,490 records) could not be migrated due to several reasons, the most common being the lack of a valid UniProtKB accession number (2,616 records; 12.07% of the total number of records), which is required for compatibility with the schema used for curation in PHI-Canto. The other five reasons, and the number of records excluded because of them, are shown in </w:t>
      </w:r>
      <w:r w:rsidRPr="00AD63A7">
        <w:rPr>
          <w:b/>
        </w:rPr>
        <w:t>Supplementary Table 3.</w:t>
      </w:r>
    </w:p>
    <w:p w14:paraId="6B9FF5ED" w14:textId="77777777" w:rsidR="00411166" w:rsidRDefault="00411166">
      <w:pPr>
        <w:pStyle w:val="Heading2"/>
        <w:ind w:right="5"/>
      </w:pPr>
      <w:bookmarkStart w:id="13" w:name="_9ew5b0nq2n3t" w:colFirst="0" w:colLast="0"/>
      <w:bookmarkEnd w:id="13"/>
      <w:r>
        <w:t>Updates to the PHI-base 5 website</w:t>
      </w:r>
    </w:p>
    <w:p w14:paraId="72AA8765" w14:textId="69902883" w:rsidR="00411166" w:rsidRPr="00220129" w:rsidRDefault="7308F284" w:rsidP="692906EA">
      <w:pPr>
        <w:pBdr>
          <w:top w:val="nil"/>
          <w:left w:val="nil"/>
          <w:bottom w:val="nil"/>
          <w:right w:val="nil"/>
          <w:between w:val="nil"/>
        </w:pBdr>
        <w:ind w:right="5"/>
        <w:rPr>
          <w:color w:val="000000" w:themeColor="text1"/>
        </w:rPr>
      </w:pPr>
      <w:r w:rsidRPr="692906EA">
        <w:rPr>
          <w:color w:val="000000" w:themeColor="text1"/>
        </w:rPr>
        <w:t xml:space="preserve">Changes to the PHI-base 5 website since the last NAR article </w:t>
      </w:r>
      <w:r w:rsidRPr="692906EA">
        <w:rPr>
          <w:noProof/>
        </w:rPr>
        <w:t>(35)</w:t>
      </w:r>
      <w:r w:rsidRPr="692906EA">
        <w:rPr>
          <w:color w:val="000000" w:themeColor="text1"/>
        </w:rPr>
        <w:t xml:space="preserve"> (were </w:t>
      </w:r>
      <w:r w:rsidR="743BDF53" w:rsidRPr="00220129">
        <w:rPr>
          <w:color w:val="000000" w:themeColor="text1"/>
        </w:rPr>
        <w:t>focused</w:t>
      </w:r>
      <w:r w:rsidRPr="00220129">
        <w:rPr>
          <w:color w:val="000000" w:themeColor="text1"/>
        </w:rPr>
        <w:t xml:space="preserve"> </w:t>
      </w:r>
      <w:r w:rsidRPr="692906EA">
        <w:rPr>
          <w:color w:val="000000" w:themeColor="text1"/>
        </w:rPr>
        <w:t xml:space="preserve">on fixing bugs related to the display and loading of data: over 50 bugs were fixed </w:t>
      </w:r>
      <w:r w:rsidRPr="692906EA">
        <w:rPr>
          <w:noProof/>
        </w:rPr>
        <w:t>(48)</w:t>
      </w:r>
      <w:r>
        <w:t xml:space="preserve">. </w:t>
      </w:r>
      <w:r w:rsidRPr="692906EA">
        <w:rPr>
          <w:color w:val="000000" w:themeColor="text1"/>
        </w:rPr>
        <w:t>In particular, multiple issues related to the Advanced Search functionality</w:t>
      </w:r>
      <w:r>
        <w:t xml:space="preserve"> (</w:t>
      </w:r>
      <w:hyperlink r:id="rId12" w:anchor="/search-list-page">
        <w:r w:rsidRPr="692906EA">
          <w:rPr>
            <w:rFonts w:eastAsia="Roboto"/>
            <w:color w:val="0B57D0"/>
          </w:rPr>
          <w:t>https://phi5.phi-base.org/#/search-list-page</w:t>
        </w:r>
      </w:hyperlink>
      <w:r>
        <w:t xml:space="preserve">) </w:t>
      </w:r>
      <w:r w:rsidRPr="692906EA">
        <w:rPr>
          <w:color w:val="000000" w:themeColor="text1"/>
        </w:rPr>
        <w:t>were fixed, which now permits searching on a range of data types, including: pathogen or host gene, pathogen or host species, annotation type, the ontology term used for annotation (including disease names), the nine high-level terms used in PHI-base 4, experimental conditions, and publication year (for the source publication).</w:t>
      </w:r>
      <w:r w:rsidR="00FD2A2A">
        <w:rPr>
          <w:color w:val="000000" w:themeColor="text1"/>
        </w:rPr>
        <w:t xml:space="preserve"> </w:t>
      </w:r>
      <w:r w:rsidR="00DD2548" w:rsidRPr="00220129">
        <w:rPr>
          <w:color w:val="000000" w:themeColor="text1"/>
        </w:rPr>
        <w:t xml:space="preserve">Some examples of searches and their results are shown in Figure </w:t>
      </w:r>
      <w:r w:rsidR="00CA224C" w:rsidRPr="00220129">
        <w:rPr>
          <w:b/>
          <w:bCs/>
          <w:color w:val="000000" w:themeColor="text1"/>
        </w:rPr>
        <w:t>2</w:t>
      </w:r>
      <w:r w:rsidR="00DF5D9B" w:rsidRPr="00220129">
        <w:rPr>
          <w:color w:val="000000" w:themeColor="text1"/>
        </w:rPr>
        <w:t xml:space="preserve">; further examples are shown in Supplementary Figure </w:t>
      </w:r>
      <w:r w:rsidR="00CA224C" w:rsidRPr="00220129">
        <w:rPr>
          <w:b/>
          <w:bCs/>
          <w:color w:val="000000" w:themeColor="text1"/>
        </w:rPr>
        <w:t>1</w:t>
      </w:r>
      <w:r w:rsidR="00DF5D9B" w:rsidRPr="00220129">
        <w:rPr>
          <w:color w:val="000000" w:themeColor="text1"/>
        </w:rPr>
        <w:t>.</w:t>
      </w:r>
    </w:p>
    <w:p w14:paraId="1319291A" w14:textId="0AA8D450" w:rsidR="00411166" w:rsidRPr="00220129" w:rsidRDefault="000D7954">
      <w:pPr>
        <w:pBdr>
          <w:top w:val="nil"/>
          <w:left w:val="nil"/>
          <w:bottom w:val="nil"/>
          <w:right w:val="nil"/>
          <w:between w:val="nil"/>
        </w:pBdr>
        <w:ind w:right="5"/>
        <w:rPr>
          <w:color w:val="000000" w:themeColor="text1"/>
        </w:rPr>
      </w:pPr>
      <w:r w:rsidRPr="00220129">
        <w:rPr>
          <w:color w:val="000000" w:themeColor="text1"/>
        </w:rPr>
        <w:t xml:space="preserve">The Advanced Search returns a list of genes in PHI-base which match the search criteria. </w:t>
      </w:r>
      <w:r w:rsidR="00866C66" w:rsidRPr="00220129">
        <w:rPr>
          <w:color w:val="000000" w:themeColor="text1"/>
        </w:rPr>
        <w:t xml:space="preserve">Each gene links to a webpage for the gene </w:t>
      </w:r>
      <w:r w:rsidR="009652F6" w:rsidRPr="00220129">
        <w:rPr>
          <w:color w:val="000000" w:themeColor="text1"/>
        </w:rPr>
        <w:t xml:space="preserve">that contains </w:t>
      </w:r>
      <w:r w:rsidR="005617B3" w:rsidRPr="00220129">
        <w:rPr>
          <w:color w:val="000000" w:themeColor="text1"/>
        </w:rPr>
        <w:t xml:space="preserve">all annotations made to the gene, or </w:t>
      </w:r>
      <w:r w:rsidR="00360132" w:rsidRPr="00220129">
        <w:rPr>
          <w:color w:val="000000" w:themeColor="text1"/>
        </w:rPr>
        <w:t xml:space="preserve">annotations made </w:t>
      </w:r>
      <w:r w:rsidR="005617B3" w:rsidRPr="00220129">
        <w:rPr>
          <w:color w:val="000000" w:themeColor="text1"/>
        </w:rPr>
        <w:t>to interactions involving the gene.</w:t>
      </w:r>
      <w:r w:rsidR="0064542E" w:rsidRPr="00220129">
        <w:rPr>
          <w:color w:val="000000" w:themeColor="text1"/>
        </w:rPr>
        <w:t xml:space="preserve"> </w:t>
      </w:r>
      <w:r w:rsidR="00360132" w:rsidRPr="00220129">
        <w:rPr>
          <w:color w:val="000000" w:themeColor="text1"/>
        </w:rPr>
        <w:t>Each</w:t>
      </w:r>
      <w:r w:rsidR="0064542E" w:rsidRPr="00220129">
        <w:rPr>
          <w:color w:val="000000" w:themeColor="text1"/>
        </w:rPr>
        <w:t xml:space="preserve"> gene page is divided into sections for each annotation type, </w:t>
      </w:r>
      <w:r w:rsidR="007A3A6F" w:rsidRPr="00220129">
        <w:rPr>
          <w:color w:val="000000" w:themeColor="text1"/>
        </w:rPr>
        <w:t>with annotations grouped by their ontology term, then by the biological feature that was annotated with the term</w:t>
      </w:r>
      <w:r w:rsidR="00B12556" w:rsidRPr="00220129">
        <w:rPr>
          <w:color w:val="000000" w:themeColor="text1"/>
        </w:rPr>
        <w:t>. B</w:t>
      </w:r>
      <w:r w:rsidR="0000074B" w:rsidRPr="00220129">
        <w:rPr>
          <w:color w:val="000000" w:themeColor="text1"/>
        </w:rPr>
        <w:t xml:space="preserve">iological features include </w:t>
      </w:r>
      <w:r w:rsidR="00B12556" w:rsidRPr="00220129">
        <w:rPr>
          <w:color w:val="000000" w:themeColor="text1"/>
        </w:rPr>
        <w:t xml:space="preserve">genes, genotypes, and </w:t>
      </w:r>
      <w:r w:rsidR="00B12556" w:rsidRPr="00220129">
        <w:rPr>
          <w:i/>
          <w:iCs/>
          <w:color w:val="000000" w:themeColor="text1"/>
        </w:rPr>
        <w:t>metagenotypes</w:t>
      </w:r>
      <w:r w:rsidR="00B12556" w:rsidRPr="00220129">
        <w:rPr>
          <w:color w:val="000000" w:themeColor="text1"/>
        </w:rPr>
        <w:t xml:space="preserve"> (</w:t>
      </w:r>
      <w:r w:rsidR="008F1C7E" w:rsidRPr="00220129">
        <w:rPr>
          <w:color w:val="000000" w:themeColor="text1"/>
        </w:rPr>
        <w:t>a combined pathogen and host genotype that represents the interaction).</w:t>
      </w:r>
      <w:r w:rsidR="00027CBB" w:rsidRPr="00220129">
        <w:rPr>
          <w:color w:val="000000" w:themeColor="text1"/>
        </w:rPr>
        <w:t xml:space="preserve"> </w:t>
      </w:r>
      <w:r w:rsidR="00DB03B0" w:rsidRPr="00220129">
        <w:rPr>
          <w:color w:val="000000" w:themeColor="text1"/>
        </w:rPr>
        <w:t xml:space="preserve">Expanding an annotation shows </w:t>
      </w:r>
      <w:r w:rsidR="003B17A5" w:rsidRPr="00220129">
        <w:rPr>
          <w:color w:val="000000" w:themeColor="text1"/>
        </w:rPr>
        <w:t>additional information, including experimental evidence</w:t>
      </w:r>
      <w:r w:rsidR="005C7641" w:rsidRPr="00220129">
        <w:rPr>
          <w:color w:val="000000" w:themeColor="text1"/>
        </w:rPr>
        <w:t>, experimental conditions, and various secondary annotations</w:t>
      </w:r>
      <w:r w:rsidR="007524C5" w:rsidRPr="00220129">
        <w:rPr>
          <w:color w:val="000000" w:themeColor="text1"/>
        </w:rPr>
        <w:t xml:space="preserve">: </w:t>
      </w:r>
      <w:r w:rsidR="005C7641" w:rsidRPr="00220129">
        <w:rPr>
          <w:color w:val="000000" w:themeColor="text1"/>
        </w:rPr>
        <w:t>such as the host tissue infected</w:t>
      </w:r>
      <w:r w:rsidR="00627A85" w:rsidRPr="00220129">
        <w:rPr>
          <w:color w:val="000000" w:themeColor="text1"/>
        </w:rPr>
        <w:t xml:space="preserve"> and </w:t>
      </w:r>
      <w:r w:rsidR="007524C5" w:rsidRPr="00220129">
        <w:rPr>
          <w:color w:val="000000" w:themeColor="text1"/>
        </w:rPr>
        <w:t xml:space="preserve">the </w:t>
      </w:r>
      <w:r w:rsidR="00627A85" w:rsidRPr="00220129">
        <w:rPr>
          <w:color w:val="000000" w:themeColor="text1"/>
        </w:rPr>
        <w:t>change in infective ability of the pathogen</w:t>
      </w:r>
      <w:r w:rsidR="005C7641" w:rsidRPr="00220129">
        <w:rPr>
          <w:color w:val="000000" w:themeColor="text1"/>
        </w:rPr>
        <w:t xml:space="preserve"> (for interactions</w:t>
      </w:r>
      <w:r w:rsidR="00627A85" w:rsidRPr="00220129">
        <w:rPr>
          <w:color w:val="000000" w:themeColor="text1"/>
        </w:rPr>
        <w:t xml:space="preserve">), or the </w:t>
      </w:r>
      <w:r w:rsidR="00A4382A" w:rsidRPr="00220129">
        <w:rPr>
          <w:color w:val="000000" w:themeColor="text1"/>
        </w:rPr>
        <w:t xml:space="preserve">severity </w:t>
      </w:r>
      <w:r w:rsidR="00621544" w:rsidRPr="00220129">
        <w:rPr>
          <w:color w:val="000000" w:themeColor="text1"/>
        </w:rPr>
        <w:t xml:space="preserve">of the phenotype (for </w:t>
      </w:r>
      <w:r w:rsidR="00972B2F" w:rsidRPr="00220129">
        <w:rPr>
          <w:color w:val="000000" w:themeColor="text1"/>
        </w:rPr>
        <w:t>phenotype annotations on individual organisms).</w:t>
      </w:r>
    </w:p>
    <w:p w14:paraId="474A8437" w14:textId="77777777" w:rsidR="00411166" w:rsidRDefault="00411166">
      <w:pPr>
        <w:pStyle w:val="Heading2"/>
        <w:ind w:right="5"/>
      </w:pPr>
      <w:bookmarkStart w:id="14" w:name="_jbapfx88lww" w:colFirst="0" w:colLast="0"/>
      <w:bookmarkEnd w:id="14"/>
      <w:r>
        <w:t>New FAIR release formats for PHI-base 4</w:t>
      </w:r>
    </w:p>
    <w:p w14:paraId="10BF0D8C" w14:textId="74868F38" w:rsidR="00411166" w:rsidRDefault="7308F284">
      <w:pPr>
        <w:ind w:right="5"/>
      </w:pPr>
      <w:r>
        <w:t>Starting in September 2021, we have uploaded datasets from PHI-base 4 to the Zenodo data repository (</w:t>
      </w:r>
      <w:hyperlink r:id="rId13">
        <w:r w:rsidRPr="692906EA">
          <w:rPr>
            <w:color w:val="1155CC"/>
            <w:u w:val="single"/>
          </w:rPr>
          <w:t>https://zenodo.org/</w:t>
        </w:r>
      </w:hyperlink>
      <w:r>
        <w:t xml:space="preserve">) with the aim to increase compliance with the FAIR principles </w:t>
      </w:r>
      <w:r w:rsidRPr="692906EA">
        <w:rPr>
          <w:noProof/>
        </w:rPr>
        <w:t>(19,49)</w:t>
      </w:r>
      <w:r>
        <w:t xml:space="preserve"> . Specifically, </w:t>
      </w:r>
      <w:r w:rsidRPr="692906EA">
        <w:rPr>
          <w:i/>
          <w:iCs/>
        </w:rPr>
        <w:t xml:space="preserve">Findability </w:t>
      </w:r>
      <w:r>
        <w:t xml:space="preserve">is increased because Zenodo assigns a persistent DOI to each </w:t>
      </w:r>
      <w:r w:rsidR="3CE0440A" w:rsidRPr="00220129">
        <w:rPr>
          <w:color w:val="000000" w:themeColor="text1"/>
        </w:rPr>
        <w:t>dataset and</w:t>
      </w:r>
      <w:r w:rsidRPr="00220129">
        <w:rPr>
          <w:color w:val="000000" w:themeColor="text1"/>
        </w:rPr>
        <w:t xml:space="preserve"> </w:t>
      </w:r>
      <w:bookmarkStart w:id="15" w:name="_Int_0PdahOFW"/>
      <w:r>
        <w:t>indexes</w:t>
      </w:r>
      <w:bookmarkEnd w:id="15"/>
      <w:r>
        <w:t xml:space="preserve"> the dataset to enable ease of discovery. We chose not to upload versions prior to 4.12, because later releases include all data from earlier versions, and because data errors had been fixed in later versions.</w:t>
      </w:r>
    </w:p>
    <w:p w14:paraId="0C7765FD" w14:textId="77777777" w:rsidR="00411166" w:rsidRPr="00FD4B28" w:rsidRDefault="00411166">
      <w:pPr>
        <w:ind w:right="5"/>
        <w:rPr>
          <w:lang w:val="en-US"/>
        </w:rPr>
      </w:pPr>
      <w:r>
        <w:t>As of August 2024, datasets from PHI-base 4.12 to PHI-base 4.17 have been uploaded to Zenodo. Datasets from version 4.13 and later make use of the Data Package schema, which is part of the Frictionless Data framework (</w:t>
      </w:r>
      <w:hyperlink r:id="rId14">
        <w:r>
          <w:rPr>
            <w:color w:val="1155CC"/>
            <w:u w:val="single"/>
          </w:rPr>
          <w:t>https://frictionlessdata.io/</w:t>
        </w:r>
      </w:hyperlink>
      <w:r>
        <w:t xml:space="preserve">) </w:t>
      </w:r>
      <w:r>
        <w:rPr>
          <w:noProof/>
        </w:rPr>
        <w:t>(50)</w:t>
      </w:r>
      <w:r>
        <w:t xml:space="preserve">. This was done to better satisfy the FAIR principles of </w:t>
      </w:r>
      <w:r>
        <w:rPr>
          <w:i/>
        </w:rPr>
        <w:t xml:space="preserve">Reusability </w:t>
      </w:r>
      <w:r>
        <w:t xml:space="preserve">and </w:t>
      </w:r>
      <w:r>
        <w:rPr>
          <w:i/>
        </w:rPr>
        <w:t>Interoperability</w:t>
      </w:r>
      <w:r>
        <w:t xml:space="preserve">. Specifically, </w:t>
      </w:r>
      <w:r>
        <w:rPr>
          <w:i/>
        </w:rPr>
        <w:t xml:space="preserve">Reusability </w:t>
      </w:r>
      <w:r>
        <w:t xml:space="preserve">is increased due to the Data Package schema being a domain-relevant standard that provides rich metadata, including data usage licences. </w:t>
      </w:r>
      <w:r>
        <w:rPr>
          <w:i/>
        </w:rPr>
        <w:t>Interoperability</w:t>
      </w:r>
      <w:r>
        <w:t xml:space="preserve"> is increased by the Frictionless Framework providing a Python library (frictionless-py) </w:t>
      </w:r>
      <w:r w:rsidRPr="00FD4B28">
        <w:t>that provides an easy way for data consumers to extract and analyse the data for their own purposes</w:t>
      </w:r>
      <w:r>
        <w:rPr>
          <w:color w:val="000000"/>
        </w:rPr>
        <w:t>.</w:t>
      </w:r>
    </w:p>
    <w:p w14:paraId="5B90623E" w14:textId="77777777" w:rsidR="00411166" w:rsidRDefault="00411166">
      <w:pPr>
        <w:ind w:right="5"/>
        <w:rPr>
          <w:shd w:val="clear" w:color="auto" w:fill="CFE2F3"/>
        </w:rPr>
      </w:pPr>
      <w:r>
        <w:lastRenderedPageBreak/>
        <w:t xml:space="preserve">The publishing of these datasets on Zenodo was assisted by the development of a new data pipeline written in Python, called </w:t>
      </w:r>
      <w:r>
        <w:rPr>
          <w:i/>
        </w:rPr>
        <w:t xml:space="preserve">phi4pipeline </w:t>
      </w:r>
      <w:r>
        <w:rPr>
          <w:i/>
          <w:noProof/>
        </w:rPr>
        <w:t>(51)</w:t>
      </w:r>
      <w:r>
        <w:t>. This pipeline handles the generation of metadata and readme files – both for Zenodo and the Frictionless Data Package – and applies cleaning and validation to the dataset before upload.</w:t>
      </w:r>
    </w:p>
    <w:p w14:paraId="4D15BB5D" w14:textId="77777777" w:rsidR="00411166" w:rsidRDefault="00411166">
      <w:pPr>
        <w:pStyle w:val="Heading2"/>
        <w:keepNext w:val="0"/>
        <w:keepLines w:val="0"/>
        <w:ind w:right="5"/>
      </w:pPr>
      <w:bookmarkStart w:id="16" w:name="_5t3bgvyv1ks1" w:colFirst="0" w:colLast="0"/>
      <w:bookmarkEnd w:id="16"/>
      <w:r>
        <w:t>An Increasing Breadth of Use Case Studies</w:t>
      </w:r>
    </w:p>
    <w:p w14:paraId="55C1CCA1" w14:textId="77777777" w:rsidR="00411166" w:rsidRDefault="00411166">
      <w:pPr>
        <w:spacing w:before="240" w:after="240"/>
        <w:ind w:right="5"/>
      </w:pPr>
      <w:r>
        <w:t>PHI-base’s curated pathogen–host interaction data are used in a range of research studies. Since going online in 2005, PHI-base has been cited 943 times in the scientific literature. A complete list of these references can be found in the ‘About Us’ section for the PHI-base website.</w:t>
      </w:r>
    </w:p>
    <w:p w14:paraId="06D42145" w14:textId="2482AEFC" w:rsidR="00411166" w:rsidRDefault="7308F284">
      <w:pPr>
        <w:spacing w:before="240" w:after="240"/>
        <w:ind w:right="5"/>
      </w:pPr>
      <w:r>
        <w:t xml:space="preserve">To evaluate the impact and application of PHI-base, we reviewed studies that cited database use between 2020 and 2024. This review highlights the diverse range of PHI-base use cases and can guide future researchers in how to integrate PHI-base data into their studies. </w:t>
      </w:r>
      <w:bookmarkStart w:id="17" w:name="_Hlk180341431"/>
      <w:r>
        <w:t xml:space="preserve">Our analysis covered 493 research papers </w:t>
      </w:r>
      <w:r w:rsidR="39125630" w:rsidRPr="00220129">
        <w:rPr>
          <w:color w:val="000000" w:themeColor="text1"/>
        </w:rPr>
        <w:t xml:space="preserve">that cited usage of PHI-base version 4, </w:t>
      </w:r>
      <w:bookmarkEnd w:id="17"/>
      <w:r>
        <w:t>representing various pathogen–host interactions and environmental niches. PHI-base data were applied in tool development, bioinformatics research, and many other fields. The studies are distributed across different environments: crops (44%), human pathogens (16%), veterinary pathogens (6%), water (1%), and other natural and human modified niches (31%).</w:t>
      </w:r>
    </w:p>
    <w:p w14:paraId="130D134F" w14:textId="4525F4DF" w:rsidR="00411166" w:rsidRDefault="00411166">
      <w:pPr>
        <w:spacing w:before="240" w:after="240"/>
        <w:ind w:right="5"/>
      </w:pPr>
      <w:r>
        <w:t>From these articles, seven major use case categories were identified. These categories are:</w:t>
      </w:r>
      <w:r>
        <w:br/>
      </w:r>
      <w:r>
        <w:br/>
        <w:t xml:space="preserve">   1. </w:t>
      </w:r>
      <w:r>
        <w:rPr>
          <w:i/>
        </w:rPr>
        <w:t xml:space="preserve">Reviews and Resource Comparisons </w:t>
      </w:r>
      <w:r>
        <w:t>– Several studies involve comparisons of microbial databases and/or descriptions of genomic resources for pathogenic and non-pathogenic species. For instance, Li et al. (2020) reviewed and compared the contents, construction methods, and functionalities of nine bacterial databases to guide researchers in selecting appropriate resources for their studies</w:t>
      </w:r>
      <w:r w:rsidRPr="00C14ECC">
        <w:t xml:space="preserve"> </w:t>
      </w:r>
      <w:r>
        <w:rPr>
          <w:noProof/>
        </w:rPr>
        <w:t>(52)</w:t>
      </w:r>
      <w:r>
        <w:t xml:space="preserve">. A comprehensive review on advances in genomics, phylogenomics and proteomics resources and methods for </w:t>
      </w:r>
      <w:r>
        <w:rPr>
          <w:i/>
        </w:rPr>
        <w:t>Ascomycota</w:t>
      </w:r>
      <w:r>
        <w:t xml:space="preserve"> fungi is provided by Muggia et al. (2020) </w:t>
      </w:r>
      <w:r>
        <w:rPr>
          <w:noProof/>
        </w:rPr>
        <w:t>(53)</w:t>
      </w:r>
      <w:r>
        <w:t>.</w:t>
      </w:r>
      <w:r>
        <w:br/>
        <w:t xml:space="preserve">   </w:t>
      </w:r>
      <w:r>
        <w:rPr>
          <w:i/>
        </w:rPr>
        <w:t xml:space="preserve">2. Pathogen Functional Gene Characterisation </w:t>
      </w:r>
      <w:r>
        <w:t>–</w:t>
      </w:r>
      <w:r>
        <w:rPr>
          <w:i/>
        </w:rPr>
        <w:t xml:space="preserve"> </w:t>
      </w:r>
      <w:r>
        <w:t xml:space="preserve">Many studies have focused on pathogen gene characterisation through gene deletion and modification, particularly in genera and species, such as  </w:t>
      </w:r>
      <w:r>
        <w:rPr>
          <w:i/>
        </w:rPr>
        <w:t>Fusarium</w:t>
      </w:r>
      <w:r>
        <w:t xml:space="preserve">, </w:t>
      </w:r>
      <w:r>
        <w:rPr>
          <w:i/>
        </w:rPr>
        <w:t>Magnaporthe oryzae</w:t>
      </w:r>
      <w:r>
        <w:t xml:space="preserve">, and </w:t>
      </w:r>
      <w:r>
        <w:rPr>
          <w:i/>
        </w:rPr>
        <w:t>Botrytis cinerea</w:t>
      </w:r>
      <w:r>
        <w:t xml:space="preserve">. For instance, Du et al. (2024) compared </w:t>
      </w:r>
      <w:r>
        <w:rPr>
          <w:i/>
        </w:rPr>
        <w:t>Metarhizium anisopliae</w:t>
      </w:r>
      <w:r>
        <w:t xml:space="preserve"> and </w:t>
      </w:r>
      <w:r>
        <w:rPr>
          <w:i/>
        </w:rPr>
        <w:t>Metarhizium acridum</w:t>
      </w:r>
      <w:r>
        <w:t xml:space="preserve">, revealing that </w:t>
      </w:r>
      <w:r>
        <w:rPr>
          <w:i/>
        </w:rPr>
        <w:t>M. anisopliae</w:t>
      </w:r>
      <w:r>
        <w:t xml:space="preserve"> has 98 more virulence-related proteins, aiding host penetration and adaptation, along with differences in secondary metabolite gene clusters that affect pathogenicity </w:t>
      </w:r>
      <w:r>
        <w:rPr>
          <w:noProof/>
        </w:rPr>
        <w:t>(54)</w:t>
      </w:r>
      <w:r>
        <w:t xml:space="preserve">. Wernet et al. (2021) identified the small-secreted protein CyrA in the nematode-trapping fungus </w:t>
      </w:r>
      <w:r>
        <w:rPr>
          <w:i/>
        </w:rPr>
        <w:t>Duddingtonia flagrans</w:t>
      </w:r>
      <w:r>
        <w:t xml:space="preserve"> as being crucial for nematode capture, with deletion strains showing reduced virulence </w:t>
      </w:r>
      <w:r>
        <w:rPr>
          <w:noProof/>
        </w:rPr>
        <w:t>(55)</w:t>
      </w:r>
      <w:r>
        <w:t xml:space="preserve">. </w:t>
      </w:r>
      <w:r>
        <w:br/>
        <w:t xml:space="preserve">   </w:t>
      </w:r>
      <w:r>
        <w:rPr>
          <w:i/>
        </w:rPr>
        <w:t>3. Omics Studies</w:t>
      </w:r>
      <w:r>
        <w:t xml:space="preserve"> – PHI-base data play a crucial role in </w:t>
      </w:r>
      <w:r w:rsidR="00BB4861">
        <w:t>‘</w:t>
      </w:r>
      <w:r>
        <w:t>omics</w:t>
      </w:r>
      <w:r w:rsidR="00BB4861">
        <w:t>’</w:t>
      </w:r>
      <w:r>
        <w:t xml:space="preserve"> research, including whole genome analysis, phenotypic annotation, functional annotation of transcriptomics, proteomics, and/or metagenomics datasets. These studies also include a number of research articles on secondary metabolite clusters. Genome sequencing centres use PHI-base FASTA data to include phenotype annotations in their annotation pipelines. Researchers apply PHI-base to large-scale comparative genomics and pangenome analyses. For example, Amezrou et al. (2024) identified 19 candidate genes linked to quantitative pathogenicity and host adaptation in </w:t>
      </w:r>
      <w:r>
        <w:rPr>
          <w:i/>
        </w:rPr>
        <w:t>Zymoseptoria tritici</w:t>
      </w:r>
      <w:r>
        <w:t xml:space="preserve"> using a multi-host genome-wide association study </w:t>
      </w:r>
      <w:r>
        <w:rPr>
          <w:noProof/>
        </w:rPr>
        <w:t>(56)</w:t>
      </w:r>
      <w:r>
        <w:t>. Alouane and colleagues (2021) sequenced</w:t>
      </w:r>
      <w:r>
        <w:rPr>
          <w:i/>
        </w:rPr>
        <w:t xml:space="preserve"> </w:t>
      </w:r>
      <w:r>
        <w:t xml:space="preserve">eight </w:t>
      </w:r>
      <w:r>
        <w:rPr>
          <w:i/>
        </w:rPr>
        <w:t xml:space="preserve">Fusarium graminearum </w:t>
      </w:r>
      <w:r>
        <w:t xml:space="preserve">strains with diverse virulence phenotypes, and identified over 900 secreted protein clusters involved in host adaptation and aggressiveness </w:t>
      </w:r>
      <w:r>
        <w:rPr>
          <w:noProof/>
        </w:rPr>
        <w:t>(57)</w:t>
      </w:r>
      <w:r>
        <w:t>.</w:t>
      </w:r>
      <w:r>
        <w:rPr>
          <w:highlight w:val="yellow"/>
        </w:rPr>
        <w:br/>
      </w:r>
      <w:r>
        <w:t xml:space="preserve">   </w:t>
      </w:r>
      <w:r w:rsidRPr="006C3A61">
        <w:t>4</w:t>
      </w:r>
      <w:r>
        <w:rPr>
          <w:i/>
        </w:rPr>
        <w:t>. Microbial Discovery and Characterisation</w:t>
      </w:r>
      <w:r>
        <w:rPr>
          <w:b/>
          <w:i/>
        </w:rPr>
        <w:t xml:space="preserve"> </w:t>
      </w:r>
      <w:r>
        <w:t xml:space="preserve">– PHI-base supports the annotation of novel </w:t>
      </w:r>
      <w:r>
        <w:lastRenderedPageBreak/>
        <w:t xml:space="preserve">genomes and the assessment of their pathogenic potential. For example, Liu (2022) used PHI-base to characterise the halophilic Archaea </w:t>
      </w:r>
      <w:r>
        <w:rPr>
          <w:i/>
        </w:rPr>
        <w:t>Haloterrigena</w:t>
      </w:r>
      <w:r>
        <w:t xml:space="preserve"> obtained from salt lake environments </w:t>
      </w:r>
      <w:r>
        <w:rPr>
          <w:noProof/>
        </w:rPr>
        <w:t>(58)</w:t>
      </w:r>
      <w:r>
        <w:t xml:space="preserve">. Vannier et al. (2023) used metatranscriptomics to identify over 3,000 microbial genes involved in microbiota colonisation of plant roots within synthetic microbiota </w:t>
      </w:r>
      <w:r>
        <w:rPr>
          <w:noProof/>
        </w:rPr>
        <w:t>(59)</w:t>
      </w:r>
      <w:r>
        <w:t>. Here, the PHI-base PHIB-BLAST tool was used to identify homologues of differentially expressed fungal genes that had been previously functionally characterised.</w:t>
      </w:r>
      <w:r>
        <w:br/>
        <w:t xml:space="preserve">   </w:t>
      </w:r>
      <w:r>
        <w:rPr>
          <w:i/>
        </w:rPr>
        <w:t>5. Environmental and Niche Studies</w:t>
      </w:r>
      <w:r>
        <w:t xml:space="preserve"> – PHI-base data are utilised in research focused on pathogens residing within various environmental niches, including natural aquatic systems, crop ecosystems and human pathogens in clinical settings. For instance, in freshwater systems, the blue-green alga </w:t>
      </w:r>
      <w:r>
        <w:rPr>
          <w:i/>
        </w:rPr>
        <w:t>Microcystis</w:t>
      </w:r>
      <w:r>
        <w:t xml:space="preserve"> produces microcystin toxin, which is speculated to contribute to the spread of antibiotic microbial resistance genes by inducing stress responses and mutations in </w:t>
      </w:r>
      <w:r>
        <w:rPr>
          <w:i/>
        </w:rPr>
        <w:t>Pseudomonas, Proteobacteria,</w:t>
      </w:r>
      <w:r>
        <w:t xml:space="preserve"> and </w:t>
      </w:r>
      <w:r>
        <w:rPr>
          <w:i/>
        </w:rPr>
        <w:t>Bacteroidetes</w:t>
      </w:r>
      <w:r>
        <w:t xml:space="preserve"> </w:t>
      </w:r>
      <w:r>
        <w:rPr>
          <w:noProof/>
        </w:rPr>
        <w:t>(60)</w:t>
      </w:r>
      <w:r>
        <w:t xml:space="preserve">. Airborne pathogen detection is another emerging field in which researchers sequence the DNA (Air-seq) and/or RNA content of air samples for species-level identification. Giolai et al. (2024) demonstrated Air-seq’s ability to track agriculturally significant pathogens in crop fields and correlated their abundance with environmental factors such as weather </w:t>
      </w:r>
      <w:r>
        <w:rPr>
          <w:noProof/>
        </w:rPr>
        <w:t>(61)</w:t>
      </w:r>
      <w:r>
        <w:t>. PHI-base data were used in this study to confirm the presence of a wheat pathogen. Similarly, Nunez et al. (2023)</w:t>
      </w:r>
      <w:r>
        <w:rPr>
          <w:color w:val="00B0F0"/>
        </w:rPr>
        <w:t xml:space="preserve"> </w:t>
      </w:r>
      <w:r>
        <w:t xml:space="preserve">examined bioaerosols in hospitals and found pathogenic bacteria and fungi in both indoor and outdoor samples </w:t>
      </w:r>
      <w:r>
        <w:rPr>
          <w:noProof/>
        </w:rPr>
        <w:t>(62)</w:t>
      </w:r>
      <w:r>
        <w:t xml:space="preserve">. </w:t>
      </w:r>
      <w:r>
        <w:rPr>
          <w:color w:val="00B0F0"/>
        </w:rPr>
        <w:br/>
        <w:t xml:space="preserve">   </w:t>
      </w:r>
      <w:r>
        <w:rPr>
          <w:i/>
        </w:rPr>
        <w:t xml:space="preserve">6. Host-Pathogen Interaction and Predictive Models </w:t>
      </w:r>
      <w:r>
        <w:t xml:space="preserve">– PHI-base data are often used to predict host–pathogen interactions and develop computational models to study these relationships. Liu et al. (2022) employed a weighted gene co-expression network analysis (WGCNA) to identify gene modules and hub genes involved in </w:t>
      </w:r>
      <w:r>
        <w:rPr>
          <w:i/>
        </w:rPr>
        <w:t>Sporisorium scitamineum</w:t>
      </w:r>
      <w:r>
        <w:t xml:space="preserve"> infection of sugarcane </w:t>
      </w:r>
      <w:r>
        <w:rPr>
          <w:noProof/>
        </w:rPr>
        <w:t>(63)</w:t>
      </w:r>
      <w:r>
        <w:t xml:space="preserve">. Of the 83 identified PHI-base homologues, 62 were linked to pathogen virulence, highlighting the use of PHI-base in understanding early infection mechanisms. Guerrero-Egido et al. (2024) developed bacLIFE, a computational workflow for predicting lifestyle-associated genes (LAGs) in bacteria. Their analysis of 16,846 bacterial genomes identified key LAGs involved in plant-pathogenic lifestyles which were confirmed by plant bioassays and PHI-base data </w:t>
      </w:r>
      <w:r>
        <w:rPr>
          <w:noProof/>
        </w:rPr>
        <w:t>(64)</w:t>
      </w:r>
      <w:r>
        <w:t>.</w:t>
      </w:r>
      <w:r>
        <w:br/>
        <w:t xml:space="preserve">   </w:t>
      </w:r>
      <w:r>
        <w:rPr>
          <w:i/>
        </w:rPr>
        <w:t>7. Bioinformatics Tools and Computational Platforms</w:t>
      </w:r>
      <w:r>
        <w:t xml:space="preserve"> – Several articles describe and discuss the development of novel computational tools and platforms that use PHI-base to provide pathogen-host interaction data. Wang et al. (2021) developed BastionHub, a universal platform integrating and analysing substrates secreted by Gram-negative bacteria. BastionHub incorporates multiple secretion systems and provides tools for substrate prediction and analysis </w:t>
      </w:r>
      <w:r>
        <w:rPr>
          <w:noProof/>
        </w:rPr>
        <w:t>(65)</w:t>
      </w:r>
      <w:r>
        <w:t xml:space="preserve">. Rozano et al. (2024) used the effector proteins stored in PHI-base to assess template-based modelling for its ability to model the structure of fungal candidate effector proteins obtained from bioinformatics analysis </w:t>
      </w:r>
      <w:r>
        <w:rPr>
          <w:noProof/>
        </w:rPr>
        <w:t>(66)</w:t>
      </w:r>
      <w:r>
        <w:t>.</w:t>
      </w:r>
      <w:r>
        <w:br/>
        <w:t xml:space="preserve">   In summary, PHI-base’s curated pathogen–host interaction data are used in an increasing variety of research studies from gene characterisation, </w:t>
      </w:r>
      <w:r w:rsidR="00BB4861">
        <w:t>‘</w:t>
      </w:r>
      <w:r>
        <w:t>omics</w:t>
      </w:r>
      <w:r w:rsidR="00BB4861">
        <w:t>’</w:t>
      </w:r>
      <w:r>
        <w:t xml:space="preserve"> studies, new microbial species annotation, environmental studies, to bioinformatics tool development. </w:t>
      </w:r>
    </w:p>
    <w:p w14:paraId="77AA7CDC" w14:textId="77777777" w:rsidR="00411166" w:rsidRDefault="7308F284">
      <w:pPr>
        <w:pStyle w:val="Heading1"/>
        <w:ind w:right="5"/>
      </w:pPr>
      <w:bookmarkStart w:id="18" w:name="_m76gmh5m5kl4"/>
      <w:bookmarkStart w:id="19" w:name="_Int_p0wE5MpS"/>
      <w:bookmarkEnd w:id="18"/>
      <w:r>
        <w:t>Future plans</w:t>
      </w:r>
      <w:bookmarkEnd w:id="19"/>
    </w:p>
    <w:p w14:paraId="628508D8" w14:textId="77777777" w:rsidR="00411166" w:rsidRDefault="00411166">
      <w:pPr>
        <w:ind w:right="5"/>
      </w:pPr>
      <w:r>
        <w:t>Within a year from the date of this publication, we aim to migrate as much as possible of the remaining 22% of records not yet migrated from PHI-base 4 into PHI-base 5. Any records that cannot be migrated will be kept in the PHI-base 4 releases on Zenodo, and a list of any unmigrated records will be included in future PHI-base 5 dataset releases.</w:t>
      </w:r>
    </w:p>
    <w:p w14:paraId="24B1294D" w14:textId="77777777" w:rsidR="00411166" w:rsidRDefault="00411166">
      <w:pPr>
        <w:ind w:right="5"/>
      </w:pPr>
      <w:r>
        <w:t>Following the release of PHI-base version 4.19, scheduled for May 2025, and after completing the data migration process, all future data releases will adopt the PHI-base 5 schema, and the PHI-</w:t>
      </w:r>
      <w:r>
        <w:lastRenderedPageBreak/>
        <w:t xml:space="preserve">base 5 website will become the main website for accessing PHI-base. </w:t>
      </w:r>
      <w:r>
        <w:rPr>
          <w:color w:val="000000"/>
        </w:rPr>
        <w:t xml:space="preserve">This means that </w:t>
      </w:r>
      <w:hyperlink r:id="rId15" w:history="1">
        <w:r>
          <w:rPr>
            <w:rStyle w:val="Hyperlink"/>
            <w:color w:val="1155CC"/>
          </w:rPr>
          <w:t>www.phi-base.org</w:t>
        </w:r>
      </w:hyperlink>
      <w:r>
        <w:rPr>
          <w:color w:val="000000"/>
        </w:rPr>
        <w:t xml:space="preserve"> will direct users to the PHI-base 5 website, while the PHI-base 4 website will be archived on a subdomain (provisionally named phi4.phi-base.org). The current subdomain for PHI-base 5 (</w:t>
      </w:r>
      <w:hyperlink r:id="rId16" w:history="1">
        <w:r>
          <w:rPr>
            <w:rStyle w:val="Hyperlink"/>
            <w:color w:val="1155CC"/>
          </w:rPr>
          <w:t>phi5.phi-base.org</w:t>
        </w:r>
      </w:hyperlink>
      <w:r>
        <w:rPr>
          <w:color w:val="000000"/>
        </w:rPr>
        <w:t>) will redirect users to the top-level domain.</w:t>
      </w:r>
    </w:p>
    <w:p w14:paraId="3B8A38DA" w14:textId="77777777" w:rsidR="00411166" w:rsidRDefault="00411166">
      <w:pPr>
        <w:ind w:right="5"/>
      </w:pPr>
      <w:r>
        <w:t xml:space="preserve">We aim to complete the development of, and publish, an automated data pipeline for PHI-base 5, which will handle the release and validation of future datasets. We also aim to add support for the Frictionless Data Package Schema to the PHI-base 5 dataset. Furthermore, we plan to implement cross-linking between the NCBI database and PHI-base in 2025, allowing users to access PHI phenotype data directly from relevant NCBI gene records. This link-out feature will enhance data connectivity, potentially reaching new user groups who may not be familiar with PHI-base. </w:t>
      </w:r>
      <w:r>
        <w:rPr>
          <w:color w:val="000000"/>
        </w:rPr>
        <w:t>In addition, we intend to explore any possibility to increase the amount of PHI-base annotation that can be displayed in the Ensembl databases, including Ensembl Plants and Ensembl Vertebrates, such as adding support for the display of multiple mutations and variation in the pathogen or host strain. This is particularly relevant to annotation entries for the first direct host targets of pathogen effectors.</w:t>
      </w:r>
    </w:p>
    <w:p w14:paraId="40B3E0C8" w14:textId="5AA9FCEB" w:rsidR="00411166" w:rsidRDefault="7308F284">
      <w:pPr>
        <w:ind w:right="5"/>
      </w:pPr>
      <w:r>
        <w:t xml:space="preserve">The curation of anti-infective chemistry is predicted to rise considerably in the near future, driven by the community's use of the new curation workflow in PHI-Canto </w:t>
      </w:r>
      <w:r w:rsidRPr="692906EA">
        <w:rPr>
          <w:noProof/>
        </w:rPr>
        <w:t>(34)</w:t>
      </w:r>
      <w:r>
        <w:t xml:space="preserve"> and through outreach to specific journal editors to encourage inclusion of data deposition and annotation by authors during manuscript submission. To ensure peer-reviewed articles are fully in-scope for curation, authors will need to deposit the promoter and gene sequences for the known chemistry target site for each strain investigated and phenotyped into a public repository. This additional information will make strain</w:t>
      </w:r>
      <w:r w:rsidRPr="00220129">
        <w:rPr>
          <w:color w:val="000000" w:themeColor="text1"/>
        </w:rPr>
        <w:t>-</w:t>
      </w:r>
      <w:r w:rsidR="2BEE4EAB" w:rsidRPr="00220129">
        <w:rPr>
          <w:color w:val="000000" w:themeColor="text1"/>
        </w:rPr>
        <w:t>specific</w:t>
      </w:r>
      <w:r w:rsidRPr="00220129">
        <w:rPr>
          <w:color w:val="000000" w:themeColor="text1"/>
        </w:rPr>
        <w:t xml:space="preserve"> </w:t>
      </w:r>
      <w:r>
        <w:t>differences in the interaction outcome directly evident through the gene-centric display in PHI-base 5. It will also support growing national and international efforts to identify the cohort of strains suspected of harbouring second-site mutations that contribute to increased resistance to multiple antimicrobial chemistries.</w:t>
      </w:r>
    </w:p>
    <w:p w14:paraId="4FC32D79" w14:textId="5C2FE7A7" w:rsidR="00411166" w:rsidRDefault="00411166">
      <w:pPr>
        <w:ind w:right="5"/>
      </w:pPr>
      <w:r>
        <w:t>In the long term, we aim to investigate, with our collaborators and other researchers, ways</w:t>
      </w:r>
      <w:r>
        <w:rPr>
          <w:b/>
        </w:rPr>
        <w:t xml:space="preserve"> </w:t>
      </w:r>
      <w:r>
        <w:t xml:space="preserve">to enhance PHI-base with recommender systems, machine learning and artificial intelligence methods </w:t>
      </w:r>
      <w:r>
        <w:rPr>
          <w:noProof/>
        </w:rPr>
        <w:t>(67)</w:t>
      </w:r>
      <w:r>
        <w:t>. These methods will be used to assist our manual curation process in various ways, such as automating literature triage, extraction of gene names, ontology terms, and other entities of interest from publications, and derivation of annotations from figures (images) and tables. To assist PHI-base users, we are exploring the addition of conversational search to a future PHI-base version, and a personalisation system where users can be notified of any newly curated information based on their research interest</w:t>
      </w:r>
      <w:r w:rsidR="00BB4861">
        <w:t>s</w:t>
      </w:r>
      <w:r>
        <w:t>.</w:t>
      </w:r>
    </w:p>
    <w:p w14:paraId="0DB46C7A" w14:textId="77777777" w:rsidR="00411166" w:rsidRDefault="00411166">
      <w:pPr>
        <w:ind w:right="5"/>
      </w:pPr>
      <w:r>
        <w:t>We expect that during 2025 – the 20th anniversary year of PHI-base – we will pass the milestone of 10,000 genes curated. We predict that this continually increasing wealth of new knowledge, arising from manually curating the peer-reviewed host–pathogen interactions literature, for such a diverse repertoire of plant, animal, human and invertebrate infecting species, will prove invaluable for multiple new types of investigations. For example: with regard to One Health when investigating inter-kingdom dependencies; with regard to climate change when exploring short and longer-term impacts and co-dependencies on pathogen genome evolution; and for new types of network analyses driven by machine learning, to delve deeper into the mechanisms that control pathogenicity, disease formation, host resistance or antimicrobial resistance.</w:t>
      </w:r>
    </w:p>
    <w:p w14:paraId="5DB23EEA" w14:textId="77777777" w:rsidR="00411166" w:rsidRDefault="00411166">
      <w:pPr>
        <w:pStyle w:val="Heading1"/>
        <w:ind w:right="5"/>
      </w:pPr>
      <w:bookmarkStart w:id="20" w:name="_bn821xgv21j" w:colFirst="0" w:colLast="0"/>
      <w:bookmarkEnd w:id="20"/>
      <w:r>
        <w:lastRenderedPageBreak/>
        <w:t>Data Availability</w:t>
      </w:r>
    </w:p>
    <w:p w14:paraId="1A24727F" w14:textId="77777777" w:rsidR="00411166" w:rsidRPr="00D925A7" w:rsidRDefault="00411166">
      <w:pPr>
        <w:rPr>
          <w:color w:val="000000"/>
        </w:rPr>
      </w:pPr>
      <w:r>
        <w:rPr>
          <w:color w:val="000000"/>
        </w:rPr>
        <w:t>PHI-base data is freely accessible through multiple platforms. PHI-base 4 datasets can be accessed via the PHI-base 4 website at</w:t>
      </w:r>
      <w:hyperlink r:id="rId17" w:history="1">
        <w:r w:rsidRPr="00D925A7">
          <w:rPr>
            <w:color w:val="000000"/>
          </w:rPr>
          <w:t xml:space="preserve"> http://www.phi-base.org</w:t>
        </w:r>
      </w:hyperlink>
      <w:r>
        <w:rPr>
          <w:color w:val="000000"/>
        </w:rPr>
        <w:t xml:space="preserve"> and archived on Zenodo at</w:t>
      </w:r>
      <w:hyperlink r:id="rId18" w:history="1">
        <w:r w:rsidRPr="00D925A7">
          <w:rPr>
            <w:color w:val="000000"/>
          </w:rPr>
          <w:t xml:space="preserve"> https://doi.org/10.5281/zenodo.5356870</w:t>
        </w:r>
      </w:hyperlink>
      <w:r>
        <w:rPr>
          <w:color w:val="000000"/>
        </w:rPr>
        <w:t>. PHI-base 5, the most recent version with improved functionality, is available at</w:t>
      </w:r>
      <w:hyperlink r:id="rId19" w:history="1">
        <w:r w:rsidRPr="00D925A7">
          <w:rPr>
            <w:color w:val="000000"/>
          </w:rPr>
          <w:t xml:space="preserve"> https://phi5.phi-base.org</w:t>
        </w:r>
      </w:hyperlink>
      <w:r>
        <w:rPr>
          <w:color w:val="000000"/>
        </w:rPr>
        <w:t xml:space="preserve"> and its corresponding datasets are archived on Zenodo at</w:t>
      </w:r>
      <w:hyperlink r:id="rId20" w:history="1">
        <w:r w:rsidRPr="00D925A7">
          <w:rPr>
            <w:color w:val="000000"/>
          </w:rPr>
          <w:t xml:space="preserve"> </w:t>
        </w:r>
        <w:r>
          <w:rPr>
            <w:color w:val="000000"/>
          </w:rPr>
          <w:t xml:space="preserve">DOI </w:t>
        </w:r>
        <w:r w:rsidRPr="00D925A7">
          <w:rPr>
            <w:color w:val="000000"/>
          </w:rPr>
          <w:t>10.5281/zenodo.10722192</w:t>
        </w:r>
      </w:hyperlink>
      <w:r>
        <w:rPr>
          <w:color w:val="000000"/>
        </w:rPr>
        <w:t>. Researchers can query pathogen-host interaction data through PHIB-BLAST at</w:t>
      </w:r>
      <w:hyperlink r:id="rId21" w:history="1">
        <w:r w:rsidRPr="00D925A7">
          <w:rPr>
            <w:color w:val="000000"/>
          </w:rPr>
          <w:t xml:space="preserve"> http://phi-blast.phi-base.org</w:t>
        </w:r>
      </w:hyperlink>
      <w:r>
        <w:rPr>
          <w:color w:val="000000"/>
        </w:rPr>
        <w:t xml:space="preserve"> and curate data using the PHI-Canto interface at</w:t>
      </w:r>
      <w:hyperlink r:id="rId22" w:history="1">
        <w:r w:rsidRPr="00D925A7">
          <w:rPr>
            <w:color w:val="000000"/>
          </w:rPr>
          <w:t xml:space="preserve"> https://canto.phi-base.org</w:t>
        </w:r>
      </w:hyperlink>
      <w:r>
        <w:rPr>
          <w:color w:val="000000"/>
        </w:rPr>
        <w:t>. Phenotypic data is mapped to the PHIPO ontology, available at</w:t>
      </w:r>
      <w:hyperlink r:id="rId23" w:history="1">
        <w:r w:rsidRPr="00D925A7">
          <w:rPr>
            <w:color w:val="000000"/>
          </w:rPr>
          <w:t xml:space="preserve"> https://obofoundry.org/ontology/phipo.html</w:t>
        </w:r>
      </w:hyperlink>
      <w:r>
        <w:rPr>
          <w:color w:val="000000"/>
        </w:rPr>
        <w:t>.</w:t>
      </w:r>
    </w:p>
    <w:p w14:paraId="034943AA" w14:textId="77777777" w:rsidR="00411166" w:rsidRDefault="00411166">
      <w:pPr>
        <w:rPr>
          <w:color w:val="000000"/>
        </w:rPr>
      </w:pPr>
      <w:r>
        <w:rPr>
          <w:color w:val="000000"/>
        </w:rPr>
        <w:t>Additional PHI-base data is integrated with external platforms such as Ensembl Genomes, available at</w:t>
      </w:r>
      <w:hyperlink r:id="rId24" w:history="1">
        <w:r w:rsidRPr="00D925A7">
          <w:t xml:space="preserve"> </w:t>
        </w:r>
        <w:r w:rsidRPr="00D925A7">
          <w:rPr>
            <w:color w:val="000000"/>
          </w:rPr>
          <w:t>https://ensemblgenomes.org</w:t>
        </w:r>
      </w:hyperlink>
      <w:r>
        <w:rPr>
          <w:color w:val="000000"/>
        </w:rPr>
        <w:t>. KnetMiner is accessible at</w:t>
      </w:r>
      <w:hyperlink r:id="rId25" w:history="1">
        <w:r w:rsidRPr="00D925A7">
          <w:t xml:space="preserve"> </w:t>
        </w:r>
        <w:r w:rsidRPr="00D925A7">
          <w:rPr>
            <w:color w:val="000000"/>
          </w:rPr>
          <w:t>https://knetminer.com</w:t>
        </w:r>
      </w:hyperlink>
      <w:r>
        <w:rPr>
          <w:color w:val="000000"/>
        </w:rPr>
        <w:t>, FungiDB at</w:t>
      </w:r>
      <w:hyperlink r:id="rId26" w:history="1">
        <w:r w:rsidRPr="00D925A7">
          <w:t xml:space="preserve"> </w:t>
        </w:r>
        <w:r w:rsidRPr="00D925A7">
          <w:rPr>
            <w:color w:val="000000"/>
          </w:rPr>
          <w:t>https://fungidb.org/fungidb/app</w:t>
        </w:r>
      </w:hyperlink>
      <w:r>
        <w:rPr>
          <w:color w:val="000000"/>
        </w:rPr>
        <w:t>, and UniProtKB at</w:t>
      </w:r>
      <w:hyperlink r:id="rId27" w:history="1">
        <w:r w:rsidRPr="00D925A7">
          <w:t xml:space="preserve"> </w:t>
        </w:r>
        <w:r w:rsidRPr="00D925A7">
          <w:rPr>
            <w:color w:val="000000"/>
          </w:rPr>
          <w:t>https://www.uniprot.org</w:t>
        </w:r>
      </w:hyperlink>
      <w:r>
        <w:rPr>
          <w:color w:val="000000"/>
        </w:rPr>
        <w:t>. PHI-base code and resources can be accessed at</w:t>
      </w:r>
      <w:hyperlink r:id="rId28" w:history="1">
        <w:r w:rsidRPr="00D925A7">
          <w:t xml:space="preserve"> </w:t>
        </w:r>
        <w:r w:rsidRPr="00D925A7">
          <w:rPr>
            <w:color w:val="000000"/>
          </w:rPr>
          <w:t>https://github.com/PHI-base</w:t>
        </w:r>
      </w:hyperlink>
      <w:r>
        <w:rPr>
          <w:color w:val="000000"/>
        </w:rPr>
        <w:t>.</w:t>
      </w:r>
      <w:r w:rsidRPr="00D925A7">
        <w:rPr>
          <w:color w:val="000000"/>
        </w:rPr>
        <w:t xml:space="preserve"> </w:t>
      </w:r>
      <w:r>
        <w:rPr>
          <w:color w:val="000000"/>
        </w:rPr>
        <w:t>The functional annotation scripts using eggNOG-mapper are available on GitHub at</w:t>
      </w:r>
      <w:hyperlink r:id="rId29" w:history="1">
        <w:r w:rsidRPr="00D925A7">
          <w:t xml:space="preserve"> </w:t>
        </w:r>
        <w:r w:rsidRPr="00D925A7">
          <w:rPr>
            <w:color w:val="000000"/>
          </w:rPr>
          <w:t>https://github.com/PHI-base/FunCat</w:t>
        </w:r>
      </w:hyperlink>
      <w:r>
        <w:rPr>
          <w:color w:val="000000"/>
        </w:rPr>
        <w:t xml:space="preserve"> and archived on Zenodo with DOI 10.5281/zenodo.13730172. The phi4pipeline is available on GitHub at </w:t>
      </w:r>
      <w:r w:rsidRPr="00B44CAD">
        <w:t>https://github.com/PHI-base/phi4pipeline</w:t>
      </w:r>
      <w:r>
        <w:rPr>
          <w:color w:val="000000"/>
        </w:rPr>
        <w:t xml:space="preserve"> and Zenodo with DOI </w:t>
      </w:r>
      <w:r w:rsidRPr="00D925A7">
        <w:rPr>
          <w:color w:val="000000"/>
        </w:rPr>
        <w:t>10.5281/zenodo.13773740</w:t>
      </w:r>
      <w:r>
        <w:rPr>
          <w:color w:val="000000"/>
        </w:rPr>
        <w:t>.</w:t>
      </w:r>
    </w:p>
    <w:p w14:paraId="2CB575D9" w14:textId="77777777" w:rsidR="00411166" w:rsidRDefault="00411166">
      <w:pPr>
        <w:rPr>
          <w:color w:val="000000"/>
        </w:rPr>
      </w:pPr>
    </w:p>
    <w:p w14:paraId="485B671E" w14:textId="54727D41" w:rsidR="0041647B" w:rsidRDefault="0041647B" w:rsidP="0041647B">
      <w:pPr>
        <w:pStyle w:val="Heading1"/>
        <w:ind w:right="5"/>
      </w:pPr>
      <w:r w:rsidRPr="00602892">
        <w:t xml:space="preserve">Supplementary </w:t>
      </w:r>
      <w:r>
        <w:t xml:space="preserve">figures </w:t>
      </w:r>
    </w:p>
    <w:p w14:paraId="69137D46" w14:textId="64F2865C" w:rsidR="0041647B" w:rsidRPr="00D925A7" w:rsidRDefault="0041647B">
      <w:pPr>
        <w:rPr>
          <w:color w:val="000000"/>
        </w:rPr>
      </w:pPr>
      <w:r>
        <w:rPr>
          <w:color w:val="000000"/>
        </w:rPr>
        <w:t xml:space="preserve">Supplementary Figure 1: </w:t>
      </w:r>
      <w:r>
        <w:rPr>
          <w:color w:val="000000"/>
          <w:sz w:val="24"/>
          <w:szCs w:val="24"/>
        </w:rPr>
        <w:t>PHI-base 5 a</w:t>
      </w:r>
      <w:r w:rsidRPr="00D731DD">
        <w:rPr>
          <w:color w:val="000000"/>
          <w:sz w:val="24"/>
          <w:szCs w:val="24"/>
        </w:rPr>
        <w:t xml:space="preserve">dvanced </w:t>
      </w:r>
      <w:r>
        <w:rPr>
          <w:color w:val="000000"/>
          <w:sz w:val="24"/>
          <w:szCs w:val="24"/>
        </w:rPr>
        <w:t>s</w:t>
      </w:r>
      <w:r w:rsidRPr="00D731DD">
        <w:rPr>
          <w:color w:val="000000"/>
          <w:sz w:val="24"/>
          <w:szCs w:val="24"/>
        </w:rPr>
        <w:t>earch feature</w:t>
      </w:r>
      <w:r>
        <w:rPr>
          <w:color w:val="000000"/>
          <w:sz w:val="24"/>
          <w:szCs w:val="24"/>
        </w:rPr>
        <w:t>, Examples E to G.</w:t>
      </w:r>
    </w:p>
    <w:p w14:paraId="4876DC4D" w14:textId="00C61CE7" w:rsidR="00411166" w:rsidRDefault="00411166">
      <w:pPr>
        <w:pStyle w:val="Heading1"/>
        <w:ind w:right="5"/>
      </w:pPr>
      <w:r w:rsidRPr="00602892">
        <w:t xml:space="preserve">Supplementary </w:t>
      </w:r>
      <w:r w:rsidR="0041647B">
        <w:t>tables</w:t>
      </w:r>
      <w:r>
        <w:t xml:space="preserve"> (in one MS Excel file)</w:t>
      </w:r>
    </w:p>
    <w:p w14:paraId="12EE57FB" w14:textId="0895A9AE" w:rsidR="00411166" w:rsidRDefault="00411166">
      <w:pPr>
        <w:pStyle w:val="NormalWeb"/>
        <w:spacing w:before="0" w:beforeAutospacing="0" w:after="200" w:afterAutospacing="0"/>
        <w:ind w:right="6"/>
      </w:pPr>
      <w:r>
        <w:rPr>
          <w:rFonts w:ascii="Arial" w:hAnsi="Arial" w:cs="Arial"/>
          <w:color w:val="000000"/>
          <w:sz w:val="22"/>
          <w:szCs w:val="22"/>
        </w:rPr>
        <w:t>Supplementary Table 1: New pathogen species available in PHI-base Version 4.17</w:t>
      </w:r>
    </w:p>
    <w:p w14:paraId="5CB20223" w14:textId="4222FD6C" w:rsidR="00411166" w:rsidRDefault="00411166">
      <w:pPr>
        <w:pStyle w:val="NormalWeb"/>
        <w:spacing w:before="0" w:beforeAutospacing="0" w:after="200" w:afterAutospacing="0"/>
        <w:ind w:right="6"/>
      </w:pPr>
      <w:r>
        <w:rPr>
          <w:rFonts w:ascii="Arial" w:hAnsi="Arial" w:cs="Arial"/>
          <w:color w:val="000000"/>
          <w:sz w:val="22"/>
          <w:szCs w:val="22"/>
        </w:rPr>
        <w:t>Supplementary Table 2: New host species and interactions available in PHI-base version 4.17</w:t>
      </w:r>
    </w:p>
    <w:p w14:paraId="3408DD45" w14:textId="77777777" w:rsidR="00411166" w:rsidRDefault="00411166">
      <w:pPr>
        <w:pStyle w:val="NormalWeb"/>
        <w:spacing w:before="0" w:beforeAutospacing="0" w:after="200" w:afterAutospacing="0"/>
        <w:ind w:right="6"/>
      </w:pPr>
      <w:r>
        <w:rPr>
          <w:rFonts w:ascii="Arial" w:hAnsi="Arial" w:cs="Arial"/>
          <w:color w:val="000000"/>
          <w:sz w:val="22"/>
          <w:szCs w:val="22"/>
        </w:rPr>
        <w:t>Supplementary Table 3: Data not migrated from PHI-base 4.16 into PHI-base 5.0</w:t>
      </w:r>
    </w:p>
    <w:p w14:paraId="2B7BDABC" w14:textId="77777777" w:rsidR="00411166" w:rsidRDefault="00411166">
      <w:pPr>
        <w:pStyle w:val="Heading1"/>
        <w:ind w:right="5"/>
      </w:pPr>
      <w:bookmarkStart w:id="21" w:name="_5g6g171vv50f" w:colFirst="0" w:colLast="0"/>
      <w:bookmarkStart w:id="22" w:name="_Hlk177483857"/>
      <w:bookmarkEnd w:id="21"/>
      <w:r>
        <w:t>Acknowledgements</w:t>
      </w:r>
    </w:p>
    <w:p w14:paraId="4983155E" w14:textId="77777777" w:rsidR="00411166" w:rsidRDefault="00411166">
      <w:pPr>
        <w:ind w:right="5"/>
      </w:pPr>
      <w:r>
        <w:t xml:space="preserve">We thank all species experts who contributed annotations from their field of expertise into PHI-base, Dr Nishadi De Silva for stimulating discussions and organising interactions with the Ensembl team, Dr Valerie Wood for explaining biocuration practices at PomBase, and for providing advice on the development of phenotype ontologies. Dr Nichola Hawkins (NIAB, Cambridge) is thanked for providing advice on chemistry curation (via PHI-Canto) into PHI-base 5, and for checking entries. We thank Mythili Sankaran for supervising curation activities at Molecular Connections. We thank the FungiDB consortium members and UniProt pipeline team members for their helpful discussions on data-sharing options. Dr Keywan Hassani-Pak and Dan Smith are thanked for integrating PHI-base data into KnetMiner for specific plant pathogenic species. We would like to </w:t>
      </w:r>
      <w:r>
        <w:lastRenderedPageBreak/>
        <w:t xml:space="preserve">thank current and former members of our Scientific Advisory Board, Professors Elaine Bignell, Richard Harrison, Dan MacLean and Pietro Spanu and Drs Michael Csukai and Leighton Pritchard, for their many helpful discussions, comments and advice. Within EMBL-EBI (Cambridge, UK), we thank the wider data release team for helpful discussions on data types and format requirements. Wellcome Connecting Science outreach team members Cindy Smidt, Sam Shingles, Jack Monaghan, based at the Wellcome Genome Campus, Cambridge, and Arne De Klerk in the KnetMiner team at Rothamsted Research, are thanked for their guidance, help and commitment to ensuring PHI-base, KnetMiner use case studies and plant, human and animal pathogen genomics were so engagingly presented at the New Scientist Live event in London (October 2022). </w:t>
      </w:r>
    </w:p>
    <w:p w14:paraId="44D7A465" w14:textId="77777777" w:rsidR="00411166" w:rsidRDefault="00411166">
      <w:pPr>
        <w:pStyle w:val="Heading1"/>
        <w:ind w:right="5"/>
      </w:pPr>
      <w:bookmarkStart w:id="23" w:name="_dhjfbgotpx97" w:colFirst="0" w:colLast="0"/>
      <w:bookmarkEnd w:id="22"/>
      <w:bookmarkEnd w:id="23"/>
      <w:r>
        <w:t>Funding</w:t>
      </w:r>
    </w:p>
    <w:p w14:paraId="1FCA8A17" w14:textId="77777777" w:rsidR="00411166" w:rsidRDefault="00411166">
      <w:pPr>
        <w:ind w:right="5"/>
      </w:pPr>
      <w:r>
        <w:t xml:space="preserve">PHI-base is funded from the UK Biotechnology and Biological Sciences Research Council (BBSRC) grant [BB/S020020/1]; Rothamsted authors M.U., A.C. and K.H.K. receive additional BBSRC grant-aided support as part of the Institute Strategic Programme Grant ‘Designing Future Wheat’ [BB/P016855/1] and ‘Delivering Sustainable Wheat’ </w:t>
      </w:r>
      <w:r>
        <w:rPr>
          <w:sz w:val="20"/>
          <w:szCs w:val="20"/>
        </w:rPr>
        <w:t>[</w:t>
      </w:r>
      <w:r>
        <w:rPr>
          <w:highlight w:val="white"/>
        </w:rPr>
        <w:t>BB/X011003/1 and BBS/E/RH/230001B</w:t>
      </w:r>
      <w:r>
        <w:t>] and Rothamsted authors A.C. and J.S. receive additional BBSRC grant-aided support as part of the Institute Strategic Programme Grant ‘Growing Health’ [BBS/E/RH/230003A]; EMBL-EBI authors N.D.S. and M.C.M. were supported by funding from the BBSRC Research Council Grants [BB/K020102/1, BB/I001077/1, BB/S02011X/1]; Ensembl browser, supported in part by the Wellcome Trust [108749/Z/15/Z] and the European Molecular Biology Laboratory. Funding for open access charge: BBSRC [BB/S020020/1].</w:t>
      </w:r>
    </w:p>
    <w:p w14:paraId="38204E33" w14:textId="77777777" w:rsidR="00411166" w:rsidRDefault="00411166">
      <w:pPr>
        <w:pStyle w:val="Heading1"/>
        <w:ind w:right="5"/>
      </w:pPr>
      <w:bookmarkStart w:id="24" w:name="_wvtxwiwox18k" w:colFirst="0" w:colLast="0"/>
      <w:bookmarkEnd w:id="24"/>
      <w:r>
        <w:t>Conflict of interest</w:t>
      </w:r>
    </w:p>
    <w:p w14:paraId="4A64DD0F" w14:textId="77777777" w:rsidR="00411166" w:rsidRDefault="00411166">
      <w:pPr>
        <w:ind w:right="5"/>
      </w:pPr>
      <w:r>
        <w:t>The authors declare that the research was conducted in the absence of any commercial or financial relationships that could be construed as a potential conflict of interest.</w:t>
      </w:r>
    </w:p>
    <w:p w14:paraId="1A815CD2" w14:textId="77777777" w:rsidR="00411166" w:rsidRDefault="00411166">
      <w:pPr>
        <w:ind w:right="5"/>
      </w:pPr>
    </w:p>
    <w:p w14:paraId="6FD2ABFE" w14:textId="77777777" w:rsidR="00411166" w:rsidRDefault="00411166">
      <w:pPr>
        <w:pStyle w:val="Heading1"/>
        <w:ind w:right="5"/>
      </w:pPr>
      <w:r>
        <w:t>References</w:t>
      </w:r>
    </w:p>
    <w:p w14:paraId="001D28F6" w14:textId="77777777" w:rsidR="00411166" w:rsidRPr="006A0209" w:rsidRDefault="00411166">
      <w:pPr>
        <w:pStyle w:val="EndNoteBibliography"/>
        <w:spacing w:after="0"/>
        <w:ind w:left="720" w:hanging="720"/>
      </w:pPr>
      <w:r w:rsidRPr="006A0209">
        <w:t>1.</w:t>
      </w:r>
      <w:r w:rsidRPr="006A0209">
        <w:tab/>
        <w:t>Brown, G.D., Ballou, E.R., Bates, S., Bignell, E.M., Borman, A.M., Brand, A.C., Brown, A.J.P., Coelho, C., Cook, P.C., Farrer, R.A.</w:t>
      </w:r>
      <w:r w:rsidRPr="006A0209">
        <w:rPr>
          <w:i/>
        </w:rPr>
        <w:t xml:space="preserve"> et al.</w:t>
      </w:r>
      <w:r w:rsidRPr="006A0209">
        <w:t xml:space="preserve"> (2024) The pathobiology of human fungal infections. </w:t>
      </w:r>
      <w:r w:rsidRPr="006A0209">
        <w:rPr>
          <w:i/>
        </w:rPr>
        <w:t>Nat. Rev. Microbiol.</w:t>
      </w:r>
      <w:r w:rsidRPr="006A0209">
        <w:t>, 10.1038/s41579-024-01062-w</w:t>
      </w:r>
    </w:p>
    <w:p w14:paraId="79B9183E" w14:textId="77777777" w:rsidR="00411166" w:rsidRPr="006A0209" w:rsidRDefault="00411166">
      <w:pPr>
        <w:pStyle w:val="EndNoteBibliography"/>
        <w:spacing w:after="0"/>
        <w:ind w:left="720" w:hanging="720"/>
      </w:pPr>
      <w:r w:rsidRPr="006A0209">
        <w:t>2.</w:t>
      </w:r>
      <w:r w:rsidRPr="006A0209">
        <w:tab/>
        <w:t xml:space="preserve">Fisher, M.C. and Denning, D.W. (2023) The WHO fungal priority pathogens list as a game-changer. </w:t>
      </w:r>
      <w:r w:rsidRPr="006A0209">
        <w:rPr>
          <w:i/>
        </w:rPr>
        <w:t>Nat. Rev. Microbiol.</w:t>
      </w:r>
      <w:r w:rsidRPr="006A0209">
        <w:t xml:space="preserve">, </w:t>
      </w:r>
      <w:r w:rsidRPr="006A0209">
        <w:rPr>
          <w:b/>
        </w:rPr>
        <w:t>21</w:t>
      </w:r>
      <w:r w:rsidRPr="006A0209">
        <w:t>, 211-212.</w:t>
      </w:r>
    </w:p>
    <w:p w14:paraId="4CE3E92D" w14:textId="77777777" w:rsidR="00411166" w:rsidRPr="006A0209" w:rsidRDefault="00411166">
      <w:pPr>
        <w:pStyle w:val="EndNoteBibliography"/>
        <w:spacing w:after="0"/>
        <w:ind w:left="720" w:hanging="720"/>
      </w:pPr>
      <w:r w:rsidRPr="006A0209">
        <w:t>3.</w:t>
      </w:r>
      <w:r w:rsidRPr="006A0209">
        <w:tab/>
        <w:t xml:space="preserve">Fones, H.N., Bebber, D.P., Chaloner, T.M., Kay, W.T., Steinberg, G. and Gurr, S.J. (2020) Threats to global food security from emerging fungal and oomycete crop pathogens. </w:t>
      </w:r>
      <w:r w:rsidRPr="006A0209">
        <w:rPr>
          <w:i/>
        </w:rPr>
        <w:t>Nat Food</w:t>
      </w:r>
      <w:r w:rsidRPr="006A0209">
        <w:t xml:space="preserve">, </w:t>
      </w:r>
      <w:r w:rsidRPr="006A0209">
        <w:rPr>
          <w:b/>
        </w:rPr>
        <w:t>1</w:t>
      </w:r>
      <w:r w:rsidRPr="006A0209">
        <w:t>, 332-342.</w:t>
      </w:r>
    </w:p>
    <w:p w14:paraId="5E7545BA" w14:textId="77777777" w:rsidR="00411166" w:rsidRPr="006A0209" w:rsidRDefault="00411166">
      <w:pPr>
        <w:pStyle w:val="EndNoteBibliography"/>
        <w:spacing w:after="0"/>
        <w:ind w:left="720" w:hanging="720"/>
      </w:pPr>
      <w:r w:rsidRPr="006A0209">
        <w:t>4.</w:t>
      </w:r>
      <w:r w:rsidRPr="006A0209">
        <w:tab/>
        <w:t>Ristaino, J.B., Anderson, P.K., Bebber, D.P., Brauman, K.A., Cunniffe, N.J., Fedoroff, N.V., Finegold, C., Garrett, K.A., Gilligan, C.A., Jones, C.M.</w:t>
      </w:r>
      <w:r w:rsidRPr="006A0209">
        <w:rPr>
          <w:i/>
        </w:rPr>
        <w:t xml:space="preserve"> et al.</w:t>
      </w:r>
      <w:r w:rsidRPr="006A0209">
        <w:t xml:space="preserve"> (2021) The persistent threat of emerging plant disease pandemics to global food security. </w:t>
      </w:r>
      <w:r w:rsidRPr="006A0209">
        <w:rPr>
          <w:i/>
        </w:rPr>
        <w:t>PNAS</w:t>
      </w:r>
      <w:r w:rsidRPr="006A0209">
        <w:t>, 10.1073/pnas.2022239118.</w:t>
      </w:r>
    </w:p>
    <w:p w14:paraId="5400DD5E" w14:textId="77777777" w:rsidR="00411166" w:rsidRPr="006A0209" w:rsidRDefault="00411166">
      <w:pPr>
        <w:pStyle w:val="EndNoteBibliography"/>
        <w:spacing w:after="0"/>
        <w:ind w:left="720" w:hanging="720"/>
      </w:pPr>
      <w:r w:rsidRPr="006A0209">
        <w:t>5.</w:t>
      </w:r>
      <w:r w:rsidRPr="006A0209">
        <w:tab/>
        <w:t>Scheele, B.C., Pasmans, F., Skerratt, L.F., Berger, L., Martel, A., Beukema, W., Acevedo, A.A., Burrowes, P.A., Carvalho, T., Catenazzi, A.</w:t>
      </w:r>
      <w:r w:rsidRPr="006A0209">
        <w:rPr>
          <w:i/>
        </w:rPr>
        <w:t xml:space="preserve"> et al.</w:t>
      </w:r>
      <w:r w:rsidRPr="006A0209">
        <w:t xml:space="preserve"> (2019) </w:t>
      </w:r>
      <w:r w:rsidRPr="006A0209">
        <w:lastRenderedPageBreak/>
        <w:t xml:space="preserve">Amphibian fungal panzootic causes catastrophic and ongoing loss of biodiversity. </w:t>
      </w:r>
      <w:r w:rsidRPr="006A0209">
        <w:rPr>
          <w:i/>
        </w:rPr>
        <w:t>Science</w:t>
      </w:r>
      <w:r w:rsidRPr="006A0209">
        <w:t xml:space="preserve">, </w:t>
      </w:r>
      <w:r w:rsidRPr="006A0209">
        <w:rPr>
          <w:b/>
        </w:rPr>
        <w:t>363</w:t>
      </w:r>
      <w:r w:rsidRPr="006A0209">
        <w:t>, 1459-1463.</w:t>
      </w:r>
    </w:p>
    <w:p w14:paraId="40392F19" w14:textId="4406A60A" w:rsidR="00411166" w:rsidRPr="006A0209" w:rsidRDefault="00411166">
      <w:pPr>
        <w:pStyle w:val="EndNoteBibliography"/>
        <w:spacing w:after="0"/>
        <w:ind w:left="720" w:hanging="720"/>
      </w:pPr>
      <w:r w:rsidRPr="006A0209">
        <w:t>6.</w:t>
      </w:r>
      <w:r w:rsidRPr="006A0209">
        <w:tab/>
      </w:r>
      <w:r w:rsidR="003D538E">
        <w:t xml:space="preserve">World Health Organization (2022), WHO fungal priority pathogens list to guide research, development and public health action. ISBN </w:t>
      </w:r>
      <w:r w:rsidR="003D538E" w:rsidRPr="006A0209">
        <w:t>978-92-4-006024-1</w:t>
      </w:r>
    </w:p>
    <w:p w14:paraId="6CD0A4A7" w14:textId="77777777" w:rsidR="00411166" w:rsidRPr="006A0209" w:rsidRDefault="00411166">
      <w:pPr>
        <w:pStyle w:val="EndNoteBibliography"/>
        <w:spacing w:after="0"/>
        <w:ind w:left="720" w:hanging="720"/>
      </w:pPr>
      <w:r w:rsidRPr="006A0209">
        <w:t>7.</w:t>
      </w:r>
      <w:r w:rsidRPr="006A0209">
        <w:tab/>
        <w:t xml:space="preserve">Chaloner, T.M., Gurr, S.J. and Bebber, D.P. (2021) Plant pathogen infection risk tracks global crop yields under climate change. </w:t>
      </w:r>
      <w:r w:rsidRPr="006A0209">
        <w:rPr>
          <w:i/>
        </w:rPr>
        <w:t>Nature Climate Change</w:t>
      </w:r>
      <w:r w:rsidRPr="006A0209">
        <w:t xml:space="preserve">, </w:t>
      </w:r>
      <w:r w:rsidRPr="006A0209">
        <w:rPr>
          <w:b/>
        </w:rPr>
        <w:t>11</w:t>
      </w:r>
      <w:r w:rsidRPr="006A0209">
        <w:t>, 710-715.</w:t>
      </w:r>
    </w:p>
    <w:p w14:paraId="1B497AF4" w14:textId="77777777" w:rsidR="00411166" w:rsidRPr="006A0209" w:rsidRDefault="00411166">
      <w:pPr>
        <w:pStyle w:val="EndNoteBibliography"/>
        <w:spacing w:after="0"/>
        <w:ind w:left="720" w:hanging="720"/>
      </w:pPr>
      <w:r w:rsidRPr="006A0209">
        <w:t>8.</w:t>
      </w:r>
      <w:r w:rsidRPr="006A0209">
        <w:tab/>
        <w:t xml:space="preserve">Bebber, D.P., Ramotowski, M.A.T. and Gurr, S.J. (2013) Crop pests and pathogens move polewards in a warming world. </w:t>
      </w:r>
      <w:r w:rsidRPr="006A0209">
        <w:rPr>
          <w:i/>
        </w:rPr>
        <w:t>Nature Climate Change</w:t>
      </w:r>
      <w:r w:rsidRPr="006A0209">
        <w:t xml:space="preserve">, </w:t>
      </w:r>
      <w:r w:rsidRPr="006A0209">
        <w:rPr>
          <w:b/>
        </w:rPr>
        <w:t>3</w:t>
      </w:r>
      <w:r w:rsidRPr="006A0209">
        <w:t>, 985-988.</w:t>
      </w:r>
    </w:p>
    <w:p w14:paraId="6CFEA5D9" w14:textId="77777777" w:rsidR="00411166" w:rsidRPr="006A0209" w:rsidRDefault="00411166">
      <w:pPr>
        <w:pStyle w:val="EndNoteBibliography"/>
        <w:spacing w:after="0"/>
        <w:ind w:left="720" w:hanging="720"/>
      </w:pPr>
      <w:r w:rsidRPr="006A0209">
        <w:t>9.</w:t>
      </w:r>
      <w:r w:rsidRPr="006A0209">
        <w:tab/>
        <w:t xml:space="preserve">Dudney, J., Willing, C.E., Das, A.J., Latimer, A.M., Nesmith, J.C.B. and Battles, J.J. (2021) Nonlinear shifts in infectious rust disease due to climate change. </w:t>
      </w:r>
      <w:r w:rsidRPr="006A0209">
        <w:rPr>
          <w:i/>
        </w:rPr>
        <w:t>Nat Commun</w:t>
      </w:r>
      <w:r w:rsidRPr="006A0209">
        <w:t xml:space="preserve">, </w:t>
      </w:r>
      <w:r w:rsidRPr="006A0209">
        <w:rPr>
          <w:b/>
        </w:rPr>
        <w:t>12</w:t>
      </w:r>
      <w:r w:rsidRPr="006A0209">
        <w:t>, 5102.</w:t>
      </w:r>
    </w:p>
    <w:p w14:paraId="002D736B" w14:textId="77777777" w:rsidR="00411166" w:rsidRPr="006A0209" w:rsidRDefault="00411166">
      <w:pPr>
        <w:pStyle w:val="EndNoteBibliography"/>
        <w:spacing w:after="0"/>
        <w:ind w:left="720" w:hanging="720"/>
      </w:pPr>
      <w:r w:rsidRPr="006A0209">
        <w:t>10.</w:t>
      </w:r>
      <w:r w:rsidRPr="006A0209">
        <w:tab/>
        <w:t xml:space="preserve">Semenza, J.C. and Paz, S. (2021) Climate change and infectious disease in Europe: Impact, projection and adaptation. </w:t>
      </w:r>
      <w:r w:rsidRPr="006A0209">
        <w:rPr>
          <w:i/>
        </w:rPr>
        <w:t>Lancet Reg Health Eur</w:t>
      </w:r>
      <w:r w:rsidRPr="006A0209">
        <w:t xml:space="preserve">, </w:t>
      </w:r>
      <w:r w:rsidRPr="006A0209">
        <w:rPr>
          <w:b/>
        </w:rPr>
        <w:t>9</w:t>
      </w:r>
      <w:r w:rsidRPr="006A0209">
        <w:t>, 100230.</w:t>
      </w:r>
    </w:p>
    <w:p w14:paraId="6AB16D77" w14:textId="77777777" w:rsidR="00411166" w:rsidRPr="006A0209" w:rsidRDefault="00411166">
      <w:pPr>
        <w:pStyle w:val="EndNoteBibliography"/>
        <w:spacing w:after="0"/>
        <w:ind w:left="720" w:hanging="720"/>
      </w:pPr>
      <w:r w:rsidRPr="006A0209">
        <w:t>11.</w:t>
      </w:r>
      <w:r w:rsidRPr="006A0209">
        <w:tab/>
        <w:t xml:space="preserve">Singh, B.K., Delgado-Baquerizo, M., Egidi, E., Guirado, E., Leach, J.E., Liu, H. and Trivedi, P. (2023) Climate change impacts on plant pathogens, food security and paths forward. </w:t>
      </w:r>
      <w:r w:rsidRPr="006A0209">
        <w:rPr>
          <w:i/>
        </w:rPr>
        <w:t>Nat. Rev. Microbiol.</w:t>
      </w:r>
      <w:r w:rsidRPr="006A0209">
        <w:t xml:space="preserve">, </w:t>
      </w:r>
      <w:r w:rsidRPr="006A0209">
        <w:rPr>
          <w:b/>
        </w:rPr>
        <w:t>21</w:t>
      </w:r>
      <w:r w:rsidRPr="006A0209">
        <w:t>, 640-656.</w:t>
      </w:r>
    </w:p>
    <w:p w14:paraId="33C164C5" w14:textId="77777777" w:rsidR="00411166" w:rsidRPr="006A0209" w:rsidRDefault="00411166">
      <w:pPr>
        <w:pStyle w:val="EndNoteBibliography"/>
        <w:spacing w:after="0"/>
        <w:ind w:left="720" w:hanging="720"/>
      </w:pPr>
      <w:r w:rsidRPr="006A0209">
        <w:t>12.</w:t>
      </w:r>
      <w:r w:rsidRPr="006A0209">
        <w:tab/>
        <w:t xml:space="preserve">Fisher, M.C., Hawkins, N.J., Sanglard, D. and Gurr, S.J. (2018) Worldwide emergence of resistance to antifungal drugs challenges human health and food security. </w:t>
      </w:r>
      <w:r w:rsidRPr="006A0209">
        <w:rPr>
          <w:i/>
        </w:rPr>
        <w:t>Science</w:t>
      </w:r>
      <w:r w:rsidRPr="006A0209">
        <w:t xml:space="preserve">, </w:t>
      </w:r>
      <w:r w:rsidRPr="006A0209">
        <w:rPr>
          <w:b/>
        </w:rPr>
        <w:t>360</w:t>
      </w:r>
      <w:r w:rsidRPr="006A0209">
        <w:t>, 739-742.</w:t>
      </w:r>
    </w:p>
    <w:p w14:paraId="1D43A911" w14:textId="77777777" w:rsidR="00411166" w:rsidRPr="006A0209" w:rsidRDefault="00411166">
      <w:pPr>
        <w:pStyle w:val="EndNoteBibliography"/>
        <w:spacing w:after="0"/>
        <w:ind w:left="720" w:hanging="720"/>
      </w:pPr>
      <w:r w:rsidRPr="006A0209">
        <w:t>13.</w:t>
      </w:r>
      <w:r w:rsidRPr="006A0209">
        <w:tab/>
        <w:t>Fisher, M.C., Alastruey-Izquierdo, A., Berman, J., Bicanic, T., Bignell, E.M., Bowyer, P., Bromley, M., Bruggemann, R., Garber, G., Cornely, O.A.</w:t>
      </w:r>
      <w:r w:rsidRPr="006A0209">
        <w:rPr>
          <w:i/>
        </w:rPr>
        <w:t xml:space="preserve"> et al.</w:t>
      </w:r>
      <w:r w:rsidRPr="006A0209">
        <w:t xml:space="preserve"> (2022) Tackling the emerging threat of antifungal resistance to human health. </w:t>
      </w:r>
      <w:r w:rsidRPr="006A0209">
        <w:rPr>
          <w:i/>
        </w:rPr>
        <w:t>Nat. Rev. Microbiol.</w:t>
      </w:r>
      <w:r w:rsidRPr="006A0209">
        <w:t xml:space="preserve">, </w:t>
      </w:r>
      <w:r w:rsidRPr="006A0209">
        <w:rPr>
          <w:b/>
        </w:rPr>
        <w:t>20</w:t>
      </w:r>
      <w:r w:rsidRPr="006A0209">
        <w:t>, 557-571.</w:t>
      </w:r>
    </w:p>
    <w:p w14:paraId="47B9C04D" w14:textId="77777777" w:rsidR="00411166" w:rsidRPr="006A0209" w:rsidRDefault="00411166">
      <w:pPr>
        <w:pStyle w:val="EndNoteBibliography"/>
        <w:spacing w:after="0"/>
        <w:ind w:left="720" w:hanging="720"/>
      </w:pPr>
      <w:r w:rsidRPr="006A0209">
        <w:t>14.</w:t>
      </w:r>
      <w:r w:rsidRPr="006A0209">
        <w:tab/>
        <w:t>Destoumieux-Garzon, D., Mavingui, P., Boetsch, G., Boissier, J., Darriet, F., Duboz, P., Fritsch, C., Giraudoux, P., Le Roux, F., Morand, S.</w:t>
      </w:r>
      <w:r w:rsidRPr="006A0209">
        <w:rPr>
          <w:i/>
        </w:rPr>
        <w:t xml:space="preserve"> et al.</w:t>
      </w:r>
      <w:r w:rsidRPr="006A0209">
        <w:t xml:space="preserve"> (2018) The One Health Concept: 10 years old and a long road ahead. </w:t>
      </w:r>
      <w:r w:rsidRPr="006A0209">
        <w:rPr>
          <w:i/>
        </w:rPr>
        <w:t>Front Vet Sci</w:t>
      </w:r>
      <w:r w:rsidRPr="006A0209">
        <w:t xml:space="preserve">, </w:t>
      </w:r>
      <w:r w:rsidRPr="006A0209">
        <w:rPr>
          <w:b/>
        </w:rPr>
        <w:t>5</w:t>
      </w:r>
      <w:r w:rsidRPr="006A0209">
        <w:t>, 14.</w:t>
      </w:r>
    </w:p>
    <w:p w14:paraId="3C131C9E" w14:textId="77777777" w:rsidR="00411166" w:rsidRPr="006A0209" w:rsidRDefault="00411166">
      <w:pPr>
        <w:pStyle w:val="EndNoteBibliography"/>
        <w:spacing w:after="0"/>
        <w:ind w:left="720" w:hanging="720"/>
      </w:pPr>
      <w:r w:rsidRPr="006A0209">
        <w:t>15.</w:t>
      </w:r>
      <w:r w:rsidRPr="006A0209">
        <w:tab/>
        <w:t xml:space="preserve">Banerjee, S. and van der Heijden, M.G.A. (2023) Soil microbiomes and one health. </w:t>
      </w:r>
      <w:r w:rsidRPr="006A0209">
        <w:rPr>
          <w:i/>
        </w:rPr>
        <w:t>Nat. Rev. Microbiol.</w:t>
      </w:r>
      <w:r w:rsidRPr="006A0209">
        <w:t xml:space="preserve">, </w:t>
      </w:r>
      <w:r w:rsidRPr="006A0209">
        <w:rPr>
          <w:b/>
        </w:rPr>
        <w:t>21</w:t>
      </w:r>
      <w:r w:rsidRPr="006A0209">
        <w:t>, 6-20.</w:t>
      </w:r>
    </w:p>
    <w:p w14:paraId="443DC0A6" w14:textId="77777777" w:rsidR="00411166" w:rsidRPr="006A0209" w:rsidRDefault="00411166">
      <w:pPr>
        <w:pStyle w:val="EndNoteBibliography"/>
        <w:spacing w:after="0"/>
        <w:ind w:left="720" w:hanging="720"/>
      </w:pPr>
      <w:r w:rsidRPr="006A0209">
        <w:t>16.</w:t>
      </w:r>
      <w:r w:rsidRPr="006A0209">
        <w:tab/>
        <w:t xml:space="preserve">Morris, C.E., Géniaux, G., Nédellec, C., Sauvion, N. and Soubeyrand, S. (2022) One Health concepts and challenges for surveillance, forecasting, and mitigation of plant disease beyond the traditional scope of crop production. </w:t>
      </w:r>
      <w:r w:rsidRPr="006A0209">
        <w:rPr>
          <w:i/>
        </w:rPr>
        <w:t>Plant Pathol.</w:t>
      </w:r>
      <w:r w:rsidRPr="006A0209">
        <w:t xml:space="preserve">, </w:t>
      </w:r>
      <w:r w:rsidRPr="006A0209">
        <w:rPr>
          <w:b/>
        </w:rPr>
        <w:t>71</w:t>
      </w:r>
      <w:r w:rsidRPr="006A0209">
        <w:t>, 86-97.</w:t>
      </w:r>
    </w:p>
    <w:p w14:paraId="101485B0" w14:textId="77777777" w:rsidR="00411166" w:rsidRPr="006A0209" w:rsidRDefault="00411166">
      <w:pPr>
        <w:pStyle w:val="EndNoteBibliography"/>
        <w:spacing w:after="0"/>
        <w:ind w:left="720" w:hanging="720"/>
      </w:pPr>
      <w:r w:rsidRPr="006A0209">
        <w:t>17.</w:t>
      </w:r>
      <w:r w:rsidRPr="006A0209">
        <w:tab/>
        <w:t>Szyniszewska, A.M., Simpkins, K.M., Thomas, L., Beale, T., Milne, A.E., Brown, M.E., Taylor, B., Oliver, G., Bebber, D.P., Woolman, T.</w:t>
      </w:r>
      <w:r w:rsidRPr="006A0209">
        <w:rPr>
          <w:i/>
        </w:rPr>
        <w:t xml:space="preserve"> et al.</w:t>
      </w:r>
      <w:r w:rsidRPr="006A0209">
        <w:t xml:space="preserve"> (2024) How the global burden of animal diseases links to the global burden of crop loss: A food systems perspective. </w:t>
      </w:r>
      <w:r w:rsidRPr="006A0209">
        <w:rPr>
          <w:i/>
        </w:rPr>
        <w:t>Rev Sci Tech</w:t>
      </w:r>
      <w:r w:rsidRPr="006A0209">
        <w:t xml:space="preserve">, </w:t>
      </w:r>
      <w:r w:rsidRPr="006A0209">
        <w:rPr>
          <w:b/>
        </w:rPr>
        <w:t>43</w:t>
      </w:r>
      <w:r w:rsidRPr="006A0209">
        <w:t>, 177-188.</w:t>
      </w:r>
    </w:p>
    <w:p w14:paraId="7E595B32" w14:textId="77777777" w:rsidR="00411166" w:rsidRPr="006A0209" w:rsidRDefault="00411166">
      <w:pPr>
        <w:pStyle w:val="EndNoteBibliography"/>
        <w:spacing w:after="0"/>
        <w:ind w:left="720" w:hanging="720"/>
      </w:pPr>
      <w:r w:rsidRPr="006A0209">
        <w:t>18.</w:t>
      </w:r>
      <w:r w:rsidRPr="006A0209">
        <w:tab/>
        <w:t xml:space="preserve">Harrow, J., Drysdale, R., Smith, A., Repo, S., Lanfear, J. and Blomberg, N. (2021) ELIXIR: providing a sustainable infrastructure for life science data at European scale. </w:t>
      </w:r>
      <w:r w:rsidRPr="006A0209">
        <w:rPr>
          <w:i/>
        </w:rPr>
        <w:t>Bioinformatics</w:t>
      </w:r>
      <w:r w:rsidRPr="006A0209">
        <w:t xml:space="preserve">, </w:t>
      </w:r>
      <w:r w:rsidRPr="006A0209">
        <w:rPr>
          <w:b/>
        </w:rPr>
        <w:t>37</w:t>
      </w:r>
      <w:r w:rsidRPr="006A0209">
        <w:t>, 2506-2511.</w:t>
      </w:r>
    </w:p>
    <w:p w14:paraId="450C7816" w14:textId="77777777" w:rsidR="00411166" w:rsidRPr="006A0209" w:rsidRDefault="00411166">
      <w:pPr>
        <w:pStyle w:val="EndNoteBibliography"/>
        <w:spacing w:after="0"/>
        <w:ind w:left="720" w:hanging="720"/>
      </w:pPr>
      <w:r w:rsidRPr="006A0209">
        <w:t>19.</w:t>
      </w:r>
      <w:r w:rsidRPr="006A0209">
        <w:tab/>
        <w:t>Wilkinson, M.D., Dumontier, M., Aalbersberg, I.J., Appleton, G., Axton, M., Baak, A., Blomberg, N., Boiten, J.W., da Silva Santos, L.B., Bourne, P.E.</w:t>
      </w:r>
      <w:r w:rsidRPr="006A0209">
        <w:rPr>
          <w:i/>
        </w:rPr>
        <w:t xml:space="preserve"> et al.</w:t>
      </w:r>
      <w:r w:rsidRPr="006A0209">
        <w:t xml:space="preserve"> (2016) The FAIR Guiding Principles for scientific data management and stewardship. </w:t>
      </w:r>
      <w:r w:rsidRPr="006A0209">
        <w:rPr>
          <w:i/>
        </w:rPr>
        <w:t>Scientific data</w:t>
      </w:r>
      <w:r w:rsidRPr="006A0209">
        <w:t xml:space="preserve">, </w:t>
      </w:r>
      <w:r w:rsidRPr="006A0209">
        <w:rPr>
          <w:b/>
        </w:rPr>
        <w:t>3</w:t>
      </w:r>
      <w:r w:rsidRPr="006A0209">
        <w:t>, 160018.</w:t>
      </w:r>
    </w:p>
    <w:p w14:paraId="0A67C5A1" w14:textId="77777777" w:rsidR="00411166" w:rsidRPr="006A0209" w:rsidRDefault="00411166">
      <w:pPr>
        <w:pStyle w:val="EndNoteBibliography"/>
        <w:spacing w:after="0"/>
        <w:ind w:left="720" w:hanging="720"/>
      </w:pPr>
      <w:r w:rsidRPr="006A0209">
        <w:t>20.</w:t>
      </w:r>
      <w:r w:rsidRPr="006A0209">
        <w:tab/>
        <w:t xml:space="preserve">Urban, M., Cuzick, A., Rutherford, K., Irvine, A., Pedro, H., Pant, R., Sadanadan, V., Khamari, L., Billal, S., Mohanty, S. and Hammond-Kosack, K.E. (2017) PHI-base: a new interface and further additions for the multi-species pathogen-host interactions database. </w:t>
      </w:r>
      <w:r w:rsidRPr="006A0209">
        <w:rPr>
          <w:i/>
        </w:rPr>
        <w:t>Nucleic Acids Res.</w:t>
      </w:r>
      <w:r w:rsidRPr="006A0209">
        <w:t xml:space="preserve">, </w:t>
      </w:r>
      <w:r w:rsidRPr="006A0209">
        <w:rPr>
          <w:b/>
        </w:rPr>
        <w:t>45</w:t>
      </w:r>
      <w:r w:rsidRPr="006A0209">
        <w:t>, D604-D610.</w:t>
      </w:r>
    </w:p>
    <w:p w14:paraId="4A15589A" w14:textId="77777777" w:rsidR="00411166" w:rsidRPr="006A0209" w:rsidRDefault="00411166">
      <w:pPr>
        <w:pStyle w:val="EndNoteBibliography"/>
        <w:spacing w:after="0"/>
        <w:ind w:left="720" w:hanging="720"/>
      </w:pPr>
      <w:r w:rsidRPr="006A0209">
        <w:t>21.</w:t>
      </w:r>
      <w:r w:rsidRPr="006A0209">
        <w:tab/>
        <w:t xml:space="preserve">Urban, M., Pant, R., Raghunath, A., Irvine, A.G., Pedro, H. and Hammond-Kosack, K.E. (2015) The Pathogen-Host Interactions database (PHI-base): additions and future developments. </w:t>
      </w:r>
      <w:r w:rsidRPr="006A0209">
        <w:rPr>
          <w:i/>
        </w:rPr>
        <w:t>Nucleic Acids Res.</w:t>
      </w:r>
      <w:r w:rsidRPr="006A0209">
        <w:t xml:space="preserve">, </w:t>
      </w:r>
      <w:r w:rsidRPr="006A0209">
        <w:rPr>
          <w:b/>
        </w:rPr>
        <w:t>43</w:t>
      </w:r>
      <w:r w:rsidRPr="006A0209">
        <w:t>, D645-655.</w:t>
      </w:r>
    </w:p>
    <w:p w14:paraId="2FF4DEBE" w14:textId="77777777" w:rsidR="00411166" w:rsidRPr="006A0209" w:rsidRDefault="00411166">
      <w:pPr>
        <w:pStyle w:val="EndNoteBibliography"/>
        <w:spacing w:after="0"/>
        <w:ind w:left="720" w:hanging="720"/>
      </w:pPr>
      <w:r w:rsidRPr="006A0209">
        <w:lastRenderedPageBreak/>
        <w:t>22.</w:t>
      </w:r>
      <w:r w:rsidRPr="006A0209">
        <w:tab/>
        <w:t>Yates, A.D., Allen, J., Amode, R.M., Azov, A.G., Barba, M., Becerra, A., Bhai, J., Campbell, L.I., Carbajo Martinez, M., Chakiachvili, M.</w:t>
      </w:r>
      <w:r w:rsidRPr="006A0209">
        <w:rPr>
          <w:i/>
        </w:rPr>
        <w:t xml:space="preserve"> et al.</w:t>
      </w:r>
      <w:r w:rsidRPr="006A0209">
        <w:t xml:space="preserve"> (2022) Ensembl Genomes 2022: an expanding genome resource for non-vertebrates. </w:t>
      </w:r>
      <w:r w:rsidRPr="006A0209">
        <w:rPr>
          <w:i/>
        </w:rPr>
        <w:t>Nucleic Acids Res.</w:t>
      </w:r>
      <w:r w:rsidRPr="006A0209">
        <w:t xml:space="preserve">, </w:t>
      </w:r>
      <w:r w:rsidRPr="006A0209">
        <w:rPr>
          <w:b/>
        </w:rPr>
        <w:t>50</w:t>
      </w:r>
      <w:r w:rsidRPr="006A0209">
        <w:t>, D996-D1003.</w:t>
      </w:r>
    </w:p>
    <w:p w14:paraId="6011EDD9" w14:textId="77777777" w:rsidR="00411166" w:rsidRPr="006A0209" w:rsidRDefault="00411166">
      <w:pPr>
        <w:pStyle w:val="EndNoteBibliography"/>
        <w:spacing w:after="0"/>
        <w:ind w:left="720" w:hanging="720"/>
      </w:pPr>
      <w:r w:rsidRPr="006A0209">
        <w:t>23.</w:t>
      </w:r>
      <w:r w:rsidRPr="006A0209">
        <w:tab/>
        <w:t xml:space="preserve">Pedro, H., Maheswari, U., Urban, M., Irvine, A.G., Cuzick, A., McDowall, M.D., Staines, D.M., Kulesha, E., Hammond-Kosack, K.E. and Kersey, P.J. (2016) PhytoPath: an integrative resource for plant pathogen genomics. </w:t>
      </w:r>
      <w:r w:rsidRPr="006A0209">
        <w:rPr>
          <w:i/>
        </w:rPr>
        <w:t>Nucleic Acids Res.</w:t>
      </w:r>
      <w:r w:rsidRPr="006A0209">
        <w:t xml:space="preserve">, </w:t>
      </w:r>
      <w:r w:rsidRPr="006A0209">
        <w:rPr>
          <w:b/>
        </w:rPr>
        <w:t>44</w:t>
      </w:r>
      <w:r w:rsidRPr="006A0209">
        <w:t>, D688-693.</w:t>
      </w:r>
    </w:p>
    <w:p w14:paraId="2ADE7AF8" w14:textId="77777777" w:rsidR="00411166" w:rsidRPr="006A0209" w:rsidRDefault="00411166">
      <w:pPr>
        <w:pStyle w:val="EndNoteBibliography"/>
        <w:spacing w:after="0"/>
        <w:ind w:left="720" w:hanging="720"/>
      </w:pPr>
      <w:r w:rsidRPr="006A0209">
        <w:t>24.</w:t>
      </w:r>
      <w:r w:rsidRPr="006A0209">
        <w:tab/>
        <w:t>Basenko, E.Y., Shanmugasundram, A., Bohme, U., Starns, D., Wilkinson, P.A., Davison, H.R., Crouch, K., Maslen, G., Harb, O.S., Amos, B.</w:t>
      </w:r>
      <w:r w:rsidRPr="006A0209">
        <w:rPr>
          <w:i/>
        </w:rPr>
        <w:t xml:space="preserve"> et al.</w:t>
      </w:r>
      <w:r w:rsidRPr="006A0209">
        <w:t xml:space="preserve"> (2024) What is new in FungiDB: a web-based bioinformatics platform for omics-scale data analysis for fungal and oomycete species. </w:t>
      </w:r>
      <w:r w:rsidRPr="006A0209">
        <w:rPr>
          <w:i/>
        </w:rPr>
        <w:t>Genetics</w:t>
      </w:r>
      <w:r w:rsidRPr="006A0209">
        <w:t xml:space="preserve">, </w:t>
      </w:r>
      <w:r w:rsidRPr="006A0209">
        <w:rPr>
          <w:b/>
        </w:rPr>
        <w:t>227</w:t>
      </w:r>
      <w:r w:rsidRPr="006A0209">
        <w:t>, 14.</w:t>
      </w:r>
    </w:p>
    <w:p w14:paraId="34204D78" w14:textId="77777777" w:rsidR="00411166" w:rsidRPr="006A0209" w:rsidRDefault="00411166">
      <w:pPr>
        <w:pStyle w:val="EndNoteBibliography"/>
        <w:spacing w:after="0"/>
        <w:ind w:left="720" w:hanging="720"/>
      </w:pPr>
      <w:r w:rsidRPr="006A0209">
        <w:t>25.</w:t>
      </w:r>
      <w:r w:rsidRPr="006A0209">
        <w:tab/>
        <w:t xml:space="preserve">UniProt, C. (2023) UniProt: the Universal Protein Knowledgebase in 2023. </w:t>
      </w:r>
      <w:r w:rsidRPr="006A0209">
        <w:rPr>
          <w:i/>
        </w:rPr>
        <w:t>Nucleic Acids Res.</w:t>
      </w:r>
      <w:r w:rsidRPr="006A0209">
        <w:t xml:space="preserve">, </w:t>
      </w:r>
      <w:r w:rsidRPr="006A0209">
        <w:rPr>
          <w:b/>
        </w:rPr>
        <w:t>51</w:t>
      </w:r>
      <w:r w:rsidRPr="006A0209">
        <w:t>, D523-D531.</w:t>
      </w:r>
    </w:p>
    <w:p w14:paraId="5648B21C" w14:textId="77777777" w:rsidR="00411166" w:rsidRPr="006A0209" w:rsidRDefault="00411166">
      <w:pPr>
        <w:pStyle w:val="EndNoteBibliography"/>
        <w:spacing w:after="0"/>
        <w:ind w:left="720" w:hanging="720"/>
      </w:pPr>
      <w:r w:rsidRPr="006A0209">
        <w:t>26.</w:t>
      </w:r>
      <w:r w:rsidRPr="006A0209">
        <w:tab/>
        <w:t>Schoch, C.L., Ciufo, S., Domrachev, M., Hotton, C.L., Kannan, S., Khovanskaya, R., Leipe, D., McVeigh, R., O'Neill, K., Robbertse, B.</w:t>
      </w:r>
      <w:r w:rsidRPr="006A0209">
        <w:rPr>
          <w:i/>
        </w:rPr>
        <w:t xml:space="preserve"> et al.</w:t>
      </w:r>
      <w:r w:rsidRPr="006A0209">
        <w:t xml:space="preserve"> (2020) NCBI Taxonomy: a comprehensive update on curation, resources and tools. </w:t>
      </w:r>
      <w:r w:rsidRPr="006A0209">
        <w:rPr>
          <w:i/>
        </w:rPr>
        <w:t>Database</w:t>
      </w:r>
      <w:r w:rsidRPr="006A0209">
        <w:t>, 10.1093/database/baaa062.</w:t>
      </w:r>
    </w:p>
    <w:p w14:paraId="3DE5BAE2" w14:textId="77777777" w:rsidR="00411166" w:rsidRPr="006A0209" w:rsidRDefault="00411166">
      <w:pPr>
        <w:pStyle w:val="EndNoteBibliography"/>
        <w:spacing w:after="0"/>
        <w:ind w:left="720" w:hanging="720"/>
      </w:pPr>
      <w:r w:rsidRPr="006A0209">
        <w:t>27.</w:t>
      </w:r>
      <w:r w:rsidRPr="006A0209">
        <w:tab/>
        <w:t>Gene Ontology, C., Aleksander, S.A., Balhoff, J., Carbon, S., Cherry, J.M., Drabkin, H.J., Ebert, D., Feuermann, M., Gaudet, P., Harris, N.L.</w:t>
      </w:r>
      <w:r w:rsidRPr="006A0209">
        <w:rPr>
          <w:i/>
        </w:rPr>
        <w:t xml:space="preserve"> et al.</w:t>
      </w:r>
      <w:r w:rsidRPr="006A0209">
        <w:t xml:space="preserve"> (2023) The Gene Ontology knowledgebase in 2023. </w:t>
      </w:r>
      <w:r w:rsidRPr="006A0209">
        <w:rPr>
          <w:i/>
        </w:rPr>
        <w:t>Genetics</w:t>
      </w:r>
      <w:r w:rsidRPr="006A0209">
        <w:t>, 10.1093/genetics/iyad031.</w:t>
      </w:r>
    </w:p>
    <w:p w14:paraId="313F3A5B" w14:textId="77777777" w:rsidR="00411166" w:rsidRPr="006A0209" w:rsidRDefault="00411166">
      <w:pPr>
        <w:pStyle w:val="EndNoteBibliography"/>
        <w:spacing w:after="0"/>
        <w:ind w:left="720" w:hanging="720"/>
      </w:pPr>
      <w:r w:rsidRPr="006A0209">
        <w:t>28.</w:t>
      </w:r>
      <w:r w:rsidRPr="006A0209">
        <w:tab/>
        <w:t xml:space="preserve">Hastings, J., Owen, G., Dekker, A., Ennis, M., Kale, N., Muthukrishnan, V., Turner, S., Swainston, N., Mendes, P. and Steinbeck, C. (2016) ChEBI in 2016: Improved services and an expanding collection of metabolites. </w:t>
      </w:r>
      <w:r w:rsidRPr="006A0209">
        <w:rPr>
          <w:i/>
        </w:rPr>
        <w:t>Nucleic Acids Res.</w:t>
      </w:r>
      <w:r w:rsidRPr="006A0209">
        <w:t xml:space="preserve">, </w:t>
      </w:r>
      <w:r w:rsidRPr="006A0209">
        <w:rPr>
          <w:b/>
        </w:rPr>
        <w:t>44</w:t>
      </w:r>
      <w:r w:rsidRPr="006A0209">
        <w:t>, D1214-1219.</w:t>
      </w:r>
    </w:p>
    <w:p w14:paraId="61AE8F1F" w14:textId="77777777" w:rsidR="00411166" w:rsidRPr="006A0209" w:rsidRDefault="00411166">
      <w:pPr>
        <w:pStyle w:val="EndNoteBibliography"/>
        <w:spacing w:after="0"/>
        <w:ind w:left="720" w:hanging="720"/>
      </w:pPr>
      <w:r w:rsidRPr="006A0209">
        <w:t>29.</w:t>
      </w:r>
      <w:r w:rsidRPr="006A0209">
        <w:tab/>
        <w:t xml:space="preserve">Bano, Y. and Shrivastava, A. (2024) Host-pathogen interactions: databases and approaches for data generation. </w:t>
      </w:r>
      <w:r w:rsidRPr="006A0209">
        <w:rPr>
          <w:i/>
        </w:rPr>
        <w:t>Systems Biology Approaches for Host-Pathogen Interaction Analysis</w:t>
      </w:r>
      <w:r w:rsidRPr="006A0209">
        <w:t>. Elsevier, pp. 15-51.</w:t>
      </w:r>
    </w:p>
    <w:p w14:paraId="00B57ED8" w14:textId="77777777" w:rsidR="00411166" w:rsidRPr="006A0209" w:rsidRDefault="00411166">
      <w:pPr>
        <w:pStyle w:val="EndNoteBibliography"/>
        <w:spacing w:after="0"/>
        <w:ind w:left="720" w:hanging="720"/>
      </w:pPr>
      <w:r w:rsidRPr="006A0209">
        <w:t>30.</w:t>
      </w:r>
      <w:r w:rsidRPr="006A0209">
        <w:tab/>
        <w:t xml:space="preserve">Tan, K.L.S. and Mohamad, S.B. (2024) Fungal pathogen in digital age: Review on current state and trend of comparative genomics studies of pathogenic fungi. </w:t>
      </w:r>
      <w:r w:rsidRPr="006A0209">
        <w:rPr>
          <w:i/>
        </w:rPr>
        <w:t>Adv Microbiol-Ny</w:t>
      </w:r>
      <w:r w:rsidRPr="006A0209">
        <w:t xml:space="preserve">, </w:t>
      </w:r>
      <w:r w:rsidRPr="006A0209">
        <w:rPr>
          <w:b/>
        </w:rPr>
        <w:t>63</w:t>
      </w:r>
      <w:r w:rsidRPr="006A0209">
        <w:t>, 23-31.</w:t>
      </w:r>
    </w:p>
    <w:p w14:paraId="4DCFCB22" w14:textId="77777777" w:rsidR="00411166" w:rsidRPr="006A0209" w:rsidRDefault="00411166">
      <w:pPr>
        <w:pStyle w:val="EndNoteBibliography"/>
        <w:spacing w:after="0"/>
        <w:ind w:left="720" w:hanging="720"/>
      </w:pPr>
      <w:r w:rsidRPr="006A0209">
        <w:t>31.</w:t>
      </w:r>
      <w:r w:rsidRPr="006A0209">
        <w:tab/>
        <w:t xml:space="preserve">Vinatzer, B.A., Heath, L.S., Almohri, H.M.J., Stulberg, M.J., Lowe, C. and Li, S. (2019) Cyberbiosecurity challenges of pathogen genome databases. </w:t>
      </w:r>
      <w:r w:rsidRPr="006A0209">
        <w:rPr>
          <w:i/>
        </w:rPr>
        <w:t>Front Bioeng Biotechnol</w:t>
      </w:r>
      <w:r w:rsidRPr="006A0209">
        <w:t xml:space="preserve">, </w:t>
      </w:r>
      <w:r w:rsidRPr="006A0209">
        <w:rPr>
          <w:b/>
        </w:rPr>
        <w:t>7</w:t>
      </w:r>
      <w:r w:rsidRPr="006A0209">
        <w:t>, 106.</w:t>
      </w:r>
    </w:p>
    <w:p w14:paraId="37B0A6B4" w14:textId="77777777" w:rsidR="00411166" w:rsidRPr="006A0209" w:rsidRDefault="00411166">
      <w:pPr>
        <w:pStyle w:val="EndNoteBibliography"/>
        <w:spacing w:after="0"/>
        <w:ind w:left="720" w:hanging="720"/>
      </w:pPr>
      <w:r w:rsidRPr="006A0209">
        <w:t>32.</w:t>
      </w:r>
      <w:r w:rsidRPr="006A0209">
        <w:tab/>
        <w:t>Davis, J.J., Wattam, A.R., Aziz, R.K., Brettin, T., Butler, R., Butler, R.M., Chlenski, P., Conrad, N., Dickerman, A., Dietrich, E.M.</w:t>
      </w:r>
      <w:r w:rsidRPr="006A0209">
        <w:rPr>
          <w:i/>
        </w:rPr>
        <w:t xml:space="preserve"> et al.</w:t>
      </w:r>
      <w:r w:rsidRPr="006A0209">
        <w:t xml:space="preserve"> (2020) The PATRIC Bioinformatics Resource Center: expanding data and analysis capabilities. </w:t>
      </w:r>
      <w:r w:rsidRPr="006A0209">
        <w:rPr>
          <w:i/>
        </w:rPr>
        <w:t>Nucleic Acids Res.</w:t>
      </w:r>
      <w:r w:rsidRPr="006A0209">
        <w:t xml:space="preserve">, </w:t>
      </w:r>
      <w:r w:rsidRPr="006A0209">
        <w:rPr>
          <w:b/>
        </w:rPr>
        <w:t>48</w:t>
      </w:r>
      <w:r w:rsidRPr="006A0209">
        <w:t>, D606-D612.</w:t>
      </w:r>
    </w:p>
    <w:p w14:paraId="0EF8140C" w14:textId="77777777" w:rsidR="00411166" w:rsidRPr="006A0209" w:rsidRDefault="00411166">
      <w:pPr>
        <w:pStyle w:val="EndNoteBibliography"/>
        <w:spacing w:after="0"/>
        <w:ind w:left="720" w:hanging="720"/>
      </w:pPr>
      <w:r w:rsidRPr="006A0209">
        <w:t>33.</w:t>
      </w:r>
      <w:r w:rsidRPr="006A0209">
        <w:tab/>
        <w:t xml:space="preserve">An, Y., Wang, J., Li, C., Revote, J., Zhang, Y., Naderer, T., Hayashida, M., Akutsu, T., Webb, G.I., Lithgow, T. and Song, J. (2017) SecretEPDB: a comprehensive web-based resource for secreted effector proteins of the bacterial types III, IV and VI secretion systems. </w:t>
      </w:r>
      <w:r w:rsidRPr="006A0209">
        <w:rPr>
          <w:i/>
        </w:rPr>
        <w:t>Sci Rep</w:t>
      </w:r>
      <w:r w:rsidRPr="006A0209">
        <w:t xml:space="preserve">, </w:t>
      </w:r>
      <w:r w:rsidRPr="006A0209">
        <w:rPr>
          <w:b/>
        </w:rPr>
        <w:t>7</w:t>
      </w:r>
      <w:r w:rsidRPr="006A0209">
        <w:t>, 41031.</w:t>
      </w:r>
    </w:p>
    <w:p w14:paraId="5E25BCDE" w14:textId="77777777" w:rsidR="00411166" w:rsidRPr="006A0209" w:rsidRDefault="00411166">
      <w:pPr>
        <w:pStyle w:val="EndNoteBibliography"/>
        <w:spacing w:after="0"/>
        <w:ind w:left="720" w:hanging="720"/>
      </w:pPr>
      <w:r w:rsidRPr="006A0209">
        <w:t>34.</w:t>
      </w:r>
      <w:r w:rsidRPr="006A0209">
        <w:tab/>
        <w:t xml:space="preserve">Cuzick, A., Seager, J., Wood, V., Urban, M., Rutherford, K. and Hammond-Kosack, K.E. (2023) A framework for community curation of interspecies interactions literature. </w:t>
      </w:r>
      <w:r w:rsidRPr="006A0209">
        <w:rPr>
          <w:i/>
        </w:rPr>
        <w:t>Elife</w:t>
      </w:r>
      <w:r w:rsidRPr="006A0209">
        <w:t>, 10.7554/eLife.84658.</w:t>
      </w:r>
    </w:p>
    <w:p w14:paraId="68CB6670" w14:textId="77777777" w:rsidR="00411166" w:rsidRPr="006A0209" w:rsidRDefault="00411166">
      <w:pPr>
        <w:pStyle w:val="EndNoteBibliography"/>
        <w:spacing w:after="0"/>
        <w:ind w:left="720" w:hanging="720"/>
      </w:pPr>
      <w:r w:rsidRPr="006A0209">
        <w:t>35.</w:t>
      </w:r>
      <w:r w:rsidRPr="006A0209">
        <w:tab/>
        <w:t>Urban, M., Cuzick, A., Seager, J., Wood, V., Rutherford, K., Venkatesh, S.Y., Sahu, J., Iyer, S.V., Khamari, L., De Silva, N.</w:t>
      </w:r>
      <w:r w:rsidRPr="006A0209">
        <w:rPr>
          <w:i/>
        </w:rPr>
        <w:t xml:space="preserve"> et al.</w:t>
      </w:r>
      <w:r w:rsidRPr="006A0209">
        <w:t xml:space="preserve"> (2022) PHI-base in 2022: a multi-species phenotype database for Pathogen-Host Interactions. </w:t>
      </w:r>
      <w:r w:rsidRPr="006A0209">
        <w:rPr>
          <w:i/>
        </w:rPr>
        <w:t>Nucleic Acids Res.</w:t>
      </w:r>
      <w:r w:rsidRPr="006A0209">
        <w:t xml:space="preserve">, </w:t>
      </w:r>
      <w:r w:rsidRPr="006A0209">
        <w:rPr>
          <w:b/>
        </w:rPr>
        <w:t>50</w:t>
      </w:r>
      <w:r w:rsidRPr="006A0209">
        <w:t>, D837-D847.</w:t>
      </w:r>
    </w:p>
    <w:p w14:paraId="5E25D610" w14:textId="77777777" w:rsidR="00411166" w:rsidRPr="006A0209" w:rsidRDefault="00411166">
      <w:pPr>
        <w:pStyle w:val="EndNoteBibliography"/>
        <w:spacing w:after="0"/>
        <w:ind w:left="720" w:hanging="720"/>
      </w:pPr>
      <w:r w:rsidRPr="006A0209">
        <w:t>36.</w:t>
      </w:r>
      <w:r w:rsidRPr="006A0209">
        <w:tab/>
        <w:t xml:space="preserve">Johns, L.E., Bebber, D.P., Gurr, S.J. and Brown, N.A. (2022) Emerging health threat and cost of </w:t>
      </w:r>
      <w:r w:rsidRPr="006A0209">
        <w:rPr>
          <w:i/>
        </w:rPr>
        <w:t xml:space="preserve">Fusarium </w:t>
      </w:r>
      <w:r w:rsidRPr="006A0209">
        <w:t xml:space="preserve">mycotoxins in European wheat. </w:t>
      </w:r>
      <w:r w:rsidRPr="006A0209">
        <w:rPr>
          <w:i/>
        </w:rPr>
        <w:t>Nat Food</w:t>
      </w:r>
      <w:r w:rsidRPr="006A0209">
        <w:t xml:space="preserve">, </w:t>
      </w:r>
      <w:r w:rsidRPr="006A0209">
        <w:rPr>
          <w:b/>
        </w:rPr>
        <w:t>3</w:t>
      </w:r>
      <w:r w:rsidRPr="006A0209">
        <w:t>, 1014-1019.</w:t>
      </w:r>
    </w:p>
    <w:p w14:paraId="6C921BEC" w14:textId="77777777" w:rsidR="00411166" w:rsidRPr="006A0209" w:rsidRDefault="00411166">
      <w:pPr>
        <w:pStyle w:val="EndNoteBibliography"/>
        <w:spacing w:after="0"/>
        <w:ind w:left="720" w:hanging="720"/>
      </w:pPr>
      <w:r w:rsidRPr="006A0209">
        <w:lastRenderedPageBreak/>
        <w:t>37.</w:t>
      </w:r>
      <w:r w:rsidRPr="006A0209">
        <w:tab/>
        <w:t xml:space="preserve">Armer, V., Kroll, E., Darino, M., Urban, M., Smith, D. and Hammond-Kosack, E.K. (2024) Navigating the </w:t>
      </w:r>
      <w:r w:rsidRPr="006A0209">
        <w:rPr>
          <w:i/>
        </w:rPr>
        <w:t>Fusarium</w:t>
      </w:r>
      <w:r w:rsidRPr="006A0209">
        <w:t xml:space="preserve"> species complex: Host-range plasticity and genome variations. </w:t>
      </w:r>
      <w:r w:rsidRPr="006A0209">
        <w:rPr>
          <w:i/>
        </w:rPr>
        <w:t>Fungal Biology</w:t>
      </w:r>
      <w:r w:rsidRPr="006A0209">
        <w:t>, 10.1016/j.funbio.2024.07.004.</w:t>
      </w:r>
    </w:p>
    <w:p w14:paraId="3C460D18" w14:textId="77777777" w:rsidR="00411166" w:rsidRPr="006A0209" w:rsidRDefault="00411166">
      <w:pPr>
        <w:pStyle w:val="EndNoteBibliography"/>
        <w:spacing w:after="0"/>
        <w:ind w:left="720" w:hanging="720"/>
      </w:pPr>
      <w:r w:rsidRPr="006A0209">
        <w:t>38.</w:t>
      </w:r>
      <w:r w:rsidRPr="006A0209">
        <w:tab/>
        <w:t xml:space="preserve">Qu, Z., Ren, X., Du, Z., Hou, J., Li, Y., Yao, Y. and An, Y. (2024) Fusarium mycotoxins: The major food contaminants. </w:t>
      </w:r>
      <w:r w:rsidRPr="006A0209">
        <w:rPr>
          <w:i/>
        </w:rPr>
        <w:t>mLife</w:t>
      </w:r>
      <w:r w:rsidRPr="006A0209">
        <w:t xml:space="preserve">, </w:t>
      </w:r>
      <w:r w:rsidRPr="006A0209">
        <w:rPr>
          <w:b/>
        </w:rPr>
        <w:t>3</w:t>
      </w:r>
      <w:r w:rsidRPr="006A0209">
        <w:t>, 176-206.</w:t>
      </w:r>
    </w:p>
    <w:p w14:paraId="66711BF8" w14:textId="77777777" w:rsidR="00411166" w:rsidRPr="006A0209" w:rsidRDefault="00411166">
      <w:pPr>
        <w:pStyle w:val="EndNoteBibliography"/>
        <w:spacing w:after="0"/>
        <w:ind w:left="720" w:hanging="720"/>
      </w:pPr>
      <w:r w:rsidRPr="006A0209">
        <w:t>39.</w:t>
      </w:r>
      <w:r w:rsidRPr="006A0209">
        <w:tab/>
        <w:t xml:space="preserve">Figueroa, M., Ortiz, D. and Henningsen, E.C. (2021) Tactics of host manipulation by intracellular effectors from plant pathogenic fungi. </w:t>
      </w:r>
      <w:r w:rsidRPr="006A0209">
        <w:rPr>
          <w:i/>
        </w:rPr>
        <w:t>Curr. Opin. Plant Biol.</w:t>
      </w:r>
      <w:r w:rsidRPr="006A0209">
        <w:t xml:space="preserve">, </w:t>
      </w:r>
      <w:r w:rsidRPr="006A0209">
        <w:rPr>
          <w:b/>
        </w:rPr>
        <w:t>62</w:t>
      </w:r>
      <w:r w:rsidRPr="006A0209">
        <w:t>, 102054.</w:t>
      </w:r>
    </w:p>
    <w:p w14:paraId="1C4AF986" w14:textId="77777777" w:rsidR="00411166" w:rsidRPr="006A0209" w:rsidRDefault="00411166">
      <w:pPr>
        <w:pStyle w:val="EndNoteBibliography"/>
        <w:spacing w:after="0"/>
        <w:ind w:left="720" w:hanging="720"/>
      </w:pPr>
      <w:r w:rsidRPr="006A0209">
        <w:t>40.</w:t>
      </w:r>
      <w:r w:rsidRPr="006A0209">
        <w:tab/>
        <w:t xml:space="preserve">Hogenhout, S.A., Van der Hoorn, R.A.L., Terauchi, R. and Kamoun, S. (2009) Emerging concepts in effector biology of plant-associated organisms. </w:t>
      </w:r>
      <w:r w:rsidRPr="006A0209">
        <w:rPr>
          <w:i/>
        </w:rPr>
        <w:t>Mol. Plant-Microbe Interact.</w:t>
      </w:r>
      <w:r w:rsidRPr="006A0209">
        <w:t xml:space="preserve">, </w:t>
      </w:r>
      <w:r w:rsidRPr="006A0209">
        <w:rPr>
          <w:b/>
        </w:rPr>
        <w:t>22</w:t>
      </w:r>
      <w:r w:rsidRPr="006A0209">
        <w:t>, 115-122.</w:t>
      </w:r>
    </w:p>
    <w:p w14:paraId="035349E6" w14:textId="77777777" w:rsidR="00411166" w:rsidRPr="006A0209" w:rsidRDefault="00411166">
      <w:pPr>
        <w:pStyle w:val="EndNoteBibliography"/>
        <w:spacing w:after="0"/>
        <w:ind w:left="720" w:hanging="720"/>
      </w:pPr>
      <w:r w:rsidRPr="006A0209">
        <w:t>41.</w:t>
      </w:r>
      <w:r w:rsidRPr="006A0209">
        <w:tab/>
        <w:t xml:space="preserve">Kanja, C. and Hammond-Kosack, K.E. (2020) Proteinaceous effector discovery and characterization in filamentous plant pathogens. </w:t>
      </w:r>
      <w:r w:rsidRPr="006A0209">
        <w:rPr>
          <w:i/>
        </w:rPr>
        <w:t>Mol. Plant Pathol.</w:t>
      </w:r>
      <w:r w:rsidRPr="006A0209">
        <w:t xml:space="preserve">, </w:t>
      </w:r>
      <w:r w:rsidRPr="006A0209">
        <w:rPr>
          <w:b/>
        </w:rPr>
        <w:t>21</w:t>
      </w:r>
      <w:r w:rsidRPr="006A0209">
        <w:t>, 1353-1376.</w:t>
      </w:r>
    </w:p>
    <w:p w14:paraId="2D46A338" w14:textId="77777777" w:rsidR="00411166" w:rsidRPr="006A0209" w:rsidRDefault="00411166">
      <w:pPr>
        <w:pStyle w:val="EndNoteBibliography"/>
        <w:spacing w:after="0"/>
        <w:ind w:left="720" w:hanging="720"/>
      </w:pPr>
      <w:r w:rsidRPr="006A0209">
        <w:t>42.</w:t>
      </w:r>
      <w:r w:rsidRPr="006A0209">
        <w:tab/>
        <w:t xml:space="preserve">Cai, J., Jiang, Y., Ritchie, E.S., Macho, A.P., Yu, F. and Wu, D. (2023) Manipulation of plant metabolism by pathogen effectors: more than just food. </w:t>
      </w:r>
      <w:r w:rsidRPr="006A0209">
        <w:rPr>
          <w:i/>
        </w:rPr>
        <w:t>FEMS Microbiol. Rev.</w:t>
      </w:r>
      <w:r w:rsidRPr="006A0209">
        <w:t>, 10.1093/femsre/fuad007.</w:t>
      </w:r>
    </w:p>
    <w:p w14:paraId="09F06AB3" w14:textId="77777777" w:rsidR="00411166" w:rsidRPr="006A0209" w:rsidRDefault="00411166">
      <w:pPr>
        <w:pStyle w:val="EndNoteBibliography"/>
        <w:spacing w:after="0"/>
        <w:ind w:left="720" w:hanging="720"/>
      </w:pPr>
      <w:r w:rsidRPr="006A0209">
        <w:t>43.</w:t>
      </w:r>
      <w:r w:rsidRPr="006A0209">
        <w:tab/>
        <w:t xml:space="preserve">Figueroa, M., Coaker, G. and Kanyuka, K. (2024) Focus on the effectors at the interface of plant-microbe interactions. </w:t>
      </w:r>
      <w:r w:rsidRPr="006A0209">
        <w:rPr>
          <w:i/>
        </w:rPr>
        <w:t>Mol Plant Microbe Interact</w:t>
      </w:r>
      <w:r w:rsidRPr="006A0209">
        <w:t xml:space="preserve">, </w:t>
      </w:r>
      <w:r w:rsidRPr="006A0209">
        <w:rPr>
          <w:b/>
        </w:rPr>
        <w:t>37</w:t>
      </w:r>
      <w:r w:rsidRPr="006A0209">
        <w:t>, 168-170.</w:t>
      </w:r>
    </w:p>
    <w:p w14:paraId="673A06DA" w14:textId="77777777" w:rsidR="00411166" w:rsidRPr="006A0209" w:rsidRDefault="00411166">
      <w:pPr>
        <w:pStyle w:val="EndNoteBibliography"/>
        <w:spacing w:after="0"/>
        <w:ind w:left="720" w:hanging="720"/>
      </w:pPr>
      <w:r w:rsidRPr="006A0209">
        <w:t>44.</w:t>
      </w:r>
      <w:r w:rsidRPr="006A0209">
        <w:tab/>
        <w:t>Hernandez-Plaza, A., Szklarczyk, D., Botas, J., Cantalapiedra, C.P., Giner-Lamia, J., Mende, D.R., Kirsch, R., Rattei, T., Letunic, I., Jensen, L.J.</w:t>
      </w:r>
      <w:r w:rsidRPr="006A0209">
        <w:rPr>
          <w:i/>
        </w:rPr>
        <w:t xml:space="preserve"> et al.</w:t>
      </w:r>
      <w:r w:rsidRPr="006A0209">
        <w:t xml:space="preserve"> (2023) eggNOG 6.0: enabling comparative genomics across 12 535 organisms. </w:t>
      </w:r>
      <w:r w:rsidRPr="006A0209">
        <w:rPr>
          <w:i/>
        </w:rPr>
        <w:t>Nucleic Acids Res.</w:t>
      </w:r>
      <w:r w:rsidRPr="006A0209">
        <w:t xml:space="preserve">, </w:t>
      </w:r>
      <w:r w:rsidRPr="006A0209">
        <w:rPr>
          <w:b/>
        </w:rPr>
        <w:t>51</w:t>
      </w:r>
      <w:r w:rsidRPr="006A0209">
        <w:t>, D389-D394.</w:t>
      </w:r>
    </w:p>
    <w:p w14:paraId="3825D162" w14:textId="77777777" w:rsidR="00411166" w:rsidRPr="006A0209" w:rsidRDefault="00411166">
      <w:pPr>
        <w:pStyle w:val="EndNoteBibliography"/>
        <w:spacing w:after="0"/>
        <w:ind w:left="720" w:hanging="720"/>
      </w:pPr>
      <w:r w:rsidRPr="006A0209">
        <w:t>45.</w:t>
      </w:r>
      <w:r w:rsidRPr="006A0209">
        <w:tab/>
        <w:t xml:space="preserve">Urban, M. (2024) PHI-base/FunCat: PHI-base protein functional categorisation. </w:t>
      </w:r>
      <w:r w:rsidRPr="00BC2B12">
        <w:rPr>
          <w:i/>
          <w:iCs/>
        </w:rPr>
        <w:t>Zenodo</w:t>
      </w:r>
      <w:r w:rsidRPr="006A0209">
        <w:t>, 10.5281/zenodo.13730172.</w:t>
      </w:r>
    </w:p>
    <w:p w14:paraId="1DDE5D91" w14:textId="77777777" w:rsidR="00411166" w:rsidRPr="006A0209" w:rsidRDefault="00411166">
      <w:pPr>
        <w:pStyle w:val="EndNoteBibliography"/>
        <w:spacing w:after="0"/>
        <w:ind w:left="720" w:hanging="720"/>
      </w:pPr>
      <w:r w:rsidRPr="006A0209">
        <w:t>46.</w:t>
      </w:r>
      <w:r w:rsidRPr="006A0209">
        <w:tab/>
        <w:t>Vanni, C., Schechter, M.S., Acinas, S.G., Barberan, A., Buttigieg, P.L., Casamayor, E.O., Delmont, T.O., Duarte, C.M., Eren, A.M., Finn, R.D.</w:t>
      </w:r>
      <w:r w:rsidRPr="006A0209">
        <w:rPr>
          <w:i/>
        </w:rPr>
        <w:t xml:space="preserve"> et al.</w:t>
      </w:r>
      <w:r w:rsidRPr="006A0209">
        <w:t xml:space="preserve"> (2022) Unifying the known and unknown microbial coding sequence space. </w:t>
      </w:r>
      <w:r w:rsidRPr="006A0209">
        <w:rPr>
          <w:i/>
        </w:rPr>
        <w:t>Elife</w:t>
      </w:r>
      <w:r w:rsidRPr="006A0209">
        <w:t>, 10.7554/eLife.67667.</w:t>
      </w:r>
    </w:p>
    <w:p w14:paraId="76B849A8" w14:textId="77777777" w:rsidR="00411166" w:rsidRPr="006A0209" w:rsidRDefault="00411166">
      <w:pPr>
        <w:pStyle w:val="EndNoteBibliography"/>
        <w:spacing w:after="0"/>
        <w:ind w:left="720" w:hanging="720"/>
      </w:pPr>
      <w:r w:rsidRPr="006A0209">
        <w:t>47.</w:t>
      </w:r>
      <w:r w:rsidRPr="006A0209">
        <w:tab/>
        <w:t xml:space="preserve">Cuzick, A., Seager, J., Urban, M. and Hammond-Kosack, K. (2024) </w:t>
      </w:r>
      <w:r w:rsidRPr="00BC2B12">
        <w:rPr>
          <w:iCs/>
        </w:rPr>
        <w:t>PHI-base: the Pathogen-Host Interactions Database, version 5.0 [Data set].</w:t>
      </w:r>
      <w:r w:rsidRPr="006A0209">
        <w:t xml:space="preserve"> </w:t>
      </w:r>
      <w:r w:rsidRPr="00BC2B12">
        <w:rPr>
          <w:i/>
          <w:iCs/>
        </w:rPr>
        <w:t>Zenodo</w:t>
      </w:r>
      <w:r w:rsidRPr="006A0209">
        <w:t>, 10.5281/zenodo.10722193.</w:t>
      </w:r>
    </w:p>
    <w:p w14:paraId="16EEA4E6" w14:textId="392BAA87" w:rsidR="00411166" w:rsidRPr="006A0209" w:rsidRDefault="00411166">
      <w:pPr>
        <w:pStyle w:val="EndNoteBibliography"/>
        <w:spacing w:after="0"/>
        <w:ind w:left="720" w:hanging="720"/>
      </w:pPr>
      <w:r w:rsidRPr="006A0209">
        <w:t>48.</w:t>
      </w:r>
      <w:r w:rsidRPr="006A0209">
        <w:tab/>
      </w:r>
      <w:r w:rsidR="00BC2B12" w:rsidRPr="00BC2B12">
        <w:rPr>
          <w:color w:val="000000"/>
        </w:rPr>
        <w:t xml:space="preserve">Seager, J. (2024). PHI-base 5 web display issue tracker Nov 2021 to Sept 2024 with closed issues [Data set]. </w:t>
      </w:r>
      <w:r w:rsidR="00BC2B12" w:rsidRPr="00BC2B12">
        <w:rPr>
          <w:i/>
          <w:iCs/>
          <w:color w:val="000000"/>
        </w:rPr>
        <w:t>Zenodo</w:t>
      </w:r>
      <w:r w:rsidR="00BC2B12" w:rsidRPr="00BC2B12">
        <w:rPr>
          <w:color w:val="000000"/>
        </w:rPr>
        <w:t>. </w:t>
      </w:r>
      <w:hyperlink r:id="rId30" w:tgtFrame="_blank" w:history="1">
        <w:r w:rsidR="00BC2B12" w:rsidRPr="00BC2B12">
          <w:t>10.5281/zenodo.13960009</w:t>
        </w:r>
      </w:hyperlink>
    </w:p>
    <w:p w14:paraId="5C38D090" w14:textId="77777777" w:rsidR="00411166" w:rsidRPr="006A0209" w:rsidRDefault="00411166">
      <w:pPr>
        <w:pStyle w:val="EndNoteBibliography"/>
        <w:spacing w:after="0"/>
        <w:ind w:left="720" w:hanging="720"/>
      </w:pPr>
      <w:r w:rsidRPr="006A0209">
        <w:t>49.</w:t>
      </w:r>
      <w:r w:rsidRPr="006A0209">
        <w:tab/>
        <w:t xml:space="preserve">Wilkinson, M.D., Dumontier, M., Sansone, S.A., Bonino da Silva Santos, L.O., Prieto, M., Batista, D., McQuilton, P., Kuhn, T., Rocca-Serra, P., Crosas, M. and Schultes, E. (2019) Evaluating FAIR maturity through a scalable, automated, community-governed framework. </w:t>
      </w:r>
      <w:r w:rsidRPr="006A0209">
        <w:rPr>
          <w:i/>
        </w:rPr>
        <w:t>Scientific data</w:t>
      </w:r>
      <w:r w:rsidRPr="006A0209">
        <w:t xml:space="preserve">, </w:t>
      </w:r>
      <w:r w:rsidRPr="006A0209">
        <w:rPr>
          <w:b/>
        </w:rPr>
        <w:t>6</w:t>
      </w:r>
      <w:r w:rsidRPr="006A0209">
        <w:t>, 174.</w:t>
      </w:r>
    </w:p>
    <w:p w14:paraId="0AA60952" w14:textId="77777777" w:rsidR="00411166" w:rsidRPr="006A0209" w:rsidRDefault="00411166">
      <w:pPr>
        <w:pStyle w:val="EndNoteBibliography"/>
        <w:spacing w:after="0"/>
        <w:ind w:left="720" w:hanging="720"/>
      </w:pPr>
      <w:r w:rsidRPr="006A0209">
        <w:t>50.</w:t>
      </w:r>
      <w:r w:rsidRPr="006A0209">
        <w:tab/>
        <w:t xml:space="preserve">Fowler, D., Barratt, J. and Walsh, P. (2018) Frictionless data: Making research data quality visible. </w:t>
      </w:r>
      <w:r w:rsidRPr="006A0209">
        <w:rPr>
          <w:i/>
        </w:rPr>
        <w:t>International Journal of Digital Curation</w:t>
      </w:r>
      <w:r w:rsidRPr="006A0209">
        <w:t xml:space="preserve">, </w:t>
      </w:r>
      <w:r w:rsidRPr="006A0209">
        <w:rPr>
          <w:b/>
        </w:rPr>
        <w:t>12</w:t>
      </w:r>
      <w:r w:rsidRPr="006A0209">
        <w:t>, 274-285.</w:t>
      </w:r>
    </w:p>
    <w:p w14:paraId="1EC03C93" w14:textId="1477AC73" w:rsidR="00411166" w:rsidRPr="006A0209" w:rsidRDefault="00411166">
      <w:pPr>
        <w:pStyle w:val="EndNoteBibliography"/>
        <w:spacing w:after="0"/>
        <w:ind w:left="720" w:hanging="720"/>
      </w:pPr>
      <w:r w:rsidRPr="006A0209">
        <w:t>51.</w:t>
      </w:r>
      <w:r w:rsidRPr="006A0209">
        <w:tab/>
        <w:t xml:space="preserve">Seager, J. (2024) PHI-base 4 pipeline. </w:t>
      </w:r>
      <w:r w:rsidRPr="00BC2B12">
        <w:rPr>
          <w:i/>
          <w:iCs/>
        </w:rPr>
        <w:t>Zenodo</w:t>
      </w:r>
      <w:r w:rsidRPr="006A0209">
        <w:t>,</w:t>
      </w:r>
      <w:r w:rsidR="00BC2B12" w:rsidRPr="00BC2B12">
        <w:rPr>
          <w:color w:val="000000"/>
        </w:rPr>
        <w:t xml:space="preserve">  </w:t>
      </w:r>
      <w:r w:rsidRPr="006A0209">
        <w:t>10.5281/zenodo.13773740.</w:t>
      </w:r>
    </w:p>
    <w:p w14:paraId="4FE08634" w14:textId="77777777" w:rsidR="00411166" w:rsidRPr="006A0209" w:rsidRDefault="00411166">
      <w:pPr>
        <w:pStyle w:val="EndNoteBibliography"/>
        <w:spacing w:after="0"/>
        <w:ind w:left="720" w:hanging="720"/>
      </w:pPr>
      <w:r w:rsidRPr="006A0209">
        <w:t>52.</w:t>
      </w:r>
      <w:r w:rsidRPr="006A0209">
        <w:tab/>
        <w:t xml:space="preserve">Li, J., Chen, Z. and Wang, Y. (2020) Contents, construction methods, data resources, and functions comparative analysis of bacteria databases. </w:t>
      </w:r>
      <w:r w:rsidRPr="006A0209">
        <w:rPr>
          <w:i/>
        </w:rPr>
        <w:t>Int. J. Biol. Sci.</w:t>
      </w:r>
      <w:r w:rsidRPr="006A0209">
        <w:t xml:space="preserve">, </w:t>
      </w:r>
      <w:r w:rsidRPr="006A0209">
        <w:rPr>
          <w:b/>
        </w:rPr>
        <w:t>16</w:t>
      </w:r>
      <w:r w:rsidRPr="006A0209">
        <w:t>, 838-848.</w:t>
      </w:r>
    </w:p>
    <w:p w14:paraId="73895892" w14:textId="77777777" w:rsidR="00411166" w:rsidRPr="006A0209" w:rsidRDefault="00411166">
      <w:pPr>
        <w:pStyle w:val="EndNoteBibliography"/>
        <w:spacing w:after="0"/>
        <w:ind w:left="720" w:hanging="720"/>
      </w:pPr>
      <w:r w:rsidRPr="006A0209">
        <w:t>53.</w:t>
      </w:r>
      <w:r w:rsidRPr="006A0209">
        <w:tab/>
        <w:t xml:space="preserve">Muggia, L., Ametrano, C.G., Sterflinger, K. and Tesei, D. (2020) An Overview of Genomics, Phylogenomics and Proteomics Approaches in Ascomycota. </w:t>
      </w:r>
      <w:r w:rsidRPr="006A0209">
        <w:rPr>
          <w:i/>
        </w:rPr>
        <w:t>Life-Basel</w:t>
      </w:r>
      <w:r w:rsidRPr="006A0209">
        <w:t xml:space="preserve">, </w:t>
      </w:r>
      <w:r w:rsidRPr="006A0209">
        <w:rPr>
          <w:b/>
        </w:rPr>
        <w:t>10</w:t>
      </w:r>
      <w:r w:rsidRPr="006A0209">
        <w:t>, 77.</w:t>
      </w:r>
    </w:p>
    <w:p w14:paraId="7717D784" w14:textId="77777777" w:rsidR="00411166" w:rsidRPr="006A0209" w:rsidRDefault="00411166">
      <w:pPr>
        <w:pStyle w:val="EndNoteBibliography"/>
        <w:spacing w:after="0"/>
        <w:ind w:left="720" w:hanging="720"/>
      </w:pPr>
      <w:r w:rsidRPr="006A0209">
        <w:t>54.</w:t>
      </w:r>
      <w:r w:rsidRPr="006A0209">
        <w:tab/>
        <w:t xml:space="preserve">Du, Y., Li, J., Chen, S., Xia, Y. and Jin, K. (2024) Pathogenicity analysis and comparative genomics reveal the different infection strategies between the generalist </w:t>
      </w:r>
      <w:r w:rsidRPr="006A0209">
        <w:rPr>
          <w:i/>
        </w:rPr>
        <w:t xml:space="preserve">Metarhizium anisopliae </w:t>
      </w:r>
      <w:r w:rsidRPr="006A0209">
        <w:t xml:space="preserve">and the specialist </w:t>
      </w:r>
      <w:r w:rsidRPr="006A0209">
        <w:rPr>
          <w:i/>
        </w:rPr>
        <w:t>Metarhizium acridum</w:t>
      </w:r>
      <w:r w:rsidRPr="006A0209">
        <w:t xml:space="preserve">. </w:t>
      </w:r>
      <w:r w:rsidRPr="006A0209">
        <w:rPr>
          <w:i/>
        </w:rPr>
        <w:t>Pest Manag. Sci.</w:t>
      </w:r>
      <w:r w:rsidRPr="006A0209">
        <w:t xml:space="preserve">, </w:t>
      </w:r>
      <w:r w:rsidRPr="006A0209">
        <w:rPr>
          <w:b/>
        </w:rPr>
        <w:t>80</w:t>
      </w:r>
      <w:r w:rsidRPr="006A0209">
        <w:t>, 820-836.</w:t>
      </w:r>
    </w:p>
    <w:p w14:paraId="68B3D42B" w14:textId="77777777" w:rsidR="00411166" w:rsidRPr="006A0209" w:rsidRDefault="00411166">
      <w:pPr>
        <w:pStyle w:val="EndNoteBibliography"/>
        <w:spacing w:after="0"/>
        <w:ind w:left="720" w:hanging="720"/>
      </w:pPr>
      <w:r w:rsidRPr="006A0209">
        <w:t>55.</w:t>
      </w:r>
      <w:r w:rsidRPr="006A0209">
        <w:tab/>
        <w:t xml:space="preserve">Wernet, N., Wernet, V. and Fischer, R. (2021) The small-secreted cysteine-rich protein CyrA is a virulence factor participating in the attack of </w:t>
      </w:r>
      <w:r w:rsidRPr="006A0209">
        <w:rPr>
          <w:i/>
        </w:rPr>
        <w:lastRenderedPageBreak/>
        <w:t>Caenorhabditis elegans</w:t>
      </w:r>
      <w:r w:rsidRPr="006A0209">
        <w:t xml:space="preserve"> by </w:t>
      </w:r>
      <w:r w:rsidRPr="006A0209">
        <w:rPr>
          <w:i/>
        </w:rPr>
        <w:t>Duddingtonia flagrans</w:t>
      </w:r>
      <w:r w:rsidRPr="006A0209">
        <w:t xml:space="preserve">. </w:t>
      </w:r>
      <w:r w:rsidRPr="006A0209">
        <w:rPr>
          <w:i/>
        </w:rPr>
        <w:t>PLoS Pathog.</w:t>
      </w:r>
      <w:r w:rsidRPr="006A0209">
        <w:t xml:space="preserve">, </w:t>
      </w:r>
      <w:r w:rsidRPr="006A0209">
        <w:rPr>
          <w:b/>
        </w:rPr>
        <w:t>17</w:t>
      </w:r>
      <w:r w:rsidRPr="006A0209">
        <w:t>, e1010028.</w:t>
      </w:r>
    </w:p>
    <w:p w14:paraId="55DF6124" w14:textId="77777777" w:rsidR="00411166" w:rsidRPr="006A0209" w:rsidRDefault="00411166">
      <w:pPr>
        <w:pStyle w:val="EndNoteBibliography"/>
        <w:spacing w:after="0"/>
        <w:ind w:left="720" w:hanging="720"/>
      </w:pPr>
      <w:r w:rsidRPr="006A0209">
        <w:t>56.</w:t>
      </w:r>
      <w:r w:rsidRPr="006A0209">
        <w:tab/>
        <w:t>Amezrou, R., Ducasse, A., Compain, J., Lapalu, N., Pitarch, A., Dupont, L., Confais, J., Goyeau, H., Kema, G.H.J., Croll, D.</w:t>
      </w:r>
      <w:r w:rsidRPr="006A0209">
        <w:rPr>
          <w:i/>
        </w:rPr>
        <w:t xml:space="preserve"> et al.</w:t>
      </w:r>
      <w:r w:rsidRPr="006A0209">
        <w:t xml:space="preserve"> (2024) Quantitative pathogenicity and host adaptation in a fungal plant pathogen revealed by whole-genome sequencing. </w:t>
      </w:r>
      <w:r w:rsidRPr="006A0209">
        <w:rPr>
          <w:i/>
        </w:rPr>
        <w:t>Nat Commun</w:t>
      </w:r>
      <w:r w:rsidRPr="006A0209">
        <w:t xml:space="preserve">, </w:t>
      </w:r>
      <w:r w:rsidRPr="006A0209">
        <w:rPr>
          <w:b/>
        </w:rPr>
        <w:t>15</w:t>
      </w:r>
      <w:r w:rsidRPr="006A0209">
        <w:t>, 1933.</w:t>
      </w:r>
    </w:p>
    <w:p w14:paraId="759E9504" w14:textId="77777777" w:rsidR="00411166" w:rsidRPr="006A0209" w:rsidRDefault="00411166">
      <w:pPr>
        <w:pStyle w:val="EndNoteBibliography"/>
        <w:spacing w:after="0"/>
        <w:ind w:left="720" w:hanging="720"/>
      </w:pPr>
      <w:r w:rsidRPr="006A0209">
        <w:t>57.</w:t>
      </w:r>
      <w:r w:rsidRPr="006A0209">
        <w:tab/>
        <w:t xml:space="preserve">Alouane, T., Rimbert, H., Bormann, J., Gonzalez-Montiel, G.A., Loesgen, S., Schafer, W., Freitag, M., Langin, T. and Bonhomme, L. (2021) Comparative genomics of eight </w:t>
      </w:r>
      <w:r w:rsidRPr="006A0209">
        <w:rPr>
          <w:i/>
        </w:rPr>
        <w:t>Fusarium graminearum</w:t>
      </w:r>
      <w:r w:rsidRPr="006A0209">
        <w:t xml:space="preserve"> strains with contrasting aggressiveness reveals an expanded open pangenome and extended effector content signatures. </w:t>
      </w:r>
      <w:r w:rsidRPr="006A0209">
        <w:rPr>
          <w:i/>
        </w:rPr>
        <w:t>Int J Mol Sci</w:t>
      </w:r>
      <w:r w:rsidRPr="006A0209">
        <w:t>, 10.3390/ijms22126257.</w:t>
      </w:r>
    </w:p>
    <w:p w14:paraId="5FC7ACB8" w14:textId="77777777" w:rsidR="00411166" w:rsidRPr="006A0209" w:rsidRDefault="00411166">
      <w:pPr>
        <w:pStyle w:val="EndNoteBibliography"/>
        <w:spacing w:after="0"/>
        <w:ind w:left="720" w:hanging="720"/>
      </w:pPr>
      <w:r w:rsidRPr="006A0209">
        <w:t>58.</w:t>
      </w:r>
      <w:r w:rsidRPr="006A0209">
        <w:tab/>
        <w:t xml:space="preserve">Liu, B.B., Salam, N., Narsing Rao, M.P., Cheng, S., Xie, Y.G., Wang, L.Y., Zhang, Y.R., Yu, X.Y., Guo, S.X. and Li, W.J. (2022) </w:t>
      </w:r>
      <w:r w:rsidRPr="006A0209">
        <w:rPr>
          <w:i/>
        </w:rPr>
        <w:t>Haloterrigena gelatinilytica</w:t>
      </w:r>
      <w:r w:rsidRPr="006A0209">
        <w:t xml:space="preserve"> sp. </w:t>
      </w:r>
      <w:r w:rsidRPr="006A0209">
        <w:rPr>
          <w:i/>
        </w:rPr>
        <w:t>nov.</w:t>
      </w:r>
      <w:r w:rsidRPr="006A0209">
        <w:t xml:space="preserve">, a new extremely halophilic archaeon isolated from salt-lake. </w:t>
      </w:r>
      <w:r w:rsidRPr="006A0209">
        <w:rPr>
          <w:i/>
        </w:rPr>
        <w:t>Arch. Microbiol.</w:t>
      </w:r>
      <w:r w:rsidRPr="006A0209">
        <w:t xml:space="preserve">, </w:t>
      </w:r>
      <w:r w:rsidRPr="006A0209">
        <w:rPr>
          <w:b/>
        </w:rPr>
        <w:t>204</w:t>
      </w:r>
      <w:r w:rsidRPr="006A0209">
        <w:t>, 176.</w:t>
      </w:r>
    </w:p>
    <w:p w14:paraId="0A39E8D6" w14:textId="77777777" w:rsidR="00411166" w:rsidRPr="006A0209" w:rsidRDefault="00411166">
      <w:pPr>
        <w:pStyle w:val="EndNoteBibliography"/>
        <w:spacing w:after="0"/>
        <w:ind w:left="720" w:hanging="720"/>
      </w:pPr>
      <w:r w:rsidRPr="006A0209">
        <w:t>59.</w:t>
      </w:r>
      <w:r w:rsidRPr="006A0209">
        <w:tab/>
        <w:t xml:space="preserve">Vannier, N., Mesny, F., Getzke, F., Chesneau, G., Dethier, L., Ordon, J., Thiergart, T. and Hacquard, S. (2023) Genome-resolved metatranscriptomics reveals conserved root colonization determinants in a synthetic microbiota. </w:t>
      </w:r>
      <w:r w:rsidRPr="006A0209">
        <w:rPr>
          <w:i/>
        </w:rPr>
        <w:t>Nat Commun</w:t>
      </w:r>
      <w:r w:rsidRPr="006A0209">
        <w:t xml:space="preserve">, </w:t>
      </w:r>
      <w:r w:rsidRPr="006A0209">
        <w:rPr>
          <w:b/>
        </w:rPr>
        <w:t>14</w:t>
      </w:r>
      <w:r w:rsidRPr="006A0209">
        <w:t>, 8274.</w:t>
      </w:r>
    </w:p>
    <w:p w14:paraId="6AA612FC" w14:textId="77777777" w:rsidR="00411166" w:rsidRPr="006A0209" w:rsidRDefault="00411166">
      <w:pPr>
        <w:pStyle w:val="EndNoteBibliography"/>
        <w:spacing w:after="0"/>
        <w:ind w:left="720" w:hanging="720"/>
      </w:pPr>
      <w:r w:rsidRPr="006A0209">
        <w:t>60.</w:t>
      </w:r>
      <w:r w:rsidRPr="006A0209">
        <w:tab/>
        <w:t xml:space="preserve">Ji, W., Ma, J., Zheng, Z., Al-Herrawy, A.Z., Xie, B. and Wu, D. (2024) Algae blooms with resistance in fresh water: Potential interplay between </w:t>
      </w:r>
      <w:r w:rsidRPr="006A0209">
        <w:rPr>
          <w:i/>
        </w:rPr>
        <w:t xml:space="preserve">Microcystis </w:t>
      </w:r>
      <w:r w:rsidRPr="006A0209">
        <w:t xml:space="preserve">and antibiotic resistance genes. </w:t>
      </w:r>
      <w:r w:rsidRPr="006A0209">
        <w:rPr>
          <w:i/>
        </w:rPr>
        <w:t>Sci. Total Environ.</w:t>
      </w:r>
      <w:r w:rsidRPr="006A0209">
        <w:t xml:space="preserve">, </w:t>
      </w:r>
      <w:r w:rsidRPr="006A0209">
        <w:rPr>
          <w:b/>
        </w:rPr>
        <w:t>940</w:t>
      </w:r>
      <w:r w:rsidRPr="006A0209">
        <w:t>, 173528.</w:t>
      </w:r>
    </w:p>
    <w:p w14:paraId="00334510" w14:textId="77777777" w:rsidR="00411166" w:rsidRPr="006A0209" w:rsidRDefault="00411166">
      <w:pPr>
        <w:pStyle w:val="EndNoteBibliography"/>
        <w:spacing w:after="0"/>
        <w:ind w:left="720" w:hanging="720"/>
      </w:pPr>
      <w:r w:rsidRPr="006A0209">
        <w:t>61.</w:t>
      </w:r>
      <w:r w:rsidRPr="006A0209">
        <w:tab/>
        <w:t xml:space="preserve">Giolai, M., Verweij, W., Martin, S., Pearson, N., Nicholson, P., Leggett, R.M. and Clark, M.D. (2024) Measuring air metagenomic diversity in an agricultural ecosystem. </w:t>
      </w:r>
      <w:r w:rsidRPr="006A0209">
        <w:rPr>
          <w:i/>
        </w:rPr>
        <w:t>Curr. Biol.</w:t>
      </w:r>
      <w:r w:rsidRPr="006A0209">
        <w:t xml:space="preserve">, </w:t>
      </w:r>
      <w:r w:rsidRPr="006A0209">
        <w:rPr>
          <w:b/>
        </w:rPr>
        <w:t>34</w:t>
      </w:r>
      <w:r w:rsidRPr="006A0209">
        <w:t>, 3778-3791 e3774.</w:t>
      </w:r>
    </w:p>
    <w:p w14:paraId="49ED1F6C" w14:textId="77777777" w:rsidR="00411166" w:rsidRPr="006A0209" w:rsidRDefault="00411166">
      <w:pPr>
        <w:pStyle w:val="EndNoteBibliography"/>
        <w:spacing w:after="0"/>
        <w:ind w:left="720" w:hanging="720"/>
      </w:pPr>
      <w:r w:rsidRPr="006A0209">
        <w:t>62.</w:t>
      </w:r>
      <w:r w:rsidRPr="006A0209">
        <w:tab/>
        <w:t xml:space="preserve">Núñez, A. and García, A.M. (2023) The aerobiome in a hospital environment: Characterization, seasonal tendencies and the effect of window opening ventilation. </w:t>
      </w:r>
      <w:r w:rsidRPr="006A0209">
        <w:rPr>
          <w:i/>
        </w:rPr>
        <w:t>Build. Environ.</w:t>
      </w:r>
      <w:r w:rsidRPr="006A0209">
        <w:t xml:space="preserve">, </w:t>
      </w:r>
      <w:r w:rsidRPr="006A0209">
        <w:rPr>
          <w:b/>
        </w:rPr>
        <w:t>230</w:t>
      </w:r>
      <w:r w:rsidRPr="006A0209">
        <w:t>, 11.</w:t>
      </w:r>
    </w:p>
    <w:p w14:paraId="28DB5D4F" w14:textId="77777777" w:rsidR="00411166" w:rsidRPr="006A0209" w:rsidRDefault="00411166">
      <w:pPr>
        <w:pStyle w:val="EndNoteBibliography"/>
        <w:spacing w:after="0"/>
        <w:ind w:left="720" w:hanging="720"/>
      </w:pPr>
      <w:r w:rsidRPr="006A0209">
        <w:t>63.</w:t>
      </w:r>
      <w:r w:rsidRPr="006A0209">
        <w:tab/>
        <w:t xml:space="preserve">Liu, Z., Li, X., Li, J., Zhao, H., Deng, X., Su, Y., Li, R. and Chen, B. (2022) Identification of gene modules and hub genes associated with </w:t>
      </w:r>
      <w:r w:rsidRPr="006A0209">
        <w:rPr>
          <w:i/>
        </w:rPr>
        <w:t xml:space="preserve">Sporisorium scitamineum </w:t>
      </w:r>
      <w:r w:rsidRPr="006A0209">
        <w:t xml:space="preserve">infection using weighted gene co-expression network analysis. </w:t>
      </w:r>
      <w:r w:rsidRPr="006A0209">
        <w:rPr>
          <w:i/>
        </w:rPr>
        <w:t>J Fungi (Basel)</w:t>
      </w:r>
      <w:r w:rsidRPr="006A0209">
        <w:t>, 10.3390/jof8080852.</w:t>
      </w:r>
    </w:p>
    <w:p w14:paraId="02977738" w14:textId="77777777" w:rsidR="00411166" w:rsidRPr="006A0209" w:rsidRDefault="00411166">
      <w:pPr>
        <w:pStyle w:val="EndNoteBibliography"/>
        <w:spacing w:after="0"/>
        <w:ind w:left="720" w:hanging="720"/>
      </w:pPr>
      <w:r w:rsidRPr="006A0209">
        <w:t>64.</w:t>
      </w:r>
      <w:r w:rsidRPr="006A0209">
        <w:tab/>
        <w:t>Guerrero-Egido, G., Pintado, A., Bretscher, K.M., Arias-Giraldo, L.M., Paulson, J.N., Spaink, H.P., Claessen, D., Ramos, C., Cazorla, F.M., Medema, M.H.</w:t>
      </w:r>
      <w:r w:rsidRPr="006A0209">
        <w:rPr>
          <w:i/>
        </w:rPr>
        <w:t xml:space="preserve"> et al.</w:t>
      </w:r>
      <w:r w:rsidRPr="006A0209">
        <w:t xml:space="preserve"> (2024) bacLIFE: A user-friendly computational workflow for genome analysis and prediction of lifestyle-associated genes in bacteria. </w:t>
      </w:r>
      <w:r w:rsidRPr="006A0209">
        <w:rPr>
          <w:i/>
        </w:rPr>
        <w:t>Nat Commun</w:t>
      </w:r>
      <w:r w:rsidRPr="006A0209">
        <w:t xml:space="preserve">, </w:t>
      </w:r>
      <w:r w:rsidRPr="006A0209">
        <w:rPr>
          <w:b/>
        </w:rPr>
        <w:t>15</w:t>
      </w:r>
      <w:r w:rsidRPr="006A0209">
        <w:t>, 2072.</w:t>
      </w:r>
    </w:p>
    <w:p w14:paraId="07C558D1" w14:textId="77777777" w:rsidR="00411166" w:rsidRPr="006A0209" w:rsidRDefault="00411166">
      <w:pPr>
        <w:pStyle w:val="EndNoteBibliography"/>
        <w:spacing w:after="0"/>
        <w:ind w:left="720" w:hanging="720"/>
      </w:pPr>
      <w:r w:rsidRPr="006A0209">
        <w:t>65.</w:t>
      </w:r>
      <w:r w:rsidRPr="006A0209">
        <w:tab/>
        <w:t>Wang, J., Li, J., Hou, Y., Dai, W., Xie, R., Marquez-Lago, T.T., Leier, A., Zhou, T., Torres, V., Hay, I.</w:t>
      </w:r>
      <w:r w:rsidRPr="006A0209">
        <w:rPr>
          <w:i/>
        </w:rPr>
        <w:t xml:space="preserve"> et al.</w:t>
      </w:r>
      <w:r w:rsidRPr="006A0209">
        <w:t xml:space="preserve"> (2021) BastionHub: A universal platform for integrating and analyzing substrates secreted by Gram-negative bacteria. </w:t>
      </w:r>
      <w:r w:rsidRPr="006A0209">
        <w:rPr>
          <w:i/>
        </w:rPr>
        <w:t>Nucleic Acids Res.</w:t>
      </w:r>
      <w:r w:rsidRPr="006A0209">
        <w:t xml:space="preserve">, </w:t>
      </w:r>
      <w:r w:rsidRPr="006A0209">
        <w:rPr>
          <w:b/>
        </w:rPr>
        <w:t>49</w:t>
      </w:r>
      <w:r w:rsidRPr="006A0209">
        <w:t>, D651-D659.</w:t>
      </w:r>
    </w:p>
    <w:p w14:paraId="38ED099E" w14:textId="77777777" w:rsidR="00411166" w:rsidRPr="006A0209" w:rsidRDefault="00411166">
      <w:pPr>
        <w:pStyle w:val="EndNoteBibliography"/>
        <w:spacing w:after="0"/>
        <w:ind w:left="720" w:hanging="720"/>
      </w:pPr>
      <w:r w:rsidRPr="006A0209">
        <w:t>66.</w:t>
      </w:r>
      <w:r w:rsidRPr="006A0209">
        <w:tab/>
        <w:t xml:space="preserve">Rozano, L., Jones, D.A.B., Hane, J.K. and Mancera, R.L. (2024) Template-Based Modelling of the Structure of Fungal Effector Proteins. </w:t>
      </w:r>
      <w:r w:rsidRPr="006A0209">
        <w:rPr>
          <w:i/>
        </w:rPr>
        <w:t>Mol. Biotechnol.</w:t>
      </w:r>
      <w:r w:rsidRPr="006A0209">
        <w:t xml:space="preserve">, </w:t>
      </w:r>
      <w:r w:rsidRPr="006A0209">
        <w:rPr>
          <w:b/>
        </w:rPr>
        <w:t>66</w:t>
      </w:r>
      <w:r w:rsidRPr="006A0209">
        <w:t>, 784-813.</w:t>
      </w:r>
    </w:p>
    <w:p w14:paraId="7896CC00" w14:textId="77777777" w:rsidR="00411166" w:rsidRPr="006A0209" w:rsidRDefault="00411166">
      <w:pPr>
        <w:pStyle w:val="EndNoteBibliography"/>
        <w:ind w:left="720" w:hanging="720"/>
      </w:pPr>
      <w:r w:rsidRPr="006A0209">
        <w:t>67.</w:t>
      </w:r>
      <w:r w:rsidRPr="006A0209">
        <w:tab/>
        <w:t xml:space="preserve">Zhang, Q., Lu, J. and Jin, Y.C. (2021) Artificial intelligence in recommender systems. </w:t>
      </w:r>
      <w:r w:rsidRPr="006A0209">
        <w:rPr>
          <w:i/>
        </w:rPr>
        <w:t>Complex &amp; Intelligent Systems</w:t>
      </w:r>
      <w:r w:rsidRPr="006A0209">
        <w:t xml:space="preserve">, </w:t>
      </w:r>
      <w:r w:rsidRPr="006A0209">
        <w:rPr>
          <w:b/>
        </w:rPr>
        <w:t>7</w:t>
      </w:r>
      <w:r w:rsidRPr="006A0209">
        <w:t>, 439-457.</w:t>
      </w:r>
    </w:p>
    <w:p w14:paraId="4C1D1635" w14:textId="77777777" w:rsidR="00411166" w:rsidRDefault="00411166">
      <w:pPr>
        <w:ind w:right="119"/>
      </w:pPr>
    </w:p>
    <w:p w14:paraId="12E9D2FD" w14:textId="77777777" w:rsidR="00411166" w:rsidRDefault="00411166">
      <w:pPr>
        <w:ind w:right="119"/>
      </w:pPr>
    </w:p>
    <w:p w14:paraId="2610C249" w14:textId="77777777" w:rsidR="00411166" w:rsidRDefault="00411166">
      <w:pPr>
        <w:ind w:right="119"/>
      </w:pPr>
    </w:p>
    <w:p w14:paraId="6BFA43D5" w14:textId="536100CC" w:rsidR="0090554F" w:rsidRDefault="0090554F">
      <w:pPr>
        <w:spacing w:after="160" w:line="259" w:lineRule="auto"/>
        <w:ind w:right="0"/>
      </w:pPr>
      <w:r>
        <w:br w:type="page"/>
      </w:r>
    </w:p>
    <w:p w14:paraId="7B092FFF" w14:textId="77777777" w:rsidR="00411166" w:rsidRPr="00DD0EC4" w:rsidRDefault="00411166">
      <w:pPr>
        <w:pStyle w:val="Heading1"/>
        <w:rPr>
          <w:b/>
          <w:bCs/>
        </w:rPr>
      </w:pPr>
      <w:r w:rsidRPr="00DD0EC4">
        <w:rPr>
          <w:b/>
          <w:bCs/>
        </w:rPr>
        <w:lastRenderedPageBreak/>
        <w:t>Figures and tables</w:t>
      </w:r>
    </w:p>
    <w:p w14:paraId="2A833FF3" w14:textId="77777777" w:rsidR="00411166" w:rsidRDefault="00411166"/>
    <w:p w14:paraId="08391FED" w14:textId="77777777" w:rsidR="00411166" w:rsidRPr="00046452" w:rsidRDefault="00411166"/>
    <w:p w14:paraId="128A87FD" w14:textId="77777777" w:rsidR="00411166" w:rsidRDefault="00411166">
      <w:pPr>
        <w:ind w:left="-142"/>
      </w:pPr>
      <w:r w:rsidRPr="00046452">
        <w:rPr>
          <w:noProof/>
        </w:rPr>
        <w:drawing>
          <wp:inline distT="0" distB="0" distL="0" distR="0" wp14:anchorId="1766453D" wp14:editId="497B0196">
            <wp:extent cx="6194869" cy="4389120"/>
            <wp:effectExtent l="0" t="0" r="0" b="0"/>
            <wp:docPr id="1519426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26539" name=""/>
                    <pic:cNvPicPr/>
                  </pic:nvPicPr>
                  <pic:blipFill>
                    <a:blip r:embed="rId31"/>
                    <a:stretch>
                      <a:fillRect/>
                    </a:stretch>
                  </pic:blipFill>
                  <pic:spPr>
                    <a:xfrm>
                      <a:off x="0" y="0"/>
                      <a:ext cx="6221868" cy="4408249"/>
                    </a:xfrm>
                    <a:prstGeom prst="rect">
                      <a:avLst/>
                    </a:prstGeom>
                  </pic:spPr>
                </pic:pic>
              </a:graphicData>
            </a:graphic>
          </wp:inline>
        </w:drawing>
      </w:r>
    </w:p>
    <w:p w14:paraId="47344E5A" w14:textId="77777777" w:rsidR="00D731DD" w:rsidRDefault="00D731DD">
      <w:pPr>
        <w:ind w:left="-142"/>
      </w:pPr>
    </w:p>
    <w:p w14:paraId="678FB3EC" w14:textId="77777777" w:rsidR="00411166" w:rsidRPr="00E06808" w:rsidRDefault="00411166" w:rsidP="00E06808">
      <w:pPr>
        <w:pStyle w:val="Heading4"/>
        <w:ind w:right="-306"/>
        <w:rPr>
          <w:color w:val="auto"/>
        </w:rPr>
      </w:pPr>
      <w:r w:rsidRPr="00E06808">
        <w:rPr>
          <w:b/>
          <w:bCs/>
          <w:color w:val="auto"/>
        </w:rPr>
        <w:t>Figure 1:</w:t>
      </w:r>
      <w:r w:rsidRPr="00E06808">
        <w:rPr>
          <w:color w:val="auto"/>
        </w:rPr>
        <w:t xml:space="preserve"> Distribution of proteins across COG categories for wheat, plant (non-wheat) and animal pathogens</w:t>
      </w:r>
    </w:p>
    <w:p w14:paraId="0EF65BB9" w14:textId="77777777" w:rsidR="00411166" w:rsidRDefault="00411166">
      <w:pPr>
        <w:ind w:right="-23"/>
        <w:rPr>
          <w:rFonts w:eastAsia="Times New Roman"/>
          <w:color w:val="000000"/>
          <w:sz w:val="20"/>
          <w:szCs w:val="20"/>
          <w:lang w:val="en-US"/>
        </w:rPr>
      </w:pPr>
      <w:r w:rsidRPr="00046452">
        <w:rPr>
          <w:rFonts w:eastAsia="Times New Roman"/>
          <w:color w:val="000000"/>
          <w:sz w:val="20"/>
          <w:szCs w:val="20"/>
          <w:lang w:val="en-US"/>
        </w:rPr>
        <w:t>The bar plot shows the distribution of mapped PHI proteins (7,545 proteins) to EMBL’s EggNOG database (44) for wheat pathogens (2,127 proteins), other plant pathogens (1,573 proteins) and animal pathogens (3,845 proteins) across 23 COG functional categories (y-axis). Functional categories are grayscale-coded by pathogen type. The total number of mapped proteins in each functional category is shown on the bars to allow comparison between pathogen groups</w:t>
      </w:r>
    </w:p>
    <w:p w14:paraId="2DA8D158" w14:textId="2BE58709" w:rsidR="00571F14" w:rsidRDefault="00571F14">
      <w:pPr>
        <w:spacing w:after="160" w:line="259" w:lineRule="auto"/>
        <w:ind w:right="0"/>
        <w:rPr>
          <w:rFonts w:eastAsia="Times New Roman"/>
          <w:color w:val="000000"/>
          <w:sz w:val="20"/>
          <w:szCs w:val="20"/>
          <w:lang w:val="en-US"/>
        </w:rPr>
      </w:pPr>
      <w:r>
        <w:rPr>
          <w:rFonts w:eastAsia="Times New Roman"/>
          <w:color w:val="000000"/>
          <w:sz w:val="20"/>
          <w:szCs w:val="20"/>
          <w:lang w:val="en-US"/>
        </w:rPr>
        <w:br w:type="page"/>
      </w:r>
    </w:p>
    <w:p w14:paraId="520AFE4E" w14:textId="6FCA1CB7" w:rsidR="00571F14" w:rsidRDefault="00E06808">
      <w:pPr>
        <w:ind w:right="-23"/>
        <w:rPr>
          <w:rFonts w:eastAsia="Times New Roman"/>
          <w:color w:val="000000"/>
          <w:sz w:val="20"/>
          <w:szCs w:val="20"/>
          <w:lang w:val="en-US"/>
        </w:rPr>
      </w:pPr>
      <w:r>
        <w:rPr>
          <w:rFonts w:eastAsia="Times New Roman"/>
          <w:noProof/>
          <w:color w:val="000000"/>
          <w:sz w:val="20"/>
          <w:szCs w:val="20"/>
          <w:lang w:val="en-US"/>
        </w:rPr>
        <w:lastRenderedPageBreak/>
        <w:drawing>
          <wp:inline distT="0" distB="0" distL="0" distR="0" wp14:anchorId="0F3008F2" wp14:editId="270E5C70">
            <wp:extent cx="5917807" cy="6209527"/>
            <wp:effectExtent l="0" t="0" r="6985" b="1270"/>
            <wp:docPr id="1437823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5324" b="20421"/>
                    <a:stretch/>
                  </pic:blipFill>
                  <pic:spPr bwMode="auto">
                    <a:xfrm>
                      <a:off x="0" y="0"/>
                      <a:ext cx="5918200" cy="6209939"/>
                    </a:xfrm>
                    <a:prstGeom prst="rect">
                      <a:avLst/>
                    </a:prstGeom>
                    <a:noFill/>
                    <a:ln>
                      <a:noFill/>
                    </a:ln>
                    <a:extLst>
                      <a:ext uri="{53640926-AAD7-44D8-BBD7-CCE9431645EC}">
                        <a14:shadowObscured xmlns:a14="http://schemas.microsoft.com/office/drawing/2010/main"/>
                      </a:ext>
                    </a:extLst>
                  </pic:spPr>
                </pic:pic>
              </a:graphicData>
            </a:graphic>
          </wp:inline>
        </w:drawing>
      </w:r>
    </w:p>
    <w:p w14:paraId="1A461663" w14:textId="77777777" w:rsidR="00D731DD" w:rsidRDefault="00E06808" w:rsidP="00D731DD">
      <w:pPr>
        <w:pStyle w:val="Heading4"/>
        <w:ind w:right="261"/>
        <w:rPr>
          <w:color w:val="000000"/>
        </w:rPr>
      </w:pPr>
      <w:r w:rsidRPr="00E06808">
        <w:rPr>
          <w:b/>
          <w:bCs/>
          <w:color w:val="auto"/>
        </w:rPr>
        <w:t xml:space="preserve">Figure </w:t>
      </w:r>
      <w:r>
        <w:rPr>
          <w:b/>
          <w:bCs/>
          <w:color w:val="auto"/>
        </w:rPr>
        <w:t>2</w:t>
      </w:r>
      <w:r w:rsidRPr="00E06808">
        <w:rPr>
          <w:b/>
          <w:bCs/>
          <w:color w:val="auto"/>
        </w:rPr>
        <w:t>:</w:t>
      </w:r>
      <w:r w:rsidRPr="00E06808">
        <w:rPr>
          <w:color w:val="auto"/>
        </w:rPr>
        <w:t xml:space="preserve"> </w:t>
      </w:r>
      <w:r w:rsidR="00D731DD" w:rsidRPr="00D731DD">
        <w:rPr>
          <w:color w:val="000000"/>
        </w:rPr>
        <w:t>Simplified examples of the Advanced Search feature on the PHI-base 5 website with abbreviated search results</w:t>
      </w:r>
    </w:p>
    <w:p w14:paraId="242AC2CB" w14:textId="0DD5A5A4" w:rsidR="00571F14" w:rsidRPr="00D731DD" w:rsidRDefault="00D731DD" w:rsidP="00D731DD">
      <w:pPr>
        <w:ind w:right="828"/>
        <w:rPr>
          <w:sz w:val="20"/>
          <w:szCs w:val="20"/>
        </w:rPr>
      </w:pPr>
      <w:r w:rsidRPr="00D731DD">
        <w:rPr>
          <w:sz w:val="20"/>
          <w:szCs w:val="20"/>
          <w:lang w:val="en-US"/>
        </w:rPr>
        <w:t xml:space="preserve">Examples are: (A) searching for genes in an interaction that is annotated with a single PHIPO phenotype term; (B) searching for genes annotated with the PHI-base 4 high-level term 'Effector’; (C) Searching for genes that are part of inverse gene-for-gene interactions; (D) searching for </w:t>
      </w:r>
      <w:r w:rsidRPr="00D731DD">
        <w:rPr>
          <w:i/>
          <w:iCs/>
          <w:sz w:val="20"/>
          <w:szCs w:val="20"/>
          <w:lang w:val="en-US"/>
        </w:rPr>
        <w:t xml:space="preserve">E. coli </w:t>
      </w:r>
      <w:r w:rsidRPr="00D731DD">
        <w:rPr>
          <w:sz w:val="20"/>
          <w:szCs w:val="20"/>
          <w:lang w:val="en-US"/>
        </w:rPr>
        <w:t>genes that are associated with reduced virulence (e.g. when deleted). Vertical dots indicate that search results have been omitted for brevity.</w:t>
      </w:r>
    </w:p>
    <w:p w14:paraId="193C424F" w14:textId="77777777" w:rsidR="00571F14" w:rsidRDefault="00571F14">
      <w:pPr>
        <w:ind w:right="-23"/>
        <w:rPr>
          <w:rFonts w:eastAsia="Times New Roman"/>
          <w:color w:val="000000"/>
          <w:sz w:val="20"/>
          <w:szCs w:val="20"/>
          <w:lang w:val="en-US"/>
        </w:rPr>
      </w:pPr>
    </w:p>
    <w:p w14:paraId="21DCCB86" w14:textId="77777777" w:rsidR="00571F14" w:rsidRDefault="00571F14">
      <w:pPr>
        <w:ind w:right="-23"/>
        <w:rPr>
          <w:rFonts w:eastAsia="Times New Roman"/>
          <w:color w:val="000000"/>
          <w:sz w:val="20"/>
          <w:szCs w:val="20"/>
          <w:lang w:val="en-US"/>
        </w:rPr>
      </w:pPr>
    </w:p>
    <w:p w14:paraId="6227CCB8" w14:textId="77777777" w:rsidR="00571F14" w:rsidRDefault="00571F14">
      <w:pPr>
        <w:ind w:right="-23"/>
        <w:rPr>
          <w:rFonts w:eastAsia="Times New Roman"/>
          <w:color w:val="000000"/>
          <w:sz w:val="20"/>
          <w:szCs w:val="20"/>
          <w:lang w:val="en-US"/>
        </w:rPr>
      </w:pPr>
    </w:p>
    <w:p w14:paraId="1C298CC5" w14:textId="77777777" w:rsidR="00411166" w:rsidRPr="00361493" w:rsidRDefault="00411166">
      <w:pPr>
        <w:ind w:right="-23"/>
        <w:sectPr w:rsidR="00411166" w:rsidRPr="00361493" w:rsidSect="00D731DD">
          <w:pgSz w:w="11906" w:h="16838"/>
          <w:pgMar w:top="1440" w:right="849" w:bottom="1440" w:left="1440" w:header="708" w:footer="708" w:gutter="0"/>
          <w:cols w:space="708"/>
          <w:docGrid w:linePitch="360"/>
        </w:sectPr>
      </w:pPr>
      <w:r w:rsidRPr="00046452">
        <w:rPr>
          <w:rFonts w:eastAsia="Times New Roman"/>
          <w:color w:val="000000"/>
          <w:sz w:val="20"/>
          <w:szCs w:val="20"/>
          <w:lang w:val="en-US"/>
        </w:rPr>
        <w:t>.</w:t>
      </w:r>
    </w:p>
    <w:p w14:paraId="010A1CC4" w14:textId="53B2E3EB" w:rsidR="00411166" w:rsidRPr="00967BE7" w:rsidRDefault="7308F284" w:rsidP="692906EA">
      <w:pPr>
        <w:keepNext/>
        <w:keepLines/>
        <w:spacing w:before="240"/>
        <w:ind w:right="0"/>
        <w:outlineLvl w:val="2"/>
        <w:rPr>
          <w:rFonts w:ascii="Calibri" w:eastAsia="Calibri" w:hAnsi="Calibri" w:cs="Calibri"/>
          <w:b/>
          <w:bCs/>
          <w:sz w:val="28"/>
          <w:szCs w:val="28"/>
          <w:lang w:val="en-US" w:eastAsia="en-GB"/>
        </w:rPr>
      </w:pPr>
      <w:bookmarkStart w:id="25" w:name="_jxp8mfhejka"/>
      <w:bookmarkEnd w:id="25"/>
      <w:r w:rsidRPr="692906EA">
        <w:rPr>
          <w:rFonts w:ascii="Calibri" w:eastAsia="Calibri" w:hAnsi="Calibri" w:cs="Calibri"/>
          <w:b/>
          <w:bCs/>
          <w:sz w:val="28"/>
          <w:szCs w:val="28"/>
          <w:lang w:val="en-US" w:eastAsia="en-GB"/>
        </w:rPr>
        <w:lastRenderedPageBreak/>
        <w:t xml:space="preserve">Table 1. Summary of pathogen </w:t>
      </w:r>
      <w:r w:rsidR="627095AF" w:rsidRPr="00220129">
        <w:rPr>
          <w:rFonts w:ascii="Calibri" w:eastAsia="Calibri" w:hAnsi="Calibri" w:cs="Calibri"/>
          <w:b/>
          <w:bCs/>
          <w:color w:val="000000" w:themeColor="text1"/>
          <w:sz w:val="28"/>
          <w:szCs w:val="28"/>
          <w:lang w:val="en-US" w:eastAsia="en-GB"/>
        </w:rPr>
        <w:t xml:space="preserve">taxonomic </w:t>
      </w:r>
      <w:r w:rsidRPr="692906EA">
        <w:rPr>
          <w:rFonts w:ascii="Calibri" w:eastAsia="Calibri" w:hAnsi="Calibri" w:cs="Calibri"/>
          <w:b/>
          <w:bCs/>
          <w:sz w:val="28"/>
          <w:szCs w:val="28"/>
          <w:lang w:val="en-US" w:eastAsia="en-GB"/>
        </w:rPr>
        <w:t>groups, interactions and phenotypes within PHI-base version 4.17</w:t>
      </w:r>
    </w:p>
    <w:tbl>
      <w:tblPr>
        <w:tblW w:w="10222" w:type="dxa"/>
        <w:tblInd w:w="-426" w:type="dxa"/>
        <w:tblLook w:val="04A0" w:firstRow="1" w:lastRow="0" w:firstColumn="1" w:lastColumn="0" w:noHBand="0" w:noVBand="1"/>
      </w:tblPr>
      <w:tblGrid>
        <w:gridCol w:w="3828"/>
        <w:gridCol w:w="1256"/>
        <w:gridCol w:w="1156"/>
        <w:gridCol w:w="1116"/>
        <w:gridCol w:w="1183"/>
        <w:gridCol w:w="909"/>
        <w:gridCol w:w="774"/>
      </w:tblGrid>
      <w:tr w:rsidR="00411166" w:rsidRPr="00361493" w14:paraId="17DAFD1D" w14:textId="77777777">
        <w:trPr>
          <w:trHeight w:val="288"/>
        </w:trPr>
        <w:tc>
          <w:tcPr>
            <w:tcW w:w="3828" w:type="dxa"/>
            <w:tcBorders>
              <w:top w:val="single" w:sz="4" w:space="0" w:color="auto"/>
              <w:left w:val="nil"/>
              <w:bottom w:val="single" w:sz="4" w:space="0" w:color="auto"/>
              <w:right w:val="nil"/>
            </w:tcBorders>
            <w:noWrap/>
            <w:vAlign w:val="bottom"/>
            <w:hideMark/>
          </w:tcPr>
          <w:p w14:paraId="7BFE2B58" w14:textId="77777777" w:rsidR="00411166" w:rsidRPr="00361493" w:rsidRDefault="00411166">
            <w:pPr>
              <w:spacing w:after="0" w:line="240" w:lineRule="auto"/>
              <w:ind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Data type</w:t>
            </w:r>
          </w:p>
        </w:tc>
        <w:tc>
          <w:tcPr>
            <w:tcW w:w="1256" w:type="dxa"/>
            <w:tcBorders>
              <w:top w:val="single" w:sz="4" w:space="0" w:color="auto"/>
              <w:left w:val="nil"/>
              <w:bottom w:val="single" w:sz="4" w:space="0" w:color="auto"/>
              <w:right w:val="nil"/>
            </w:tcBorders>
            <w:noWrap/>
            <w:vAlign w:val="bottom"/>
            <w:hideMark/>
          </w:tcPr>
          <w:p w14:paraId="60D1CC40" w14:textId="77777777" w:rsidR="00411166" w:rsidRPr="00361493" w:rsidRDefault="00411166">
            <w:pPr>
              <w:spacing w:after="0" w:line="240" w:lineRule="auto"/>
              <w:ind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Bacterium</w:t>
            </w:r>
          </w:p>
        </w:tc>
        <w:tc>
          <w:tcPr>
            <w:tcW w:w="1156" w:type="dxa"/>
            <w:tcBorders>
              <w:top w:val="single" w:sz="4" w:space="0" w:color="auto"/>
              <w:left w:val="nil"/>
              <w:bottom w:val="single" w:sz="4" w:space="0" w:color="auto"/>
              <w:right w:val="nil"/>
            </w:tcBorders>
            <w:noWrap/>
            <w:vAlign w:val="bottom"/>
            <w:hideMark/>
          </w:tcPr>
          <w:p w14:paraId="6B958D3D" w14:textId="77777777" w:rsidR="00411166" w:rsidRPr="00361493" w:rsidRDefault="00411166">
            <w:pPr>
              <w:spacing w:after="0" w:line="240" w:lineRule="auto"/>
              <w:ind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Fungus</w:t>
            </w:r>
          </w:p>
        </w:tc>
        <w:tc>
          <w:tcPr>
            <w:tcW w:w="1116" w:type="dxa"/>
            <w:tcBorders>
              <w:top w:val="single" w:sz="4" w:space="0" w:color="auto"/>
              <w:left w:val="nil"/>
              <w:bottom w:val="single" w:sz="4" w:space="0" w:color="auto"/>
              <w:right w:val="nil"/>
            </w:tcBorders>
            <w:noWrap/>
            <w:vAlign w:val="bottom"/>
            <w:hideMark/>
          </w:tcPr>
          <w:p w14:paraId="63583CC4" w14:textId="77777777" w:rsidR="00411166" w:rsidRPr="00361493" w:rsidRDefault="00411166">
            <w:pPr>
              <w:spacing w:after="0" w:line="240" w:lineRule="auto"/>
              <w:ind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Protist</w:t>
            </w:r>
          </w:p>
        </w:tc>
        <w:tc>
          <w:tcPr>
            <w:tcW w:w="1183" w:type="dxa"/>
            <w:tcBorders>
              <w:top w:val="single" w:sz="4" w:space="0" w:color="auto"/>
              <w:left w:val="nil"/>
              <w:bottom w:val="single" w:sz="4" w:space="0" w:color="auto"/>
              <w:right w:val="nil"/>
            </w:tcBorders>
            <w:noWrap/>
            <w:vAlign w:val="bottom"/>
            <w:hideMark/>
          </w:tcPr>
          <w:p w14:paraId="4B2022B7" w14:textId="77777777" w:rsidR="00411166" w:rsidRPr="00361493" w:rsidRDefault="00411166">
            <w:pPr>
              <w:spacing w:after="0" w:line="240" w:lineRule="auto"/>
              <w:ind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Nematode</w:t>
            </w:r>
          </w:p>
        </w:tc>
        <w:tc>
          <w:tcPr>
            <w:tcW w:w="909" w:type="dxa"/>
            <w:tcBorders>
              <w:top w:val="single" w:sz="4" w:space="0" w:color="auto"/>
              <w:left w:val="nil"/>
              <w:bottom w:val="single" w:sz="4" w:space="0" w:color="auto"/>
              <w:right w:val="nil"/>
            </w:tcBorders>
            <w:noWrap/>
            <w:vAlign w:val="bottom"/>
            <w:hideMark/>
          </w:tcPr>
          <w:p w14:paraId="2AE09575" w14:textId="77777777" w:rsidR="00411166" w:rsidRPr="00361493" w:rsidRDefault="00411166">
            <w:pPr>
              <w:spacing w:after="0" w:line="240" w:lineRule="auto"/>
              <w:ind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 xml:space="preserve">Insect </w:t>
            </w:r>
          </w:p>
        </w:tc>
        <w:tc>
          <w:tcPr>
            <w:tcW w:w="774" w:type="dxa"/>
            <w:tcBorders>
              <w:top w:val="single" w:sz="4" w:space="0" w:color="auto"/>
              <w:left w:val="nil"/>
              <w:bottom w:val="single" w:sz="4" w:space="0" w:color="auto"/>
              <w:right w:val="nil"/>
            </w:tcBorders>
            <w:noWrap/>
            <w:vAlign w:val="bottom"/>
            <w:hideMark/>
          </w:tcPr>
          <w:p w14:paraId="04D26E38" w14:textId="77777777" w:rsidR="00411166" w:rsidRPr="00361493" w:rsidRDefault="00411166">
            <w:pPr>
              <w:spacing w:after="0" w:line="240" w:lineRule="auto"/>
              <w:ind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Totals</w:t>
            </w:r>
          </w:p>
        </w:tc>
      </w:tr>
      <w:tr w:rsidR="00411166" w:rsidRPr="00361493" w14:paraId="45933852" w14:textId="77777777">
        <w:trPr>
          <w:trHeight w:val="288"/>
        </w:trPr>
        <w:tc>
          <w:tcPr>
            <w:tcW w:w="3828" w:type="dxa"/>
            <w:noWrap/>
            <w:vAlign w:val="bottom"/>
            <w:hideMark/>
          </w:tcPr>
          <w:p w14:paraId="472CFFCD"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 xml:space="preserve">Number of pathogens </w:t>
            </w:r>
          </w:p>
        </w:tc>
        <w:tc>
          <w:tcPr>
            <w:tcW w:w="1256" w:type="dxa"/>
            <w:noWrap/>
            <w:vAlign w:val="bottom"/>
          </w:tcPr>
          <w:p w14:paraId="245E3324"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148</w:t>
            </w:r>
          </w:p>
        </w:tc>
        <w:tc>
          <w:tcPr>
            <w:tcW w:w="1156" w:type="dxa"/>
            <w:noWrap/>
            <w:vAlign w:val="bottom"/>
          </w:tcPr>
          <w:p w14:paraId="4CDCB37C"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120</w:t>
            </w:r>
          </w:p>
        </w:tc>
        <w:tc>
          <w:tcPr>
            <w:tcW w:w="1116" w:type="dxa"/>
            <w:noWrap/>
            <w:vAlign w:val="bottom"/>
          </w:tcPr>
          <w:p w14:paraId="49DE79DB"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19</w:t>
            </w:r>
          </w:p>
        </w:tc>
        <w:tc>
          <w:tcPr>
            <w:tcW w:w="1183" w:type="dxa"/>
            <w:noWrap/>
            <w:vAlign w:val="bottom"/>
          </w:tcPr>
          <w:p w14:paraId="76F5B048"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6</w:t>
            </w:r>
          </w:p>
        </w:tc>
        <w:tc>
          <w:tcPr>
            <w:tcW w:w="909" w:type="dxa"/>
            <w:noWrap/>
            <w:vAlign w:val="bottom"/>
          </w:tcPr>
          <w:p w14:paraId="4A789F4F"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2</w:t>
            </w:r>
          </w:p>
        </w:tc>
        <w:tc>
          <w:tcPr>
            <w:tcW w:w="774" w:type="dxa"/>
            <w:noWrap/>
            <w:vAlign w:val="bottom"/>
          </w:tcPr>
          <w:p w14:paraId="10847BEF"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295</w:t>
            </w:r>
          </w:p>
        </w:tc>
      </w:tr>
      <w:tr w:rsidR="00411166" w:rsidRPr="00361493" w14:paraId="7294C4B5" w14:textId="77777777">
        <w:trPr>
          <w:trHeight w:val="288"/>
        </w:trPr>
        <w:tc>
          <w:tcPr>
            <w:tcW w:w="3828" w:type="dxa"/>
            <w:noWrap/>
            <w:vAlign w:val="bottom"/>
            <w:hideMark/>
          </w:tcPr>
          <w:p w14:paraId="3BE479FB"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Interactions in total</w:t>
            </w:r>
          </w:p>
        </w:tc>
        <w:tc>
          <w:tcPr>
            <w:tcW w:w="1256" w:type="dxa"/>
            <w:noWrap/>
            <w:vAlign w:val="bottom"/>
          </w:tcPr>
          <w:p w14:paraId="47286401"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11755</w:t>
            </w:r>
          </w:p>
        </w:tc>
        <w:tc>
          <w:tcPr>
            <w:tcW w:w="1156" w:type="dxa"/>
            <w:noWrap/>
            <w:vAlign w:val="bottom"/>
          </w:tcPr>
          <w:p w14:paraId="739161B0"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9823</w:t>
            </w:r>
          </w:p>
        </w:tc>
        <w:tc>
          <w:tcPr>
            <w:tcW w:w="1116" w:type="dxa"/>
            <w:noWrap/>
            <w:vAlign w:val="bottom"/>
          </w:tcPr>
          <w:p w14:paraId="2B5D8949"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797</w:t>
            </w:r>
          </w:p>
        </w:tc>
        <w:tc>
          <w:tcPr>
            <w:tcW w:w="1183" w:type="dxa"/>
            <w:noWrap/>
            <w:vAlign w:val="bottom"/>
          </w:tcPr>
          <w:p w14:paraId="3E68822C"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30</w:t>
            </w:r>
          </w:p>
        </w:tc>
        <w:tc>
          <w:tcPr>
            <w:tcW w:w="909" w:type="dxa"/>
            <w:noWrap/>
            <w:vAlign w:val="bottom"/>
          </w:tcPr>
          <w:p w14:paraId="4A56A4DB"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10</w:t>
            </w:r>
          </w:p>
        </w:tc>
        <w:tc>
          <w:tcPr>
            <w:tcW w:w="774" w:type="dxa"/>
            <w:noWrap/>
            <w:vAlign w:val="bottom"/>
          </w:tcPr>
          <w:p w14:paraId="78FF3B59"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22415</w:t>
            </w:r>
          </w:p>
        </w:tc>
      </w:tr>
      <w:tr w:rsidR="00411166" w:rsidRPr="00361493" w14:paraId="20CCFA7C" w14:textId="77777777">
        <w:trPr>
          <w:trHeight w:val="288"/>
        </w:trPr>
        <w:tc>
          <w:tcPr>
            <w:tcW w:w="3828" w:type="dxa"/>
            <w:noWrap/>
            <w:vAlign w:val="bottom"/>
            <w:hideMark/>
          </w:tcPr>
          <w:p w14:paraId="504B4BDD" w14:textId="77777777" w:rsidR="00411166" w:rsidRPr="00361493" w:rsidRDefault="00411166">
            <w:pPr>
              <w:spacing w:after="0" w:line="240" w:lineRule="auto"/>
              <w:ind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PHI phenotypes</w:t>
            </w:r>
          </w:p>
        </w:tc>
        <w:tc>
          <w:tcPr>
            <w:tcW w:w="1256" w:type="dxa"/>
            <w:noWrap/>
            <w:vAlign w:val="bottom"/>
          </w:tcPr>
          <w:p w14:paraId="73AA3DB7" w14:textId="77777777" w:rsidR="00411166" w:rsidRPr="00361493" w:rsidRDefault="00411166">
            <w:pPr>
              <w:spacing w:after="0" w:line="240" w:lineRule="auto"/>
              <w:ind w:right="0"/>
              <w:rPr>
                <w:rFonts w:ascii="Calibri" w:eastAsia="Times New Roman" w:hAnsi="Calibri" w:cs="Calibri"/>
                <w:color w:val="000000"/>
                <w:lang w:val="en-US" w:eastAsia="en-GB"/>
              </w:rPr>
            </w:pPr>
          </w:p>
        </w:tc>
        <w:tc>
          <w:tcPr>
            <w:tcW w:w="1156" w:type="dxa"/>
            <w:noWrap/>
            <w:vAlign w:val="bottom"/>
          </w:tcPr>
          <w:p w14:paraId="650E8CEA" w14:textId="77777777" w:rsidR="00411166" w:rsidRPr="00361493" w:rsidRDefault="00411166">
            <w:pPr>
              <w:spacing w:after="0" w:line="240" w:lineRule="auto"/>
              <w:ind w:right="0"/>
              <w:rPr>
                <w:rFonts w:ascii="Calibri" w:eastAsia="Times New Roman" w:hAnsi="Calibri" w:cs="Calibri"/>
                <w:color w:val="000000"/>
                <w:lang w:val="en-US" w:eastAsia="en-GB"/>
              </w:rPr>
            </w:pPr>
          </w:p>
        </w:tc>
        <w:tc>
          <w:tcPr>
            <w:tcW w:w="1116" w:type="dxa"/>
            <w:noWrap/>
            <w:vAlign w:val="bottom"/>
          </w:tcPr>
          <w:p w14:paraId="7A40DB86" w14:textId="77777777" w:rsidR="00411166" w:rsidRPr="00361493" w:rsidRDefault="00411166">
            <w:pPr>
              <w:spacing w:after="0" w:line="240" w:lineRule="auto"/>
              <w:ind w:right="0"/>
              <w:rPr>
                <w:rFonts w:ascii="Calibri" w:eastAsia="Times New Roman" w:hAnsi="Calibri" w:cs="Calibri"/>
                <w:color w:val="000000"/>
                <w:lang w:val="en-US" w:eastAsia="en-GB"/>
              </w:rPr>
            </w:pPr>
          </w:p>
        </w:tc>
        <w:tc>
          <w:tcPr>
            <w:tcW w:w="1183" w:type="dxa"/>
            <w:noWrap/>
            <w:vAlign w:val="bottom"/>
          </w:tcPr>
          <w:p w14:paraId="2532A0D0" w14:textId="77777777" w:rsidR="00411166" w:rsidRPr="00361493" w:rsidRDefault="00411166">
            <w:pPr>
              <w:spacing w:after="0" w:line="240" w:lineRule="auto"/>
              <w:ind w:right="0"/>
              <w:rPr>
                <w:rFonts w:ascii="Calibri" w:eastAsia="Times New Roman" w:hAnsi="Calibri" w:cs="Calibri"/>
                <w:color w:val="000000"/>
                <w:lang w:val="en-US" w:eastAsia="en-GB"/>
              </w:rPr>
            </w:pPr>
          </w:p>
        </w:tc>
        <w:tc>
          <w:tcPr>
            <w:tcW w:w="909" w:type="dxa"/>
            <w:noWrap/>
            <w:vAlign w:val="bottom"/>
          </w:tcPr>
          <w:p w14:paraId="22500C3A" w14:textId="77777777" w:rsidR="00411166" w:rsidRPr="00361493" w:rsidRDefault="00411166">
            <w:pPr>
              <w:spacing w:after="0" w:line="240" w:lineRule="auto"/>
              <w:ind w:right="0"/>
              <w:rPr>
                <w:rFonts w:ascii="Calibri" w:eastAsia="Times New Roman" w:hAnsi="Calibri" w:cs="Calibri"/>
                <w:color w:val="000000"/>
                <w:lang w:val="en-US" w:eastAsia="en-GB"/>
              </w:rPr>
            </w:pPr>
          </w:p>
        </w:tc>
        <w:tc>
          <w:tcPr>
            <w:tcW w:w="774" w:type="dxa"/>
            <w:noWrap/>
            <w:vAlign w:val="bottom"/>
          </w:tcPr>
          <w:p w14:paraId="73F1DD8A" w14:textId="77777777" w:rsidR="00411166" w:rsidRPr="00361493" w:rsidRDefault="00411166">
            <w:pPr>
              <w:spacing w:after="0" w:line="240" w:lineRule="auto"/>
              <w:ind w:right="0"/>
              <w:rPr>
                <w:rFonts w:ascii="Calibri" w:eastAsia="Times New Roman" w:hAnsi="Calibri" w:cs="Calibri"/>
                <w:color w:val="000000"/>
                <w:lang w:val="en-US" w:eastAsia="en-GB"/>
              </w:rPr>
            </w:pPr>
          </w:p>
        </w:tc>
      </w:tr>
      <w:tr w:rsidR="00411166" w:rsidRPr="00361493" w14:paraId="376EE259" w14:textId="77777777">
        <w:trPr>
          <w:trHeight w:val="288"/>
        </w:trPr>
        <w:tc>
          <w:tcPr>
            <w:tcW w:w="3828" w:type="dxa"/>
            <w:noWrap/>
            <w:vAlign w:val="bottom"/>
            <w:hideMark/>
          </w:tcPr>
          <w:p w14:paraId="72B22A8E"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Loss of pathogenicity</w:t>
            </w:r>
          </w:p>
        </w:tc>
        <w:tc>
          <w:tcPr>
            <w:tcW w:w="1256" w:type="dxa"/>
            <w:noWrap/>
            <w:vAlign w:val="bottom"/>
          </w:tcPr>
          <w:p w14:paraId="38177CAD"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330</w:t>
            </w:r>
          </w:p>
        </w:tc>
        <w:tc>
          <w:tcPr>
            <w:tcW w:w="1156" w:type="dxa"/>
            <w:noWrap/>
            <w:vAlign w:val="bottom"/>
          </w:tcPr>
          <w:p w14:paraId="7816D2AF"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861</w:t>
            </w:r>
          </w:p>
        </w:tc>
        <w:tc>
          <w:tcPr>
            <w:tcW w:w="1116" w:type="dxa"/>
            <w:noWrap/>
            <w:vAlign w:val="bottom"/>
          </w:tcPr>
          <w:p w14:paraId="1E9D7B9D"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17</w:t>
            </w:r>
          </w:p>
        </w:tc>
        <w:tc>
          <w:tcPr>
            <w:tcW w:w="1183" w:type="dxa"/>
            <w:noWrap/>
            <w:vAlign w:val="bottom"/>
          </w:tcPr>
          <w:p w14:paraId="1A9BE937"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w:t>
            </w:r>
          </w:p>
        </w:tc>
        <w:tc>
          <w:tcPr>
            <w:tcW w:w="909" w:type="dxa"/>
            <w:noWrap/>
            <w:vAlign w:val="bottom"/>
          </w:tcPr>
          <w:p w14:paraId="6A4E98C7"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774" w:type="dxa"/>
            <w:noWrap/>
            <w:vAlign w:val="bottom"/>
          </w:tcPr>
          <w:p w14:paraId="6447F42A"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1209</w:t>
            </w:r>
          </w:p>
        </w:tc>
      </w:tr>
      <w:tr w:rsidR="00411166" w:rsidRPr="00361493" w14:paraId="475FD704" w14:textId="77777777">
        <w:trPr>
          <w:trHeight w:val="288"/>
        </w:trPr>
        <w:tc>
          <w:tcPr>
            <w:tcW w:w="3828" w:type="dxa"/>
            <w:noWrap/>
            <w:vAlign w:val="bottom"/>
            <w:hideMark/>
          </w:tcPr>
          <w:p w14:paraId="33EE4A2C"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Reduced virulence</w:t>
            </w:r>
          </w:p>
        </w:tc>
        <w:tc>
          <w:tcPr>
            <w:tcW w:w="1256" w:type="dxa"/>
            <w:noWrap/>
            <w:vAlign w:val="bottom"/>
          </w:tcPr>
          <w:p w14:paraId="57A04BA8"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5992</w:t>
            </w:r>
          </w:p>
        </w:tc>
        <w:tc>
          <w:tcPr>
            <w:tcW w:w="1156" w:type="dxa"/>
            <w:noWrap/>
            <w:vAlign w:val="bottom"/>
          </w:tcPr>
          <w:p w14:paraId="3B83456C"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4731</w:t>
            </w:r>
          </w:p>
        </w:tc>
        <w:tc>
          <w:tcPr>
            <w:tcW w:w="1116" w:type="dxa"/>
            <w:noWrap/>
            <w:vAlign w:val="bottom"/>
          </w:tcPr>
          <w:p w14:paraId="360B0E76"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215</w:t>
            </w:r>
          </w:p>
        </w:tc>
        <w:tc>
          <w:tcPr>
            <w:tcW w:w="1183" w:type="dxa"/>
            <w:noWrap/>
            <w:vAlign w:val="bottom"/>
          </w:tcPr>
          <w:p w14:paraId="6136909E"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17</w:t>
            </w:r>
          </w:p>
        </w:tc>
        <w:tc>
          <w:tcPr>
            <w:tcW w:w="909" w:type="dxa"/>
            <w:noWrap/>
            <w:vAlign w:val="bottom"/>
          </w:tcPr>
          <w:p w14:paraId="0556EFBE"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774" w:type="dxa"/>
            <w:noWrap/>
            <w:vAlign w:val="bottom"/>
          </w:tcPr>
          <w:p w14:paraId="7338068A"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10955</w:t>
            </w:r>
          </w:p>
        </w:tc>
      </w:tr>
      <w:tr w:rsidR="00411166" w:rsidRPr="00361493" w14:paraId="755F2ADD" w14:textId="77777777">
        <w:trPr>
          <w:trHeight w:val="288"/>
        </w:trPr>
        <w:tc>
          <w:tcPr>
            <w:tcW w:w="3828" w:type="dxa"/>
            <w:noWrap/>
            <w:vAlign w:val="bottom"/>
            <w:hideMark/>
          </w:tcPr>
          <w:p w14:paraId="42C88A19"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Unaffected pathogenicity</w:t>
            </w:r>
          </w:p>
        </w:tc>
        <w:tc>
          <w:tcPr>
            <w:tcW w:w="1256" w:type="dxa"/>
            <w:noWrap/>
            <w:vAlign w:val="bottom"/>
          </w:tcPr>
          <w:p w14:paraId="2266AC2A"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2502</w:t>
            </w:r>
          </w:p>
        </w:tc>
        <w:tc>
          <w:tcPr>
            <w:tcW w:w="1156" w:type="dxa"/>
            <w:noWrap/>
            <w:vAlign w:val="bottom"/>
          </w:tcPr>
          <w:p w14:paraId="57E77AE2"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2951</w:t>
            </w:r>
          </w:p>
        </w:tc>
        <w:tc>
          <w:tcPr>
            <w:tcW w:w="1116" w:type="dxa"/>
            <w:noWrap/>
            <w:vAlign w:val="bottom"/>
          </w:tcPr>
          <w:p w14:paraId="66620FB5"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141</w:t>
            </w:r>
          </w:p>
        </w:tc>
        <w:tc>
          <w:tcPr>
            <w:tcW w:w="1183" w:type="dxa"/>
            <w:noWrap/>
            <w:vAlign w:val="bottom"/>
          </w:tcPr>
          <w:p w14:paraId="5B018A43"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909" w:type="dxa"/>
            <w:noWrap/>
            <w:vAlign w:val="bottom"/>
          </w:tcPr>
          <w:p w14:paraId="652221AD"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774" w:type="dxa"/>
            <w:noWrap/>
            <w:vAlign w:val="bottom"/>
          </w:tcPr>
          <w:p w14:paraId="6972D4EB"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5594</w:t>
            </w:r>
          </w:p>
        </w:tc>
      </w:tr>
      <w:tr w:rsidR="00411166" w:rsidRPr="00361493" w14:paraId="5E76D71C" w14:textId="77777777">
        <w:trPr>
          <w:trHeight w:val="288"/>
        </w:trPr>
        <w:tc>
          <w:tcPr>
            <w:tcW w:w="3828" w:type="dxa"/>
            <w:noWrap/>
            <w:vAlign w:val="bottom"/>
            <w:hideMark/>
          </w:tcPr>
          <w:p w14:paraId="5EFC44EA"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Effector (plant avirulence determinant)</w:t>
            </w:r>
          </w:p>
        </w:tc>
        <w:tc>
          <w:tcPr>
            <w:tcW w:w="1256" w:type="dxa"/>
            <w:noWrap/>
            <w:vAlign w:val="bottom"/>
          </w:tcPr>
          <w:p w14:paraId="0EEC9CC1"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2041</w:t>
            </w:r>
          </w:p>
        </w:tc>
        <w:tc>
          <w:tcPr>
            <w:tcW w:w="1156" w:type="dxa"/>
            <w:noWrap/>
            <w:vAlign w:val="bottom"/>
          </w:tcPr>
          <w:p w14:paraId="26464020"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682</w:t>
            </w:r>
          </w:p>
        </w:tc>
        <w:tc>
          <w:tcPr>
            <w:tcW w:w="1116" w:type="dxa"/>
            <w:noWrap/>
            <w:vAlign w:val="bottom"/>
          </w:tcPr>
          <w:p w14:paraId="7016E550"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373</w:t>
            </w:r>
          </w:p>
        </w:tc>
        <w:tc>
          <w:tcPr>
            <w:tcW w:w="1183" w:type="dxa"/>
            <w:noWrap/>
            <w:vAlign w:val="bottom"/>
          </w:tcPr>
          <w:p w14:paraId="39681829"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11</w:t>
            </w:r>
          </w:p>
        </w:tc>
        <w:tc>
          <w:tcPr>
            <w:tcW w:w="909" w:type="dxa"/>
            <w:noWrap/>
            <w:vAlign w:val="bottom"/>
          </w:tcPr>
          <w:p w14:paraId="6973BE86"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10</w:t>
            </w:r>
          </w:p>
        </w:tc>
        <w:tc>
          <w:tcPr>
            <w:tcW w:w="774" w:type="dxa"/>
            <w:noWrap/>
            <w:vAlign w:val="bottom"/>
          </w:tcPr>
          <w:p w14:paraId="18610E86"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3117</w:t>
            </w:r>
          </w:p>
        </w:tc>
      </w:tr>
      <w:tr w:rsidR="00411166" w:rsidRPr="00361493" w14:paraId="4409DA96" w14:textId="77777777">
        <w:trPr>
          <w:trHeight w:val="288"/>
        </w:trPr>
        <w:tc>
          <w:tcPr>
            <w:tcW w:w="3828" w:type="dxa"/>
            <w:noWrap/>
            <w:vAlign w:val="bottom"/>
            <w:hideMark/>
          </w:tcPr>
          <w:p w14:paraId="1027425D"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Increased virulence (hypervirulence)</w:t>
            </w:r>
          </w:p>
        </w:tc>
        <w:tc>
          <w:tcPr>
            <w:tcW w:w="1256" w:type="dxa"/>
            <w:noWrap/>
            <w:vAlign w:val="bottom"/>
          </w:tcPr>
          <w:p w14:paraId="4D29A08F"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859</w:t>
            </w:r>
          </w:p>
        </w:tc>
        <w:tc>
          <w:tcPr>
            <w:tcW w:w="1156" w:type="dxa"/>
            <w:noWrap/>
            <w:vAlign w:val="bottom"/>
          </w:tcPr>
          <w:p w14:paraId="51015F52"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400</w:t>
            </w:r>
          </w:p>
        </w:tc>
        <w:tc>
          <w:tcPr>
            <w:tcW w:w="1116" w:type="dxa"/>
            <w:noWrap/>
            <w:vAlign w:val="bottom"/>
          </w:tcPr>
          <w:p w14:paraId="3CB2B0AB"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42</w:t>
            </w:r>
          </w:p>
        </w:tc>
        <w:tc>
          <w:tcPr>
            <w:tcW w:w="1183" w:type="dxa"/>
            <w:noWrap/>
            <w:vAlign w:val="bottom"/>
          </w:tcPr>
          <w:p w14:paraId="2E306ED5"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w:t>
            </w:r>
          </w:p>
        </w:tc>
        <w:tc>
          <w:tcPr>
            <w:tcW w:w="909" w:type="dxa"/>
            <w:noWrap/>
            <w:vAlign w:val="bottom"/>
          </w:tcPr>
          <w:p w14:paraId="1318ABA3"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774" w:type="dxa"/>
            <w:noWrap/>
            <w:vAlign w:val="bottom"/>
          </w:tcPr>
          <w:p w14:paraId="347D3FEB"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1302</w:t>
            </w:r>
          </w:p>
        </w:tc>
      </w:tr>
      <w:tr w:rsidR="00411166" w:rsidRPr="00361493" w14:paraId="0305EB88" w14:textId="77777777">
        <w:trPr>
          <w:trHeight w:val="288"/>
        </w:trPr>
        <w:tc>
          <w:tcPr>
            <w:tcW w:w="3828" w:type="dxa"/>
            <w:noWrap/>
            <w:vAlign w:val="bottom"/>
            <w:hideMark/>
          </w:tcPr>
          <w:p w14:paraId="49137985"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Lethal</w:t>
            </w:r>
          </w:p>
        </w:tc>
        <w:tc>
          <w:tcPr>
            <w:tcW w:w="1256" w:type="dxa"/>
            <w:noWrap/>
            <w:vAlign w:val="bottom"/>
          </w:tcPr>
          <w:p w14:paraId="0B29B2AB"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18</w:t>
            </w:r>
          </w:p>
        </w:tc>
        <w:tc>
          <w:tcPr>
            <w:tcW w:w="1156" w:type="dxa"/>
            <w:noWrap/>
            <w:vAlign w:val="bottom"/>
          </w:tcPr>
          <w:p w14:paraId="59B80B4F"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157</w:t>
            </w:r>
          </w:p>
        </w:tc>
        <w:tc>
          <w:tcPr>
            <w:tcW w:w="1116" w:type="dxa"/>
            <w:noWrap/>
            <w:vAlign w:val="bottom"/>
          </w:tcPr>
          <w:p w14:paraId="0496B097"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9</w:t>
            </w:r>
          </w:p>
        </w:tc>
        <w:tc>
          <w:tcPr>
            <w:tcW w:w="1183" w:type="dxa"/>
            <w:noWrap/>
            <w:vAlign w:val="bottom"/>
          </w:tcPr>
          <w:p w14:paraId="240150FF"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909" w:type="dxa"/>
            <w:noWrap/>
            <w:vAlign w:val="bottom"/>
          </w:tcPr>
          <w:p w14:paraId="618D0CB1"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774" w:type="dxa"/>
            <w:noWrap/>
            <w:vAlign w:val="bottom"/>
          </w:tcPr>
          <w:p w14:paraId="7B2CDC22"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184</w:t>
            </w:r>
          </w:p>
        </w:tc>
      </w:tr>
      <w:tr w:rsidR="00411166" w:rsidRPr="00361493" w14:paraId="11C93932" w14:textId="77777777">
        <w:trPr>
          <w:trHeight w:val="288"/>
        </w:trPr>
        <w:tc>
          <w:tcPr>
            <w:tcW w:w="3828" w:type="dxa"/>
            <w:noWrap/>
            <w:vAlign w:val="bottom"/>
            <w:hideMark/>
          </w:tcPr>
          <w:p w14:paraId="15297888"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Chemical target: resistance to chemical</w:t>
            </w:r>
          </w:p>
        </w:tc>
        <w:tc>
          <w:tcPr>
            <w:tcW w:w="1256" w:type="dxa"/>
            <w:noWrap/>
            <w:vAlign w:val="bottom"/>
          </w:tcPr>
          <w:p w14:paraId="7301AEC1"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7</w:t>
            </w:r>
          </w:p>
        </w:tc>
        <w:tc>
          <w:tcPr>
            <w:tcW w:w="1156" w:type="dxa"/>
            <w:noWrap/>
            <w:vAlign w:val="bottom"/>
          </w:tcPr>
          <w:p w14:paraId="229A1F8C"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29</w:t>
            </w:r>
          </w:p>
        </w:tc>
        <w:tc>
          <w:tcPr>
            <w:tcW w:w="1116" w:type="dxa"/>
            <w:noWrap/>
            <w:vAlign w:val="bottom"/>
          </w:tcPr>
          <w:p w14:paraId="0DB8F409"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1183" w:type="dxa"/>
            <w:noWrap/>
            <w:vAlign w:val="bottom"/>
          </w:tcPr>
          <w:p w14:paraId="0B76BD43"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909" w:type="dxa"/>
            <w:noWrap/>
            <w:vAlign w:val="bottom"/>
          </w:tcPr>
          <w:p w14:paraId="65476B76"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774" w:type="dxa"/>
            <w:noWrap/>
            <w:vAlign w:val="bottom"/>
          </w:tcPr>
          <w:p w14:paraId="7FF26993"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36</w:t>
            </w:r>
          </w:p>
        </w:tc>
      </w:tr>
      <w:tr w:rsidR="00411166" w:rsidRPr="00361493" w14:paraId="04D5C240" w14:textId="77777777">
        <w:trPr>
          <w:trHeight w:val="288"/>
        </w:trPr>
        <w:tc>
          <w:tcPr>
            <w:tcW w:w="3828" w:type="dxa"/>
            <w:noWrap/>
            <w:vAlign w:val="bottom"/>
            <w:hideMark/>
          </w:tcPr>
          <w:p w14:paraId="6FA3F253"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Chemical target: sensitivity to chemical</w:t>
            </w:r>
          </w:p>
        </w:tc>
        <w:tc>
          <w:tcPr>
            <w:tcW w:w="1256" w:type="dxa"/>
            <w:noWrap/>
            <w:vAlign w:val="bottom"/>
          </w:tcPr>
          <w:p w14:paraId="7F945F12"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6</w:t>
            </w:r>
          </w:p>
        </w:tc>
        <w:tc>
          <w:tcPr>
            <w:tcW w:w="1156" w:type="dxa"/>
            <w:noWrap/>
            <w:vAlign w:val="bottom"/>
          </w:tcPr>
          <w:p w14:paraId="7A103EBB"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8</w:t>
            </w:r>
          </w:p>
        </w:tc>
        <w:tc>
          <w:tcPr>
            <w:tcW w:w="1116" w:type="dxa"/>
            <w:noWrap/>
            <w:vAlign w:val="bottom"/>
          </w:tcPr>
          <w:p w14:paraId="5C437C40"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1183" w:type="dxa"/>
            <w:noWrap/>
            <w:vAlign w:val="bottom"/>
          </w:tcPr>
          <w:p w14:paraId="240287E1"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909" w:type="dxa"/>
            <w:noWrap/>
            <w:vAlign w:val="bottom"/>
          </w:tcPr>
          <w:p w14:paraId="10239A68"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774" w:type="dxa"/>
            <w:noWrap/>
            <w:vAlign w:val="bottom"/>
          </w:tcPr>
          <w:p w14:paraId="40E74F30"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14</w:t>
            </w:r>
          </w:p>
        </w:tc>
      </w:tr>
      <w:tr w:rsidR="00411166" w:rsidRPr="00361493" w14:paraId="1BEDEA5D" w14:textId="77777777">
        <w:trPr>
          <w:trHeight w:val="288"/>
        </w:trPr>
        <w:tc>
          <w:tcPr>
            <w:tcW w:w="3828" w:type="dxa"/>
            <w:tcBorders>
              <w:top w:val="nil"/>
              <w:left w:val="nil"/>
              <w:bottom w:val="single" w:sz="4" w:space="0" w:color="auto"/>
              <w:right w:val="nil"/>
            </w:tcBorders>
            <w:noWrap/>
            <w:vAlign w:val="bottom"/>
            <w:hideMark/>
          </w:tcPr>
          <w:p w14:paraId="1789D49D"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Enhanced antagonism</w:t>
            </w:r>
          </w:p>
        </w:tc>
        <w:tc>
          <w:tcPr>
            <w:tcW w:w="1256" w:type="dxa"/>
            <w:tcBorders>
              <w:top w:val="nil"/>
              <w:left w:val="nil"/>
              <w:bottom w:val="single" w:sz="4" w:space="0" w:color="auto"/>
              <w:right w:val="nil"/>
            </w:tcBorders>
            <w:noWrap/>
            <w:vAlign w:val="bottom"/>
          </w:tcPr>
          <w:p w14:paraId="1DAE49D4"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1156" w:type="dxa"/>
            <w:tcBorders>
              <w:top w:val="nil"/>
              <w:left w:val="nil"/>
              <w:bottom w:val="single" w:sz="4" w:space="0" w:color="auto"/>
              <w:right w:val="nil"/>
            </w:tcBorders>
            <w:noWrap/>
            <w:vAlign w:val="bottom"/>
          </w:tcPr>
          <w:p w14:paraId="425305BC"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4</w:t>
            </w:r>
          </w:p>
        </w:tc>
        <w:tc>
          <w:tcPr>
            <w:tcW w:w="1116" w:type="dxa"/>
            <w:tcBorders>
              <w:top w:val="nil"/>
              <w:left w:val="nil"/>
              <w:bottom w:val="single" w:sz="4" w:space="0" w:color="auto"/>
              <w:right w:val="nil"/>
            </w:tcBorders>
            <w:noWrap/>
            <w:vAlign w:val="bottom"/>
          </w:tcPr>
          <w:p w14:paraId="060FCE39"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1183" w:type="dxa"/>
            <w:tcBorders>
              <w:top w:val="nil"/>
              <w:left w:val="nil"/>
              <w:bottom w:val="single" w:sz="4" w:space="0" w:color="auto"/>
              <w:right w:val="nil"/>
            </w:tcBorders>
            <w:noWrap/>
            <w:vAlign w:val="bottom"/>
          </w:tcPr>
          <w:p w14:paraId="27671AC7"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909" w:type="dxa"/>
            <w:tcBorders>
              <w:top w:val="nil"/>
              <w:left w:val="nil"/>
              <w:bottom w:val="single" w:sz="4" w:space="0" w:color="auto"/>
              <w:right w:val="nil"/>
            </w:tcBorders>
            <w:noWrap/>
            <w:vAlign w:val="bottom"/>
          </w:tcPr>
          <w:p w14:paraId="397B155E"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0</w:t>
            </w:r>
          </w:p>
        </w:tc>
        <w:tc>
          <w:tcPr>
            <w:tcW w:w="774" w:type="dxa"/>
            <w:tcBorders>
              <w:top w:val="nil"/>
              <w:left w:val="nil"/>
              <w:bottom w:val="single" w:sz="4" w:space="0" w:color="auto"/>
              <w:right w:val="nil"/>
            </w:tcBorders>
            <w:noWrap/>
            <w:vAlign w:val="bottom"/>
          </w:tcPr>
          <w:p w14:paraId="41EF7F28" w14:textId="77777777" w:rsidR="00411166" w:rsidRPr="00361493" w:rsidRDefault="00411166">
            <w:pPr>
              <w:spacing w:after="0" w:line="240" w:lineRule="auto"/>
              <w:ind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4</w:t>
            </w:r>
          </w:p>
        </w:tc>
      </w:tr>
    </w:tbl>
    <w:p w14:paraId="1144BA8B" w14:textId="77777777" w:rsidR="00411166" w:rsidRDefault="00411166">
      <w:pPr>
        <w:spacing w:before="240" w:after="0"/>
        <w:ind w:right="0"/>
        <w:rPr>
          <w:rFonts w:ascii="Calibri" w:eastAsia="Calibri" w:hAnsi="Calibri" w:cs="Calibri"/>
          <w:sz w:val="24"/>
          <w:szCs w:val="24"/>
          <w:lang w:val="en-US" w:eastAsia="en-GB"/>
        </w:rPr>
      </w:pPr>
    </w:p>
    <w:p w14:paraId="14B52849" w14:textId="77777777" w:rsidR="00411166" w:rsidRPr="00361493" w:rsidRDefault="00411166">
      <w:pPr>
        <w:spacing w:before="240" w:after="0"/>
        <w:ind w:right="0"/>
        <w:rPr>
          <w:rFonts w:ascii="Calibri" w:eastAsia="Calibri" w:hAnsi="Calibri" w:cs="Calibri"/>
          <w:sz w:val="24"/>
          <w:szCs w:val="24"/>
          <w:lang w:val="en-US" w:eastAsia="en-GB"/>
        </w:rPr>
      </w:pPr>
    </w:p>
    <w:p w14:paraId="04D73E6E" w14:textId="77777777" w:rsidR="00411166" w:rsidRPr="00361493" w:rsidRDefault="00411166">
      <w:pPr>
        <w:keepNext/>
        <w:keepLines/>
        <w:spacing w:before="240"/>
        <w:ind w:right="0"/>
        <w:outlineLvl w:val="2"/>
        <w:rPr>
          <w:rFonts w:ascii="Calibri" w:eastAsia="Calibri" w:hAnsi="Calibri" w:cs="Calibri"/>
          <w:b/>
          <w:sz w:val="28"/>
          <w:szCs w:val="28"/>
          <w:lang w:eastAsia="en-GB"/>
        </w:rPr>
      </w:pPr>
      <w:r w:rsidRPr="00361493">
        <w:rPr>
          <w:rFonts w:ascii="Calibri" w:eastAsia="Calibri" w:hAnsi="Calibri" w:cs="Calibri"/>
          <w:b/>
          <w:sz w:val="28"/>
          <w:szCs w:val="28"/>
          <w:lang w:val="en-US" w:eastAsia="en-GB"/>
        </w:rPr>
        <w:t>Table 2. Summary of the number of host species and interactions within PHI-base version 4.17</w:t>
      </w:r>
    </w:p>
    <w:tbl>
      <w:tblPr>
        <w:tblW w:w="10065" w:type="dxa"/>
        <w:tblInd w:w="-284" w:type="dxa"/>
        <w:tblLook w:val="04A0" w:firstRow="1" w:lastRow="0" w:firstColumn="1" w:lastColumn="0" w:noHBand="0" w:noVBand="1"/>
      </w:tblPr>
      <w:tblGrid>
        <w:gridCol w:w="3239"/>
        <w:gridCol w:w="945"/>
        <w:gridCol w:w="1386"/>
        <w:gridCol w:w="931"/>
        <w:gridCol w:w="1354"/>
        <w:gridCol w:w="1007"/>
        <w:gridCol w:w="1203"/>
      </w:tblGrid>
      <w:tr w:rsidR="00411166" w:rsidRPr="00361493" w14:paraId="0DFB2428" w14:textId="77777777">
        <w:trPr>
          <w:trHeight w:val="288"/>
        </w:trPr>
        <w:tc>
          <w:tcPr>
            <w:tcW w:w="3239" w:type="dxa"/>
            <w:tcBorders>
              <w:top w:val="single" w:sz="4" w:space="0" w:color="auto"/>
              <w:left w:val="nil"/>
              <w:bottom w:val="single" w:sz="4" w:space="0" w:color="auto"/>
              <w:right w:val="nil"/>
            </w:tcBorders>
            <w:noWrap/>
            <w:vAlign w:val="bottom"/>
            <w:hideMark/>
          </w:tcPr>
          <w:p w14:paraId="5082C77E" w14:textId="77777777" w:rsidR="00411166" w:rsidRPr="00361493" w:rsidRDefault="00411166">
            <w:pPr>
              <w:spacing w:after="0" w:line="240" w:lineRule="auto"/>
              <w:ind w:left="171" w:right="0"/>
              <w:rPr>
                <w:rFonts w:ascii="Calibri" w:eastAsia="Times New Roman" w:hAnsi="Calibri" w:cs="Calibri"/>
                <w:b/>
                <w:bCs/>
                <w:color w:val="000000"/>
                <w:lang w:val="en-US" w:eastAsia="en-GB"/>
              </w:rPr>
            </w:pPr>
            <w:bookmarkStart w:id="26" w:name="_Hlk82954222"/>
            <w:bookmarkStart w:id="27" w:name="_Hlk82954202"/>
            <w:r w:rsidRPr="00361493">
              <w:rPr>
                <w:rFonts w:ascii="Calibri" w:eastAsia="Times New Roman" w:hAnsi="Calibri" w:cs="Calibri"/>
                <w:b/>
                <w:bCs/>
                <w:color w:val="000000"/>
                <w:lang w:val="en-US" w:eastAsia="en-GB"/>
              </w:rPr>
              <w:t>Data type</w:t>
            </w:r>
          </w:p>
        </w:tc>
        <w:tc>
          <w:tcPr>
            <w:tcW w:w="945" w:type="dxa"/>
            <w:tcBorders>
              <w:top w:val="single" w:sz="4" w:space="0" w:color="auto"/>
              <w:left w:val="nil"/>
              <w:bottom w:val="single" w:sz="4" w:space="0" w:color="auto"/>
              <w:right w:val="nil"/>
            </w:tcBorders>
            <w:noWrap/>
            <w:vAlign w:val="bottom"/>
            <w:hideMark/>
          </w:tcPr>
          <w:p w14:paraId="442C1C31" w14:textId="77777777" w:rsidR="00411166" w:rsidRPr="00361493" w:rsidRDefault="00411166">
            <w:pPr>
              <w:spacing w:after="0" w:line="240" w:lineRule="auto"/>
              <w:ind w:left="171"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Plant</w:t>
            </w:r>
          </w:p>
        </w:tc>
        <w:tc>
          <w:tcPr>
            <w:tcW w:w="1386" w:type="dxa"/>
            <w:tcBorders>
              <w:top w:val="single" w:sz="4" w:space="0" w:color="auto"/>
              <w:left w:val="nil"/>
              <w:bottom w:val="single" w:sz="4" w:space="0" w:color="auto"/>
              <w:right w:val="nil"/>
            </w:tcBorders>
            <w:noWrap/>
            <w:vAlign w:val="bottom"/>
            <w:hideMark/>
          </w:tcPr>
          <w:p w14:paraId="6B426175" w14:textId="77777777" w:rsidR="00411166" w:rsidRPr="00361493" w:rsidRDefault="00411166">
            <w:pPr>
              <w:spacing w:after="0" w:line="240" w:lineRule="auto"/>
              <w:ind w:left="171"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Vertebrate</w:t>
            </w:r>
          </w:p>
        </w:tc>
        <w:tc>
          <w:tcPr>
            <w:tcW w:w="931" w:type="dxa"/>
            <w:tcBorders>
              <w:top w:val="single" w:sz="4" w:space="0" w:color="auto"/>
              <w:left w:val="nil"/>
              <w:bottom w:val="single" w:sz="4" w:space="0" w:color="auto"/>
              <w:right w:val="nil"/>
            </w:tcBorders>
            <w:noWrap/>
            <w:vAlign w:val="bottom"/>
            <w:hideMark/>
          </w:tcPr>
          <w:p w14:paraId="6CA1C7A7" w14:textId="77777777" w:rsidR="00411166" w:rsidRPr="00361493" w:rsidRDefault="00411166">
            <w:pPr>
              <w:spacing w:after="0" w:line="240" w:lineRule="auto"/>
              <w:ind w:left="171"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Insect</w:t>
            </w:r>
          </w:p>
        </w:tc>
        <w:tc>
          <w:tcPr>
            <w:tcW w:w="1354" w:type="dxa"/>
            <w:tcBorders>
              <w:top w:val="single" w:sz="4" w:space="0" w:color="auto"/>
              <w:left w:val="nil"/>
              <w:bottom w:val="single" w:sz="4" w:space="0" w:color="auto"/>
              <w:right w:val="nil"/>
            </w:tcBorders>
            <w:noWrap/>
            <w:vAlign w:val="bottom"/>
            <w:hideMark/>
          </w:tcPr>
          <w:p w14:paraId="15753F24" w14:textId="77777777" w:rsidR="00411166" w:rsidRPr="00361493" w:rsidRDefault="00411166">
            <w:pPr>
              <w:spacing w:after="0" w:line="240" w:lineRule="auto"/>
              <w:ind w:left="171"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Nematode</w:t>
            </w:r>
          </w:p>
        </w:tc>
        <w:tc>
          <w:tcPr>
            <w:tcW w:w="1007" w:type="dxa"/>
            <w:tcBorders>
              <w:top w:val="single" w:sz="4" w:space="0" w:color="auto"/>
              <w:left w:val="nil"/>
              <w:bottom w:val="single" w:sz="4" w:space="0" w:color="auto"/>
              <w:right w:val="nil"/>
            </w:tcBorders>
            <w:noWrap/>
            <w:vAlign w:val="bottom"/>
            <w:hideMark/>
          </w:tcPr>
          <w:p w14:paraId="4E040A17" w14:textId="77777777" w:rsidR="00411166" w:rsidRPr="00361493" w:rsidRDefault="00411166">
            <w:pPr>
              <w:spacing w:after="0" w:line="240" w:lineRule="auto"/>
              <w:ind w:left="171"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Others</w:t>
            </w:r>
          </w:p>
        </w:tc>
        <w:tc>
          <w:tcPr>
            <w:tcW w:w="1203" w:type="dxa"/>
            <w:tcBorders>
              <w:top w:val="single" w:sz="4" w:space="0" w:color="auto"/>
              <w:left w:val="nil"/>
              <w:bottom w:val="single" w:sz="4" w:space="0" w:color="auto"/>
              <w:right w:val="nil"/>
            </w:tcBorders>
          </w:tcPr>
          <w:p w14:paraId="0C03EF2C" w14:textId="77777777" w:rsidR="00411166" w:rsidRPr="00361493" w:rsidRDefault="00411166">
            <w:pPr>
              <w:spacing w:after="0" w:line="240" w:lineRule="auto"/>
              <w:ind w:left="171"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Totals</w:t>
            </w:r>
          </w:p>
        </w:tc>
      </w:tr>
      <w:tr w:rsidR="00411166" w:rsidRPr="00361493" w14:paraId="064DCF8D" w14:textId="77777777">
        <w:trPr>
          <w:trHeight w:val="288"/>
        </w:trPr>
        <w:tc>
          <w:tcPr>
            <w:tcW w:w="3239" w:type="dxa"/>
            <w:noWrap/>
            <w:vAlign w:val="bottom"/>
            <w:hideMark/>
          </w:tcPr>
          <w:p w14:paraId="76A6DCB5"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Host species</w:t>
            </w:r>
          </w:p>
        </w:tc>
        <w:tc>
          <w:tcPr>
            <w:tcW w:w="945" w:type="dxa"/>
            <w:noWrap/>
            <w:vAlign w:val="bottom"/>
          </w:tcPr>
          <w:p w14:paraId="7A6E053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154</w:t>
            </w:r>
          </w:p>
        </w:tc>
        <w:tc>
          <w:tcPr>
            <w:tcW w:w="1386" w:type="dxa"/>
            <w:noWrap/>
            <w:vAlign w:val="bottom"/>
          </w:tcPr>
          <w:p w14:paraId="69CAD363"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43</w:t>
            </w:r>
          </w:p>
        </w:tc>
        <w:tc>
          <w:tcPr>
            <w:tcW w:w="931" w:type="dxa"/>
            <w:noWrap/>
            <w:vAlign w:val="bottom"/>
          </w:tcPr>
          <w:p w14:paraId="251C770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30</w:t>
            </w:r>
          </w:p>
        </w:tc>
        <w:tc>
          <w:tcPr>
            <w:tcW w:w="1354" w:type="dxa"/>
            <w:noWrap/>
            <w:vAlign w:val="bottom"/>
          </w:tcPr>
          <w:p w14:paraId="500EF6E6"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Calibri" w:hAnsi="Calibri" w:cs="Calibri"/>
                <w:color w:val="000000"/>
                <w:lang w:val="en-US" w:eastAsia="en-GB"/>
              </w:rPr>
              <w:t>1</w:t>
            </w:r>
          </w:p>
        </w:tc>
        <w:tc>
          <w:tcPr>
            <w:tcW w:w="1007" w:type="dxa"/>
            <w:noWrap/>
            <w:vAlign w:val="bottom"/>
          </w:tcPr>
          <w:p w14:paraId="6922A799"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18</w:t>
            </w:r>
          </w:p>
        </w:tc>
        <w:tc>
          <w:tcPr>
            <w:tcW w:w="1203" w:type="dxa"/>
            <w:vAlign w:val="bottom"/>
          </w:tcPr>
          <w:p w14:paraId="718494CF"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246</w:t>
            </w:r>
          </w:p>
        </w:tc>
      </w:tr>
      <w:tr w:rsidR="00411166" w:rsidRPr="00361493" w14:paraId="1D859E8D" w14:textId="77777777">
        <w:trPr>
          <w:trHeight w:val="288"/>
        </w:trPr>
        <w:tc>
          <w:tcPr>
            <w:tcW w:w="3239" w:type="dxa"/>
            <w:noWrap/>
            <w:vAlign w:val="bottom"/>
            <w:hideMark/>
          </w:tcPr>
          <w:p w14:paraId="721FFB8F"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Interactions in total</w:t>
            </w:r>
          </w:p>
        </w:tc>
        <w:tc>
          <w:tcPr>
            <w:tcW w:w="945" w:type="dxa"/>
            <w:noWrap/>
            <w:vAlign w:val="bottom"/>
          </w:tcPr>
          <w:p w14:paraId="500284A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11777</w:t>
            </w:r>
          </w:p>
        </w:tc>
        <w:tc>
          <w:tcPr>
            <w:tcW w:w="1386" w:type="dxa"/>
            <w:noWrap/>
            <w:vAlign w:val="bottom"/>
          </w:tcPr>
          <w:p w14:paraId="0BA7BD22"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8670</w:t>
            </w:r>
          </w:p>
        </w:tc>
        <w:tc>
          <w:tcPr>
            <w:tcW w:w="931" w:type="dxa"/>
            <w:noWrap/>
            <w:vAlign w:val="bottom"/>
          </w:tcPr>
          <w:p w14:paraId="3D0F7940"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1352</w:t>
            </w:r>
          </w:p>
        </w:tc>
        <w:tc>
          <w:tcPr>
            <w:tcW w:w="1354" w:type="dxa"/>
            <w:noWrap/>
            <w:vAlign w:val="bottom"/>
          </w:tcPr>
          <w:p w14:paraId="15AB530F"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487</w:t>
            </w:r>
          </w:p>
        </w:tc>
        <w:tc>
          <w:tcPr>
            <w:tcW w:w="1007" w:type="dxa"/>
            <w:noWrap/>
            <w:vAlign w:val="bottom"/>
          </w:tcPr>
          <w:p w14:paraId="689E32E0"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129</w:t>
            </w:r>
          </w:p>
        </w:tc>
        <w:tc>
          <w:tcPr>
            <w:tcW w:w="1203" w:type="dxa"/>
            <w:vAlign w:val="bottom"/>
          </w:tcPr>
          <w:p w14:paraId="18129FB5"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22415</w:t>
            </w:r>
          </w:p>
        </w:tc>
      </w:tr>
      <w:tr w:rsidR="00411166" w:rsidRPr="00361493" w14:paraId="259AAB17" w14:textId="77777777">
        <w:trPr>
          <w:trHeight w:val="288"/>
        </w:trPr>
        <w:tc>
          <w:tcPr>
            <w:tcW w:w="3239" w:type="dxa"/>
            <w:noWrap/>
            <w:vAlign w:val="bottom"/>
            <w:hideMark/>
          </w:tcPr>
          <w:p w14:paraId="2A2038C0" w14:textId="77777777" w:rsidR="00411166" w:rsidRPr="00361493" w:rsidRDefault="00411166">
            <w:pPr>
              <w:spacing w:after="0" w:line="240" w:lineRule="auto"/>
              <w:ind w:left="171" w:right="0"/>
              <w:rPr>
                <w:rFonts w:ascii="Calibri" w:eastAsia="Times New Roman" w:hAnsi="Calibri" w:cs="Calibri"/>
                <w:b/>
                <w:bCs/>
                <w:color w:val="000000"/>
                <w:lang w:val="en-US" w:eastAsia="en-GB"/>
              </w:rPr>
            </w:pPr>
            <w:r w:rsidRPr="00361493">
              <w:rPr>
                <w:rFonts w:ascii="Calibri" w:eastAsia="Times New Roman" w:hAnsi="Calibri" w:cs="Calibri"/>
                <w:b/>
                <w:bCs/>
                <w:color w:val="000000"/>
                <w:lang w:val="en-US" w:eastAsia="en-GB"/>
              </w:rPr>
              <w:t>PHI phenotypes</w:t>
            </w:r>
            <w:r w:rsidRPr="00361493">
              <w:rPr>
                <w:rFonts w:ascii="Calibri" w:eastAsia="Calibri" w:hAnsi="Calibri" w:cs="Calibri"/>
                <w:vertAlign w:val="superscript"/>
                <w:lang w:val="en-US" w:eastAsia="en-GB"/>
              </w:rPr>
              <w:t>†</w:t>
            </w:r>
          </w:p>
        </w:tc>
        <w:tc>
          <w:tcPr>
            <w:tcW w:w="945" w:type="dxa"/>
            <w:noWrap/>
            <w:vAlign w:val="bottom"/>
          </w:tcPr>
          <w:p w14:paraId="312DFA10" w14:textId="77777777" w:rsidR="00411166" w:rsidRPr="00361493" w:rsidRDefault="00411166">
            <w:pPr>
              <w:spacing w:after="0" w:line="240" w:lineRule="auto"/>
              <w:ind w:left="171" w:right="0"/>
              <w:rPr>
                <w:rFonts w:ascii="Calibri" w:eastAsia="Calibri" w:hAnsi="Calibri" w:cs="Calibri"/>
                <w:color w:val="000000"/>
                <w:lang w:val="en-US" w:eastAsia="en-GB"/>
              </w:rPr>
            </w:pPr>
          </w:p>
        </w:tc>
        <w:tc>
          <w:tcPr>
            <w:tcW w:w="1386" w:type="dxa"/>
            <w:noWrap/>
            <w:vAlign w:val="bottom"/>
          </w:tcPr>
          <w:p w14:paraId="4BDF0942" w14:textId="77777777" w:rsidR="00411166" w:rsidRPr="00361493" w:rsidRDefault="00411166">
            <w:pPr>
              <w:spacing w:after="0" w:line="240" w:lineRule="auto"/>
              <w:ind w:left="171" w:right="0"/>
              <w:rPr>
                <w:rFonts w:ascii="Calibri" w:eastAsia="Calibri" w:hAnsi="Calibri" w:cs="Calibri"/>
                <w:color w:val="000000"/>
                <w:lang w:val="en-US" w:eastAsia="en-GB"/>
              </w:rPr>
            </w:pPr>
          </w:p>
        </w:tc>
        <w:tc>
          <w:tcPr>
            <w:tcW w:w="931" w:type="dxa"/>
            <w:noWrap/>
            <w:vAlign w:val="bottom"/>
          </w:tcPr>
          <w:p w14:paraId="467313D3" w14:textId="77777777" w:rsidR="00411166" w:rsidRPr="00361493" w:rsidRDefault="00411166">
            <w:pPr>
              <w:spacing w:after="0" w:line="240" w:lineRule="auto"/>
              <w:ind w:left="171" w:right="0"/>
              <w:rPr>
                <w:rFonts w:ascii="Calibri" w:eastAsia="Calibri" w:hAnsi="Calibri" w:cs="Calibri"/>
                <w:color w:val="000000"/>
                <w:lang w:val="en-US" w:eastAsia="en-GB"/>
              </w:rPr>
            </w:pPr>
          </w:p>
        </w:tc>
        <w:tc>
          <w:tcPr>
            <w:tcW w:w="1354" w:type="dxa"/>
            <w:noWrap/>
            <w:vAlign w:val="bottom"/>
          </w:tcPr>
          <w:p w14:paraId="47CC603E" w14:textId="77777777" w:rsidR="00411166" w:rsidRPr="00361493" w:rsidRDefault="00411166">
            <w:pPr>
              <w:spacing w:after="0" w:line="240" w:lineRule="auto"/>
              <w:ind w:left="171" w:right="0"/>
              <w:rPr>
                <w:rFonts w:ascii="Calibri" w:eastAsia="Calibri" w:hAnsi="Calibri" w:cs="Calibri"/>
                <w:color w:val="000000"/>
                <w:lang w:val="en-US" w:eastAsia="en-GB"/>
              </w:rPr>
            </w:pPr>
          </w:p>
        </w:tc>
        <w:tc>
          <w:tcPr>
            <w:tcW w:w="1007" w:type="dxa"/>
            <w:noWrap/>
            <w:vAlign w:val="bottom"/>
          </w:tcPr>
          <w:p w14:paraId="0694F528" w14:textId="77777777" w:rsidR="00411166" w:rsidRPr="00361493" w:rsidRDefault="00411166">
            <w:pPr>
              <w:spacing w:after="0" w:line="240" w:lineRule="auto"/>
              <w:ind w:left="171" w:right="0"/>
              <w:rPr>
                <w:rFonts w:ascii="Calibri" w:eastAsia="Calibri" w:hAnsi="Calibri" w:cs="Calibri"/>
                <w:color w:val="000000"/>
                <w:lang w:val="en-US" w:eastAsia="en-GB"/>
              </w:rPr>
            </w:pPr>
          </w:p>
        </w:tc>
        <w:tc>
          <w:tcPr>
            <w:tcW w:w="1203" w:type="dxa"/>
          </w:tcPr>
          <w:p w14:paraId="1B8DAFB6" w14:textId="77777777" w:rsidR="00411166" w:rsidRPr="00361493" w:rsidRDefault="00411166">
            <w:pPr>
              <w:spacing w:after="0" w:line="240" w:lineRule="auto"/>
              <w:ind w:left="171" w:right="0"/>
              <w:rPr>
                <w:rFonts w:ascii="Calibri" w:eastAsia="Calibri" w:hAnsi="Calibri" w:cs="Calibri"/>
                <w:color w:val="000000"/>
                <w:lang w:val="en-US" w:eastAsia="en-GB"/>
              </w:rPr>
            </w:pPr>
          </w:p>
        </w:tc>
      </w:tr>
      <w:tr w:rsidR="00411166" w:rsidRPr="00361493" w14:paraId="7F66C7BB" w14:textId="77777777">
        <w:trPr>
          <w:trHeight w:val="288"/>
        </w:trPr>
        <w:tc>
          <w:tcPr>
            <w:tcW w:w="3239" w:type="dxa"/>
            <w:noWrap/>
            <w:vAlign w:val="bottom"/>
            <w:hideMark/>
          </w:tcPr>
          <w:p w14:paraId="39A26041"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Loss of pathogenicity</w:t>
            </w:r>
          </w:p>
        </w:tc>
        <w:tc>
          <w:tcPr>
            <w:tcW w:w="945" w:type="dxa"/>
            <w:noWrap/>
            <w:vAlign w:val="bottom"/>
          </w:tcPr>
          <w:p w14:paraId="255381B8"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808</w:t>
            </w:r>
          </w:p>
        </w:tc>
        <w:tc>
          <w:tcPr>
            <w:tcW w:w="1386" w:type="dxa"/>
            <w:noWrap/>
            <w:vAlign w:val="bottom"/>
          </w:tcPr>
          <w:p w14:paraId="0FA43D19"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354</w:t>
            </w:r>
          </w:p>
        </w:tc>
        <w:tc>
          <w:tcPr>
            <w:tcW w:w="931" w:type="dxa"/>
            <w:noWrap/>
            <w:vAlign w:val="bottom"/>
          </w:tcPr>
          <w:p w14:paraId="2AC8A5F9"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32</w:t>
            </w:r>
          </w:p>
        </w:tc>
        <w:tc>
          <w:tcPr>
            <w:tcW w:w="1354" w:type="dxa"/>
            <w:noWrap/>
            <w:vAlign w:val="bottom"/>
          </w:tcPr>
          <w:p w14:paraId="6E941CA4"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14</w:t>
            </w:r>
          </w:p>
        </w:tc>
        <w:tc>
          <w:tcPr>
            <w:tcW w:w="1007" w:type="dxa"/>
            <w:noWrap/>
            <w:vAlign w:val="bottom"/>
          </w:tcPr>
          <w:p w14:paraId="431BC1F4"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w:t>
            </w:r>
          </w:p>
        </w:tc>
        <w:tc>
          <w:tcPr>
            <w:tcW w:w="1203" w:type="dxa"/>
            <w:vAlign w:val="bottom"/>
          </w:tcPr>
          <w:p w14:paraId="1AEC8995"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1209</w:t>
            </w:r>
          </w:p>
        </w:tc>
      </w:tr>
      <w:tr w:rsidR="00411166" w:rsidRPr="00361493" w14:paraId="7CB5A132" w14:textId="77777777">
        <w:trPr>
          <w:trHeight w:val="288"/>
        </w:trPr>
        <w:tc>
          <w:tcPr>
            <w:tcW w:w="3239" w:type="dxa"/>
            <w:noWrap/>
            <w:vAlign w:val="bottom"/>
            <w:hideMark/>
          </w:tcPr>
          <w:p w14:paraId="25095063"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Reduced virulence</w:t>
            </w:r>
          </w:p>
        </w:tc>
        <w:tc>
          <w:tcPr>
            <w:tcW w:w="945" w:type="dxa"/>
            <w:noWrap/>
            <w:vAlign w:val="bottom"/>
          </w:tcPr>
          <w:p w14:paraId="715DBEC1"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4653</w:t>
            </w:r>
          </w:p>
        </w:tc>
        <w:tc>
          <w:tcPr>
            <w:tcW w:w="1386" w:type="dxa"/>
            <w:noWrap/>
            <w:vAlign w:val="bottom"/>
          </w:tcPr>
          <w:p w14:paraId="346BD552"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5103</w:t>
            </w:r>
          </w:p>
        </w:tc>
        <w:tc>
          <w:tcPr>
            <w:tcW w:w="931" w:type="dxa"/>
            <w:noWrap/>
            <w:vAlign w:val="bottom"/>
          </w:tcPr>
          <w:p w14:paraId="27E3712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810</w:t>
            </w:r>
          </w:p>
        </w:tc>
        <w:tc>
          <w:tcPr>
            <w:tcW w:w="1354" w:type="dxa"/>
            <w:noWrap/>
            <w:vAlign w:val="bottom"/>
          </w:tcPr>
          <w:p w14:paraId="5B7887C9"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301</w:t>
            </w:r>
          </w:p>
        </w:tc>
        <w:tc>
          <w:tcPr>
            <w:tcW w:w="1007" w:type="dxa"/>
            <w:noWrap/>
            <w:vAlign w:val="bottom"/>
          </w:tcPr>
          <w:p w14:paraId="39FE00B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88</w:t>
            </w:r>
          </w:p>
        </w:tc>
        <w:tc>
          <w:tcPr>
            <w:tcW w:w="1203" w:type="dxa"/>
            <w:vAlign w:val="bottom"/>
          </w:tcPr>
          <w:p w14:paraId="606E260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10955</w:t>
            </w:r>
          </w:p>
        </w:tc>
      </w:tr>
      <w:tr w:rsidR="00411166" w:rsidRPr="00361493" w14:paraId="59D99A1F" w14:textId="77777777">
        <w:trPr>
          <w:trHeight w:val="288"/>
        </w:trPr>
        <w:tc>
          <w:tcPr>
            <w:tcW w:w="3239" w:type="dxa"/>
            <w:noWrap/>
            <w:vAlign w:val="bottom"/>
            <w:hideMark/>
          </w:tcPr>
          <w:p w14:paraId="5EF60661"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Unaffected pathogenicity</w:t>
            </w:r>
          </w:p>
        </w:tc>
        <w:tc>
          <w:tcPr>
            <w:tcW w:w="945" w:type="dxa"/>
            <w:noWrap/>
            <w:vAlign w:val="bottom"/>
          </w:tcPr>
          <w:p w14:paraId="1F5FA3F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3113</w:t>
            </w:r>
          </w:p>
        </w:tc>
        <w:tc>
          <w:tcPr>
            <w:tcW w:w="1386" w:type="dxa"/>
            <w:noWrap/>
            <w:vAlign w:val="bottom"/>
          </w:tcPr>
          <w:p w14:paraId="3321DD59"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1971</w:t>
            </w:r>
          </w:p>
        </w:tc>
        <w:tc>
          <w:tcPr>
            <w:tcW w:w="931" w:type="dxa"/>
            <w:noWrap/>
            <w:vAlign w:val="bottom"/>
          </w:tcPr>
          <w:p w14:paraId="3535760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343</w:t>
            </w:r>
          </w:p>
        </w:tc>
        <w:tc>
          <w:tcPr>
            <w:tcW w:w="1354" w:type="dxa"/>
            <w:noWrap/>
            <w:vAlign w:val="bottom"/>
          </w:tcPr>
          <w:p w14:paraId="5EFDA41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137</w:t>
            </w:r>
          </w:p>
        </w:tc>
        <w:tc>
          <w:tcPr>
            <w:tcW w:w="1007" w:type="dxa"/>
            <w:noWrap/>
            <w:vAlign w:val="bottom"/>
          </w:tcPr>
          <w:p w14:paraId="438CCD03"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30</w:t>
            </w:r>
          </w:p>
        </w:tc>
        <w:tc>
          <w:tcPr>
            <w:tcW w:w="1203" w:type="dxa"/>
            <w:vAlign w:val="bottom"/>
          </w:tcPr>
          <w:p w14:paraId="0BA1D0F2"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5594</w:t>
            </w:r>
          </w:p>
        </w:tc>
      </w:tr>
      <w:tr w:rsidR="00411166" w:rsidRPr="00361493" w14:paraId="7291B3C5" w14:textId="77777777">
        <w:trPr>
          <w:trHeight w:val="288"/>
        </w:trPr>
        <w:tc>
          <w:tcPr>
            <w:tcW w:w="3239" w:type="dxa"/>
            <w:noWrap/>
            <w:vAlign w:val="bottom"/>
            <w:hideMark/>
          </w:tcPr>
          <w:p w14:paraId="0BFA78AC"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Effector (plant avirulence determinant)</w:t>
            </w:r>
          </w:p>
        </w:tc>
        <w:tc>
          <w:tcPr>
            <w:tcW w:w="945" w:type="dxa"/>
            <w:noWrap/>
            <w:vAlign w:val="bottom"/>
          </w:tcPr>
          <w:p w14:paraId="22F4170F"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2661</w:t>
            </w:r>
          </w:p>
        </w:tc>
        <w:tc>
          <w:tcPr>
            <w:tcW w:w="1386" w:type="dxa"/>
            <w:noWrap/>
            <w:vAlign w:val="bottom"/>
          </w:tcPr>
          <w:p w14:paraId="09255340" w14:textId="77777777" w:rsidR="00411166" w:rsidRPr="00361493" w:rsidRDefault="00411166">
            <w:pPr>
              <w:spacing w:after="0" w:line="240" w:lineRule="auto"/>
              <w:ind w:left="171" w:right="0"/>
              <w:rPr>
                <w:rFonts w:ascii="Calibri" w:eastAsia="Times New Roman" w:hAnsi="Calibri" w:cs="Calibri"/>
                <w:highlight w:val="yellow"/>
                <w:lang w:val="en-US" w:eastAsia="en-GB"/>
              </w:rPr>
            </w:pPr>
            <w:r w:rsidRPr="00361493">
              <w:rPr>
                <w:rFonts w:ascii="Calibri" w:eastAsia="Calibri" w:hAnsi="Calibri" w:cs="Calibri"/>
                <w:color w:val="000000"/>
                <w:lang w:val="en-US" w:eastAsia="en-GB"/>
              </w:rPr>
              <w:t>413</w:t>
            </w:r>
          </w:p>
        </w:tc>
        <w:tc>
          <w:tcPr>
            <w:tcW w:w="931" w:type="dxa"/>
            <w:noWrap/>
            <w:vAlign w:val="bottom"/>
          </w:tcPr>
          <w:p w14:paraId="77F7659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33</w:t>
            </w:r>
          </w:p>
        </w:tc>
        <w:tc>
          <w:tcPr>
            <w:tcW w:w="1354" w:type="dxa"/>
            <w:noWrap/>
            <w:vAlign w:val="bottom"/>
          </w:tcPr>
          <w:p w14:paraId="69011331"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w:t>
            </w:r>
          </w:p>
        </w:tc>
        <w:tc>
          <w:tcPr>
            <w:tcW w:w="1007" w:type="dxa"/>
            <w:noWrap/>
            <w:vAlign w:val="bottom"/>
          </w:tcPr>
          <w:p w14:paraId="694A27A0"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9</w:t>
            </w:r>
          </w:p>
        </w:tc>
        <w:tc>
          <w:tcPr>
            <w:tcW w:w="1203" w:type="dxa"/>
            <w:vAlign w:val="bottom"/>
          </w:tcPr>
          <w:p w14:paraId="5CDF0362"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3117</w:t>
            </w:r>
          </w:p>
        </w:tc>
      </w:tr>
      <w:tr w:rsidR="00411166" w:rsidRPr="00361493" w14:paraId="5EE89B54" w14:textId="77777777">
        <w:trPr>
          <w:trHeight w:val="288"/>
        </w:trPr>
        <w:tc>
          <w:tcPr>
            <w:tcW w:w="3239" w:type="dxa"/>
            <w:noWrap/>
            <w:vAlign w:val="bottom"/>
            <w:hideMark/>
          </w:tcPr>
          <w:p w14:paraId="5AAA7F5B"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Increased virulence (hypervirulence)</w:t>
            </w:r>
          </w:p>
        </w:tc>
        <w:tc>
          <w:tcPr>
            <w:tcW w:w="945" w:type="dxa"/>
            <w:noWrap/>
            <w:vAlign w:val="bottom"/>
          </w:tcPr>
          <w:p w14:paraId="59E4AA63"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396</w:t>
            </w:r>
          </w:p>
        </w:tc>
        <w:tc>
          <w:tcPr>
            <w:tcW w:w="1386" w:type="dxa"/>
            <w:noWrap/>
            <w:vAlign w:val="bottom"/>
          </w:tcPr>
          <w:p w14:paraId="34697A1F"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739</w:t>
            </w:r>
          </w:p>
        </w:tc>
        <w:tc>
          <w:tcPr>
            <w:tcW w:w="931" w:type="dxa"/>
            <w:noWrap/>
            <w:vAlign w:val="bottom"/>
          </w:tcPr>
          <w:p w14:paraId="4D7ECF27"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132</w:t>
            </w:r>
          </w:p>
        </w:tc>
        <w:tc>
          <w:tcPr>
            <w:tcW w:w="1354" w:type="dxa"/>
            <w:noWrap/>
            <w:vAlign w:val="bottom"/>
          </w:tcPr>
          <w:p w14:paraId="14DDE77C"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34</w:t>
            </w:r>
          </w:p>
        </w:tc>
        <w:tc>
          <w:tcPr>
            <w:tcW w:w="1007" w:type="dxa"/>
            <w:noWrap/>
            <w:vAlign w:val="bottom"/>
          </w:tcPr>
          <w:p w14:paraId="20062B22"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w:t>
            </w:r>
          </w:p>
        </w:tc>
        <w:tc>
          <w:tcPr>
            <w:tcW w:w="1203" w:type="dxa"/>
            <w:vAlign w:val="bottom"/>
          </w:tcPr>
          <w:p w14:paraId="27B17BD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1302</w:t>
            </w:r>
          </w:p>
        </w:tc>
      </w:tr>
      <w:tr w:rsidR="00411166" w:rsidRPr="00361493" w14:paraId="207BFE51" w14:textId="77777777">
        <w:trPr>
          <w:trHeight w:val="288"/>
        </w:trPr>
        <w:tc>
          <w:tcPr>
            <w:tcW w:w="3239" w:type="dxa"/>
            <w:noWrap/>
            <w:vAlign w:val="bottom"/>
            <w:hideMark/>
          </w:tcPr>
          <w:p w14:paraId="1C9BD683"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Chemical target: resistance to chemical</w:t>
            </w:r>
          </w:p>
        </w:tc>
        <w:tc>
          <w:tcPr>
            <w:tcW w:w="945" w:type="dxa"/>
            <w:noWrap/>
            <w:vAlign w:val="bottom"/>
          </w:tcPr>
          <w:p w14:paraId="21810FC5"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30</w:t>
            </w:r>
          </w:p>
        </w:tc>
        <w:tc>
          <w:tcPr>
            <w:tcW w:w="1386" w:type="dxa"/>
            <w:noWrap/>
            <w:vAlign w:val="bottom"/>
          </w:tcPr>
          <w:p w14:paraId="6F46CA89"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6</w:t>
            </w:r>
          </w:p>
        </w:tc>
        <w:tc>
          <w:tcPr>
            <w:tcW w:w="931" w:type="dxa"/>
            <w:noWrap/>
            <w:vAlign w:val="bottom"/>
          </w:tcPr>
          <w:p w14:paraId="09D4DF09"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354" w:type="dxa"/>
            <w:noWrap/>
            <w:vAlign w:val="bottom"/>
          </w:tcPr>
          <w:p w14:paraId="467D1A1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007" w:type="dxa"/>
            <w:noWrap/>
            <w:vAlign w:val="bottom"/>
          </w:tcPr>
          <w:p w14:paraId="485E923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203" w:type="dxa"/>
            <w:vAlign w:val="bottom"/>
          </w:tcPr>
          <w:p w14:paraId="6F1C01BF"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36</w:t>
            </w:r>
          </w:p>
        </w:tc>
      </w:tr>
      <w:tr w:rsidR="00411166" w:rsidRPr="00361493" w14:paraId="591B0696" w14:textId="77777777">
        <w:trPr>
          <w:trHeight w:val="288"/>
        </w:trPr>
        <w:tc>
          <w:tcPr>
            <w:tcW w:w="3239" w:type="dxa"/>
            <w:noWrap/>
            <w:vAlign w:val="bottom"/>
            <w:hideMark/>
          </w:tcPr>
          <w:p w14:paraId="4FD81BB4"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Chemical target: sensitivity to chemical</w:t>
            </w:r>
          </w:p>
        </w:tc>
        <w:tc>
          <w:tcPr>
            <w:tcW w:w="945" w:type="dxa"/>
            <w:noWrap/>
            <w:vAlign w:val="bottom"/>
          </w:tcPr>
          <w:p w14:paraId="30AB9DA9"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13</w:t>
            </w:r>
          </w:p>
        </w:tc>
        <w:tc>
          <w:tcPr>
            <w:tcW w:w="1386" w:type="dxa"/>
            <w:noWrap/>
            <w:vAlign w:val="bottom"/>
          </w:tcPr>
          <w:p w14:paraId="42CC2AFF"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w:t>
            </w:r>
          </w:p>
        </w:tc>
        <w:tc>
          <w:tcPr>
            <w:tcW w:w="931" w:type="dxa"/>
            <w:noWrap/>
            <w:vAlign w:val="bottom"/>
          </w:tcPr>
          <w:p w14:paraId="2D9A40DE"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354" w:type="dxa"/>
            <w:noWrap/>
            <w:vAlign w:val="bottom"/>
          </w:tcPr>
          <w:p w14:paraId="11B76263"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007" w:type="dxa"/>
            <w:noWrap/>
            <w:vAlign w:val="bottom"/>
          </w:tcPr>
          <w:p w14:paraId="43462C5B"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203" w:type="dxa"/>
            <w:vAlign w:val="bottom"/>
          </w:tcPr>
          <w:p w14:paraId="76208854"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14</w:t>
            </w:r>
          </w:p>
        </w:tc>
      </w:tr>
      <w:tr w:rsidR="00411166" w:rsidRPr="00361493" w14:paraId="23CEFCBB" w14:textId="77777777">
        <w:trPr>
          <w:trHeight w:val="288"/>
        </w:trPr>
        <w:tc>
          <w:tcPr>
            <w:tcW w:w="3239" w:type="dxa"/>
            <w:tcBorders>
              <w:top w:val="nil"/>
              <w:left w:val="nil"/>
              <w:bottom w:val="single" w:sz="4" w:space="0" w:color="auto"/>
              <w:right w:val="nil"/>
            </w:tcBorders>
            <w:noWrap/>
            <w:vAlign w:val="bottom"/>
            <w:hideMark/>
          </w:tcPr>
          <w:p w14:paraId="7CD87CEF" w14:textId="77777777" w:rsidR="00411166" w:rsidRPr="00361493" w:rsidRDefault="00411166">
            <w:pPr>
              <w:spacing w:after="0" w:line="240" w:lineRule="auto"/>
              <w:ind w:left="171" w:right="0"/>
              <w:rPr>
                <w:rFonts w:ascii="Calibri" w:eastAsia="Times New Roman" w:hAnsi="Calibri" w:cs="Calibri"/>
                <w:color w:val="000000"/>
                <w:lang w:val="en-US" w:eastAsia="en-GB"/>
              </w:rPr>
            </w:pPr>
            <w:r w:rsidRPr="00361493">
              <w:rPr>
                <w:rFonts w:ascii="Calibri" w:eastAsia="Times New Roman" w:hAnsi="Calibri" w:cs="Calibri"/>
                <w:color w:val="000000"/>
                <w:lang w:val="en-US" w:eastAsia="en-GB"/>
              </w:rPr>
              <w:t>Enhanced antagonism</w:t>
            </w:r>
          </w:p>
        </w:tc>
        <w:tc>
          <w:tcPr>
            <w:tcW w:w="945" w:type="dxa"/>
            <w:tcBorders>
              <w:top w:val="nil"/>
              <w:left w:val="nil"/>
              <w:bottom w:val="single" w:sz="4" w:space="0" w:color="auto"/>
              <w:right w:val="nil"/>
            </w:tcBorders>
            <w:noWrap/>
            <w:vAlign w:val="bottom"/>
          </w:tcPr>
          <w:p w14:paraId="183DD1DD"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4</w:t>
            </w:r>
          </w:p>
        </w:tc>
        <w:tc>
          <w:tcPr>
            <w:tcW w:w="1386" w:type="dxa"/>
            <w:tcBorders>
              <w:top w:val="nil"/>
              <w:left w:val="nil"/>
              <w:bottom w:val="single" w:sz="4" w:space="0" w:color="auto"/>
              <w:right w:val="nil"/>
            </w:tcBorders>
            <w:noWrap/>
            <w:vAlign w:val="bottom"/>
          </w:tcPr>
          <w:p w14:paraId="16A8DAA3"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931" w:type="dxa"/>
            <w:tcBorders>
              <w:top w:val="nil"/>
              <w:left w:val="nil"/>
              <w:bottom w:val="single" w:sz="4" w:space="0" w:color="auto"/>
              <w:right w:val="nil"/>
            </w:tcBorders>
            <w:noWrap/>
            <w:vAlign w:val="bottom"/>
          </w:tcPr>
          <w:p w14:paraId="66D86067"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354" w:type="dxa"/>
            <w:tcBorders>
              <w:top w:val="nil"/>
              <w:left w:val="nil"/>
              <w:bottom w:val="single" w:sz="4" w:space="0" w:color="auto"/>
              <w:right w:val="nil"/>
            </w:tcBorders>
            <w:noWrap/>
            <w:vAlign w:val="bottom"/>
          </w:tcPr>
          <w:p w14:paraId="15F72A4F"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007" w:type="dxa"/>
            <w:tcBorders>
              <w:top w:val="nil"/>
              <w:left w:val="nil"/>
              <w:bottom w:val="single" w:sz="4" w:space="0" w:color="auto"/>
              <w:right w:val="nil"/>
            </w:tcBorders>
            <w:noWrap/>
            <w:vAlign w:val="bottom"/>
          </w:tcPr>
          <w:p w14:paraId="461ED8D6"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0</w:t>
            </w:r>
          </w:p>
        </w:tc>
        <w:tc>
          <w:tcPr>
            <w:tcW w:w="1203" w:type="dxa"/>
            <w:tcBorders>
              <w:top w:val="nil"/>
              <w:left w:val="nil"/>
              <w:bottom w:val="single" w:sz="4" w:space="0" w:color="auto"/>
              <w:right w:val="nil"/>
            </w:tcBorders>
            <w:vAlign w:val="bottom"/>
          </w:tcPr>
          <w:p w14:paraId="2871762A" w14:textId="77777777" w:rsidR="00411166" w:rsidRPr="00361493" w:rsidRDefault="00411166">
            <w:pPr>
              <w:spacing w:after="0" w:line="240" w:lineRule="auto"/>
              <w:ind w:left="171" w:right="0"/>
              <w:rPr>
                <w:rFonts w:ascii="Calibri" w:eastAsia="Times New Roman" w:hAnsi="Calibri" w:cs="Calibri"/>
                <w:color w:val="000000"/>
                <w:highlight w:val="yellow"/>
                <w:lang w:val="en-US" w:eastAsia="en-GB"/>
              </w:rPr>
            </w:pPr>
            <w:r w:rsidRPr="00361493">
              <w:rPr>
                <w:rFonts w:ascii="Calibri" w:eastAsia="Calibri" w:hAnsi="Calibri" w:cs="Calibri"/>
                <w:color w:val="000000"/>
                <w:lang w:val="en-US" w:eastAsia="en-GB"/>
              </w:rPr>
              <w:t>4</w:t>
            </w:r>
          </w:p>
        </w:tc>
      </w:tr>
    </w:tbl>
    <w:bookmarkEnd w:id="26"/>
    <w:bookmarkEnd w:id="27"/>
    <w:p w14:paraId="56C252BF" w14:textId="77777777" w:rsidR="00411166" w:rsidRPr="00361493" w:rsidRDefault="00411166">
      <w:pPr>
        <w:spacing w:before="120" w:after="0"/>
        <w:ind w:left="142" w:right="0"/>
        <w:rPr>
          <w:rFonts w:ascii="Calibri" w:eastAsia="Calibri" w:hAnsi="Calibri" w:cs="Calibri"/>
          <w:lang w:val="en-US" w:eastAsia="en-GB"/>
        </w:rPr>
      </w:pPr>
      <w:r w:rsidRPr="00361493">
        <w:rPr>
          <w:rFonts w:ascii="Calibri" w:eastAsia="Calibri" w:hAnsi="Calibri" w:cs="Calibri"/>
          <w:vertAlign w:val="superscript"/>
          <w:lang w:val="en-US" w:eastAsia="en-GB"/>
        </w:rPr>
        <w:t xml:space="preserve">† </w:t>
      </w:r>
      <w:r w:rsidRPr="00361493">
        <w:rPr>
          <w:rFonts w:ascii="Calibri" w:eastAsia="Calibri" w:hAnsi="Calibri" w:cs="Calibri"/>
          <w:lang w:val="en-US" w:eastAsia="en-GB"/>
        </w:rPr>
        <w:t xml:space="preserve">The ‘Lethal’ high-level phenotype is not included since it is not applicable for host species: this </w:t>
      </w:r>
      <w:r w:rsidRPr="00361493">
        <w:rPr>
          <w:rFonts w:ascii="Calibri" w:eastAsia="Calibri" w:hAnsi="Calibri" w:cs="Calibri"/>
          <w:lang w:val="en-US" w:eastAsia="en-GB"/>
        </w:rPr>
        <w:br/>
        <w:t xml:space="preserve">  phenotype indicates that a mutation in a pathogen renders the pathogen inviable.</w:t>
      </w:r>
    </w:p>
    <w:p w14:paraId="77ED47CB" w14:textId="77777777" w:rsidR="00411166" w:rsidRPr="00361493" w:rsidRDefault="00411166">
      <w:pPr>
        <w:spacing w:before="120" w:after="0"/>
        <w:ind w:right="0"/>
        <w:rPr>
          <w:rFonts w:ascii="Calibri" w:hAnsi="Calibri" w:cs="Calibri"/>
          <w:lang w:eastAsia="pl-PL"/>
        </w:rPr>
      </w:pPr>
    </w:p>
    <w:p w14:paraId="64E831DA" w14:textId="77777777" w:rsidR="00411166" w:rsidRPr="00361493" w:rsidRDefault="00411166">
      <w:pPr>
        <w:keepNext/>
        <w:keepLines/>
        <w:spacing w:before="240"/>
        <w:ind w:right="0"/>
        <w:outlineLvl w:val="2"/>
        <w:rPr>
          <w:rFonts w:ascii="Calibri" w:eastAsia="Calibri" w:hAnsi="Calibri" w:cs="Calibri"/>
          <w:b/>
          <w:sz w:val="28"/>
          <w:szCs w:val="28"/>
          <w:lang w:val="en-US" w:eastAsia="en-GB"/>
        </w:rPr>
      </w:pPr>
      <w:r w:rsidRPr="00361493">
        <w:rPr>
          <w:rFonts w:ascii="Calibri" w:eastAsia="Calibri" w:hAnsi="Calibri" w:cs="Calibri"/>
          <w:b/>
          <w:sz w:val="28"/>
          <w:szCs w:val="28"/>
          <w:lang w:val="en-US" w:eastAsia="en-GB"/>
        </w:rPr>
        <w:lastRenderedPageBreak/>
        <w:t>Table 3. Highly annotated pathogens, interactions and proteins within PHI-base version 4.1</w:t>
      </w:r>
      <w:bookmarkStart w:id="28" w:name="_Hlk176272571"/>
      <w:r w:rsidRPr="00361493">
        <w:rPr>
          <w:rFonts w:ascii="Calibri" w:eastAsia="Calibri" w:hAnsi="Calibri" w:cs="Calibri"/>
          <w:b/>
          <w:sz w:val="28"/>
          <w:szCs w:val="28"/>
          <w:lang w:val="en-US" w:eastAsia="en-GB"/>
        </w:rPr>
        <w:t>7</w:t>
      </w:r>
    </w:p>
    <w:tbl>
      <w:tblPr>
        <w:tblW w:w="10939" w:type="dxa"/>
        <w:tblInd w:w="-567" w:type="dxa"/>
        <w:tblLayout w:type="fixed"/>
        <w:tblLook w:val="04A0" w:firstRow="1" w:lastRow="0" w:firstColumn="1" w:lastColumn="0" w:noHBand="0" w:noVBand="1"/>
      </w:tblPr>
      <w:tblGrid>
        <w:gridCol w:w="2695"/>
        <w:gridCol w:w="849"/>
        <w:gridCol w:w="853"/>
        <w:gridCol w:w="978"/>
        <w:gridCol w:w="993"/>
        <w:gridCol w:w="1006"/>
        <w:gridCol w:w="706"/>
        <w:gridCol w:w="1160"/>
        <w:gridCol w:w="849"/>
        <w:gridCol w:w="850"/>
      </w:tblGrid>
      <w:tr w:rsidR="00411166" w:rsidRPr="00361493" w14:paraId="1722C9FC" w14:textId="77777777" w:rsidTr="692906EA">
        <w:trPr>
          <w:trHeight w:val="847"/>
        </w:trPr>
        <w:tc>
          <w:tcPr>
            <w:tcW w:w="2695" w:type="dxa"/>
            <w:tcBorders>
              <w:top w:val="single" w:sz="4" w:space="0" w:color="auto"/>
              <w:left w:val="nil"/>
              <w:bottom w:val="single" w:sz="4" w:space="0" w:color="auto"/>
              <w:right w:val="nil"/>
            </w:tcBorders>
            <w:noWrap/>
            <w:hideMark/>
          </w:tcPr>
          <w:p w14:paraId="3ACD62D2"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bookmarkStart w:id="29" w:name="_Hlk80716842"/>
            <w:r w:rsidRPr="00361493">
              <w:rPr>
                <w:rFonts w:ascii="Calibri" w:eastAsia="Calibri" w:hAnsi="Calibri" w:cs="Calibri"/>
                <w:b/>
                <w:sz w:val="20"/>
                <w:szCs w:val="20"/>
                <w:lang w:val="en-US" w:eastAsia="en-GB"/>
              </w:rPr>
              <w:t>Pathogen</w:t>
            </w:r>
          </w:p>
        </w:tc>
        <w:tc>
          <w:tcPr>
            <w:tcW w:w="849" w:type="dxa"/>
            <w:tcBorders>
              <w:top w:val="single" w:sz="4" w:space="0" w:color="auto"/>
              <w:left w:val="nil"/>
              <w:bottom w:val="single" w:sz="4" w:space="0" w:color="auto"/>
              <w:right w:val="nil"/>
            </w:tcBorders>
            <w:noWrap/>
            <w:hideMark/>
          </w:tcPr>
          <w:p w14:paraId="7454D7F8"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r w:rsidRPr="00361493">
              <w:rPr>
                <w:rFonts w:ascii="Calibri" w:eastAsia="Calibri" w:hAnsi="Calibri" w:cs="Calibri"/>
                <w:b/>
                <w:sz w:val="20"/>
                <w:szCs w:val="20"/>
                <w:lang w:val="en-US" w:eastAsia="en-GB"/>
              </w:rPr>
              <w:t>Inter-</w:t>
            </w:r>
            <w:r w:rsidRPr="00361493">
              <w:rPr>
                <w:rFonts w:ascii="Calibri" w:eastAsia="Calibri" w:hAnsi="Calibri" w:cs="Calibri"/>
                <w:b/>
                <w:sz w:val="20"/>
                <w:szCs w:val="20"/>
                <w:lang w:val="en-US" w:eastAsia="en-GB"/>
              </w:rPr>
              <w:br/>
              <w:t>actions</w:t>
            </w:r>
          </w:p>
        </w:tc>
        <w:tc>
          <w:tcPr>
            <w:tcW w:w="853" w:type="dxa"/>
            <w:tcBorders>
              <w:top w:val="single" w:sz="4" w:space="0" w:color="auto"/>
              <w:left w:val="nil"/>
              <w:bottom w:val="single" w:sz="4" w:space="0" w:color="auto"/>
              <w:right w:val="nil"/>
            </w:tcBorders>
            <w:noWrap/>
            <w:hideMark/>
          </w:tcPr>
          <w:p w14:paraId="75EE4272"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r w:rsidRPr="00361493">
              <w:rPr>
                <w:rFonts w:ascii="Calibri" w:eastAsia="Calibri" w:hAnsi="Calibri" w:cs="Calibri"/>
                <w:b/>
                <w:sz w:val="20"/>
                <w:szCs w:val="20"/>
                <w:lang w:val="en-US" w:eastAsia="en-GB"/>
              </w:rPr>
              <w:t>Prote-ins</w:t>
            </w:r>
            <w:r w:rsidRPr="00361493">
              <w:rPr>
                <w:rFonts w:ascii="Calibri" w:eastAsia="Calibri" w:hAnsi="Calibri" w:cs="Calibri"/>
                <w:sz w:val="20"/>
                <w:szCs w:val="20"/>
                <w:lang w:val="en-US" w:eastAsia="en-GB"/>
              </w:rPr>
              <w:t>*</w:t>
            </w:r>
          </w:p>
        </w:tc>
        <w:tc>
          <w:tcPr>
            <w:tcW w:w="978" w:type="dxa"/>
            <w:tcBorders>
              <w:top w:val="single" w:sz="4" w:space="0" w:color="auto"/>
              <w:left w:val="nil"/>
              <w:bottom w:val="single" w:sz="4" w:space="0" w:color="auto"/>
              <w:right w:val="nil"/>
            </w:tcBorders>
            <w:hideMark/>
          </w:tcPr>
          <w:p w14:paraId="50780B45"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r w:rsidRPr="00361493">
              <w:rPr>
                <w:rFonts w:ascii="Calibri" w:eastAsia="Calibri" w:hAnsi="Calibri" w:cs="Calibri"/>
                <w:b/>
                <w:sz w:val="20"/>
                <w:szCs w:val="20"/>
                <w:lang w:val="en-US" w:eastAsia="en-GB"/>
              </w:rPr>
              <w:t>Loss of patho-genicity</w:t>
            </w:r>
          </w:p>
        </w:tc>
        <w:tc>
          <w:tcPr>
            <w:tcW w:w="993" w:type="dxa"/>
            <w:tcBorders>
              <w:top w:val="single" w:sz="4" w:space="0" w:color="auto"/>
              <w:left w:val="nil"/>
              <w:bottom w:val="single" w:sz="4" w:space="0" w:color="auto"/>
              <w:right w:val="nil"/>
            </w:tcBorders>
            <w:hideMark/>
          </w:tcPr>
          <w:p w14:paraId="285539A6"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r w:rsidRPr="00361493">
              <w:rPr>
                <w:rFonts w:ascii="Calibri" w:eastAsia="Calibri" w:hAnsi="Calibri" w:cs="Calibri"/>
                <w:b/>
                <w:sz w:val="20"/>
                <w:szCs w:val="20"/>
                <w:lang w:val="en-US" w:eastAsia="en-GB"/>
              </w:rPr>
              <w:t>Reduced virulence</w:t>
            </w:r>
          </w:p>
        </w:tc>
        <w:tc>
          <w:tcPr>
            <w:tcW w:w="1006" w:type="dxa"/>
            <w:tcBorders>
              <w:top w:val="single" w:sz="4" w:space="0" w:color="auto"/>
              <w:left w:val="nil"/>
              <w:bottom w:val="single" w:sz="4" w:space="0" w:color="auto"/>
              <w:right w:val="nil"/>
            </w:tcBorders>
            <w:hideMark/>
          </w:tcPr>
          <w:p w14:paraId="68915823"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r w:rsidRPr="00361493">
              <w:rPr>
                <w:rFonts w:ascii="Calibri" w:eastAsia="Calibri" w:hAnsi="Calibri" w:cs="Calibri"/>
                <w:b/>
                <w:sz w:val="20"/>
                <w:szCs w:val="20"/>
                <w:lang w:val="en-US" w:eastAsia="en-GB"/>
              </w:rPr>
              <w:t>Incre-ased virulence</w:t>
            </w:r>
          </w:p>
        </w:tc>
        <w:tc>
          <w:tcPr>
            <w:tcW w:w="706" w:type="dxa"/>
            <w:tcBorders>
              <w:top w:val="single" w:sz="4" w:space="0" w:color="auto"/>
              <w:left w:val="nil"/>
              <w:bottom w:val="single" w:sz="4" w:space="0" w:color="auto"/>
              <w:right w:val="nil"/>
            </w:tcBorders>
            <w:noWrap/>
            <w:hideMark/>
          </w:tcPr>
          <w:p w14:paraId="2AEF37D1"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r w:rsidRPr="00361493">
              <w:rPr>
                <w:rFonts w:ascii="Calibri" w:eastAsia="Calibri" w:hAnsi="Calibri" w:cs="Calibri"/>
                <w:b/>
                <w:sz w:val="20"/>
                <w:szCs w:val="20"/>
                <w:lang w:val="en-US" w:eastAsia="en-GB"/>
              </w:rPr>
              <w:t>Effec-tor</w:t>
            </w:r>
          </w:p>
        </w:tc>
        <w:tc>
          <w:tcPr>
            <w:tcW w:w="1160" w:type="dxa"/>
            <w:tcBorders>
              <w:top w:val="single" w:sz="4" w:space="0" w:color="auto"/>
              <w:left w:val="nil"/>
              <w:bottom w:val="single" w:sz="4" w:space="0" w:color="auto"/>
              <w:right w:val="nil"/>
            </w:tcBorders>
            <w:hideMark/>
          </w:tcPr>
          <w:p w14:paraId="363D257E"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r w:rsidRPr="00361493">
              <w:rPr>
                <w:rFonts w:ascii="Calibri" w:eastAsia="Calibri" w:hAnsi="Calibri" w:cs="Calibri"/>
                <w:b/>
                <w:sz w:val="20"/>
                <w:szCs w:val="20"/>
                <w:lang w:val="en-US" w:eastAsia="en-GB"/>
              </w:rPr>
              <w:t>Unaffected patho-genicity</w:t>
            </w:r>
          </w:p>
        </w:tc>
        <w:tc>
          <w:tcPr>
            <w:tcW w:w="849" w:type="dxa"/>
            <w:tcBorders>
              <w:top w:val="single" w:sz="4" w:space="0" w:color="auto"/>
              <w:left w:val="nil"/>
              <w:bottom w:val="single" w:sz="4" w:space="0" w:color="auto"/>
              <w:right w:val="nil"/>
            </w:tcBorders>
            <w:noWrap/>
            <w:hideMark/>
          </w:tcPr>
          <w:p w14:paraId="62D42112" w14:textId="77777777" w:rsidR="00411166" w:rsidRPr="00361493" w:rsidRDefault="00411166">
            <w:pPr>
              <w:widowControl w:val="0"/>
              <w:spacing w:before="240" w:after="0" w:line="240" w:lineRule="auto"/>
              <w:ind w:right="0"/>
              <w:rPr>
                <w:rFonts w:ascii="Calibri" w:eastAsia="Calibri" w:hAnsi="Calibri" w:cs="Calibri"/>
                <w:b/>
                <w:sz w:val="20"/>
                <w:szCs w:val="20"/>
                <w:lang w:val="en-US" w:eastAsia="en-GB"/>
              </w:rPr>
            </w:pPr>
            <w:r w:rsidRPr="00361493">
              <w:rPr>
                <w:rFonts w:ascii="Calibri" w:eastAsia="Calibri" w:hAnsi="Calibri" w:cs="Calibri"/>
                <w:b/>
                <w:sz w:val="20"/>
                <w:szCs w:val="20"/>
                <w:lang w:val="en-US" w:eastAsia="en-GB"/>
              </w:rPr>
              <w:t>Lethal</w:t>
            </w:r>
          </w:p>
        </w:tc>
        <w:tc>
          <w:tcPr>
            <w:tcW w:w="850" w:type="dxa"/>
            <w:tcBorders>
              <w:top w:val="single" w:sz="4" w:space="0" w:color="auto"/>
              <w:left w:val="nil"/>
              <w:bottom w:val="single" w:sz="4" w:space="0" w:color="auto"/>
              <w:right w:val="nil"/>
            </w:tcBorders>
            <w:hideMark/>
          </w:tcPr>
          <w:p w14:paraId="7F05A89F" w14:textId="77777777" w:rsidR="00411166" w:rsidRPr="00361493" w:rsidRDefault="00411166">
            <w:pPr>
              <w:widowControl w:val="0"/>
              <w:spacing w:before="240" w:after="0" w:line="240" w:lineRule="auto"/>
              <w:ind w:right="0"/>
              <w:rPr>
                <w:rFonts w:ascii="Calibri" w:eastAsia="Times New Roman" w:hAnsi="Calibri" w:cs="Calibri"/>
                <w:b/>
                <w:bCs/>
                <w:color w:val="000000"/>
                <w:sz w:val="20"/>
                <w:szCs w:val="20"/>
                <w:lang w:eastAsia="en-GB"/>
              </w:rPr>
            </w:pPr>
            <w:r w:rsidRPr="00361493">
              <w:rPr>
                <w:rFonts w:ascii="Calibri" w:eastAsia="Calibri" w:hAnsi="Calibri" w:cs="Calibri"/>
                <w:b/>
                <w:sz w:val="20"/>
                <w:szCs w:val="20"/>
                <w:lang w:val="en-US" w:eastAsia="en-GB"/>
              </w:rPr>
              <w:t>No of host species</w:t>
            </w:r>
          </w:p>
        </w:tc>
      </w:tr>
      <w:tr w:rsidR="00411166" w:rsidRPr="00361493" w14:paraId="7BB7E2D1" w14:textId="77777777" w:rsidTr="692906EA">
        <w:trPr>
          <w:trHeight w:val="288"/>
        </w:trPr>
        <w:tc>
          <w:tcPr>
            <w:tcW w:w="2695" w:type="dxa"/>
            <w:noWrap/>
            <w:hideMark/>
          </w:tcPr>
          <w:p w14:paraId="2CAB8384"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Fusarium graminearum</w:t>
            </w:r>
            <w:r w:rsidRPr="00361493">
              <w:rPr>
                <w:rFonts w:ascii="Calibri" w:eastAsia="Calibri" w:hAnsi="Calibri" w:cs="Calibri"/>
                <w:sz w:val="20"/>
                <w:szCs w:val="20"/>
                <w:vertAlign w:val="superscript"/>
                <w:lang w:val="en-US" w:eastAsia="en-GB"/>
              </w:rPr>
              <w:t>†</w:t>
            </w:r>
            <w:r w:rsidRPr="00361493">
              <w:rPr>
                <w:rFonts w:ascii="Calibri" w:eastAsia="Calibri" w:hAnsi="Calibri" w:cs="Calibri"/>
                <w:sz w:val="20"/>
                <w:szCs w:val="20"/>
                <w:lang w:val="en-US" w:eastAsia="en-GB"/>
              </w:rPr>
              <w:t xml:space="preserve"> (F)</w:t>
            </w:r>
          </w:p>
        </w:tc>
        <w:tc>
          <w:tcPr>
            <w:tcW w:w="849" w:type="dxa"/>
            <w:noWrap/>
          </w:tcPr>
          <w:p w14:paraId="4AE136E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1851</w:t>
            </w:r>
          </w:p>
        </w:tc>
        <w:tc>
          <w:tcPr>
            <w:tcW w:w="853" w:type="dxa"/>
            <w:noWrap/>
          </w:tcPr>
          <w:p w14:paraId="3D04B8A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1340</w:t>
            </w:r>
          </w:p>
        </w:tc>
        <w:tc>
          <w:tcPr>
            <w:tcW w:w="978" w:type="dxa"/>
            <w:noWrap/>
          </w:tcPr>
          <w:p w14:paraId="792CABF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49</w:t>
            </w:r>
          </w:p>
        </w:tc>
        <w:tc>
          <w:tcPr>
            <w:tcW w:w="993" w:type="dxa"/>
            <w:noWrap/>
          </w:tcPr>
          <w:p w14:paraId="41CF1A7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704</w:t>
            </w:r>
          </w:p>
        </w:tc>
        <w:tc>
          <w:tcPr>
            <w:tcW w:w="1006" w:type="dxa"/>
            <w:noWrap/>
          </w:tcPr>
          <w:p w14:paraId="4138514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14</w:t>
            </w:r>
          </w:p>
        </w:tc>
        <w:tc>
          <w:tcPr>
            <w:tcW w:w="706" w:type="dxa"/>
            <w:noWrap/>
          </w:tcPr>
          <w:p w14:paraId="2892F42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28AD2A1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990</w:t>
            </w:r>
          </w:p>
        </w:tc>
        <w:tc>
          <w:tcPr>
            <w:tcW w:w="849" w:type="dxa"/>
            <w:noWrap/>
          </w:tcPr>
          <w:p w14:paraId="1634E83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94</w:t>
            </w:r>
          </w:p>
        </w:tc>
        <w:tc>
          <w:tcPr>
            <w:tcW w:w="850" w:type="dxa"/>
            <w:noWrap/>
          </w:tcPr>
          <w:p w14:paraId="06BC2A8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r>
      <w:tr w:rsidR="00411166" w:rsidRPr="00361493" w14:paraId="3A7B8C0B" w14:textId="77777777" w:rsidTr="692906EA">
        <w:trPr>
          <w:trHeight w:val="288"/>
        </w:trPr>
        <w:tc>
          <w:tcPr>
            <w:tcW w:w="2695" w:type="dxa"/>
            <w:noWrap/>
            <w:hideMark/>
          </w:tcPr>
          <w:p w14:paraId="58855619"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Magnaporthe oryzae</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0E44E5C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1656</w:t>
            </w:r>
          </w:p>
        </w:tc>
        <w:tc>
          <w:tcPr>
            <w:tcW w:w="853" w:type="dxa"/>
            <w:noWrap/>
          </w:tcPr>
          <w:p w14:paraId="042F13C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733</w:t>
            </w:r>
          </w:p>
        </w:tc>
        <w:tc>
          <w:tcPr>
            <w:tcW w:w="978" w:type="dxa"/>
            <w:noWrap/>
          </w:tcPr>
          <w:p w14:paraId="1D176E8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313</w:t>
            </w:r>
          </w:p>
        </w:tc>
        <w:tc>
          <w:tcPr>
            <w:tcW w:w="993" w:type="dxa"/>
            <w:noWrap/>
          </w:tcPr>
          <w:p w14:paraId="26F7D65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750</w:t>
            </w:r>
          </w:p>
        </w:tc>
        <w:tc>
          <w:tcPr>
            <w:tcW w:w="1006" w:type="dxa"/>
            <w:noWrap/>
          </w:tcPr>
          <w:p w14:paraId="0CE74C6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23</w:t>
            </w:r>
          </w:p>
        </w:tc>
        <w:tc>
          <w:tcPr>
            <w:tcW w:w="706" w:type="dxa"/>
            <w:noWrap/>
          </w:tcPr>
          <w:p w14:paraId="206BFCF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104</w:t>
            </w:r>
          </w:p>
        </w:tc>
        <w:tc>
          <w:tcPr>
            <w:tcW w:w="1160" w:type="dxa"/>
            <w:noWrap/>
          </w:tcPr>
          <w:p w14:paraId="69D463D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465</w:t>
            </w:r>
          </w:p>
        </w:tc>
        <w:tc>
          <w:tcPr>
            <w:tcW w:w="849" w:type="dxa"/>
            <w:noWrap/>
          </w:tcPr>
          <w:p w14:paraId="1408618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850" w:type="dxa"/>
            <w:noWrap/>
          </w:tcPr>
          <w:p w14:paraId="2092CAD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00C5D15E" w14:textId="77777777" w:rsidTr="692906EA">
        <w:trPr>
          <w:trHeight w:val="288"/>
        </w:trPr>
        <w:tc>
          <w:tcPr>
            <w:tcW w:w="2695" w:type="dxa"/>
            <w:noWrap/>
            <w:hideMark/>
          </w:tcPr>
          <w:p w14:paraId="30B84CDA"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Salmonella enterica</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29690C4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1246</w:t>
            </w:r>
          </w:p>
        </w:tc>
        <w:tc>
          <w:tcPr>
            <w:tcW w:w="853" w:type="dxa"/>
            <w:noWrap/>
          </w:tcPr>
          <w:p w14:paraId="3E08EBC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550</w:t>
            </w:r>
          </w:p>
        </w:tc>
        <w:tc>
          <w:tcPr>
            <w:tcW w:w="978" w:type="dxa"/>
            <w:noWrap/>
          </w:tcPr>
          <w:p w14:paraId="77498E3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20</w:t>
            </w:r>
          </w:p>
        </w:tc>
        <w:tc>
          <w:tcPr>
            <w:tcW w:w="993" w:type="dxa"/>
            <w:noWrap/>
          </w:tcPr>
          <w:p w14:paraId="5BE2209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736</w:t>
            </w:r>
          </w:p>
        </w:tc>
        <w:tc>
          <w:tcPr>
            <w:tcW w:w="1006" w:type="dxa"/>
            <w:noWrap/>
          </w:tcPr>
          <w:p w14:paraId="0D09DCE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103</w:t>
            </w:r>
          </w:p>
        </w:tc>
        <w:tc>
          <w:tcPr>
            <w:tcW w:w="706" w:type="dxa"/>
            <w:noWrap/>
          </w:tcPr>
          <w:p w14:paraId="4E6CA11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145</w:t>
            </w:r>
          </w:p>
        </w:tc>
        <w:tc>
          <w:tcPr>
            <w:tcW w:w="1160" w:type="dxa"/>
            <w:noWrap/>
          </w:tcPr>
          <w:p w14:paraId="386E113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242</w:t>
            </w:r>
          </w:p>
        </w:tc>
        <w:tc>
          <w:tcPr>
            <w:tcW w:w="849" w:type="dxa"/>
            <w:noWrap/>
          </w:tcPr>
          <w:p w14:paraId="7197DEA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6A45547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r>
      <w:tr w:rsidR="00411166" w:rsidRPr="00361493" w14:paraId="3E08FBB9" w14:textId="77777777" w:rsidTr="692906EA">
        <w:trPr>
          <w:trHeight w:val="288"/>
        </w:trPr>
        <w:tc>
          <w:tcPr>
            <w:tcW w:w="2695" w:type="dxa"/>
            <w:noWrap/>
            <w:hideMark/>
          </w:tcPr>
          <w:p w14:paraId="3FFDB3DA"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Candida albicans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02E98E9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787</w:t>
            </w:r>
          </w:p>
        </w:tc>
        <w:tc>
          <w:tcPr>
            <w:tcW w:w="853" w:type="dxa"/>
            <w:noWrap/>
          </w:tcPr>
          <w:p w14:paraId="550FCE0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390</w:t>
            </w:r>
          </w:p>
        </w:tc>
        <w:tc>
          <w:tcPr>
            <w:tcW w:w="978" w:type="dxa"/>
            <w:noWrap/>
          </w:tcPr>
          <w:p w14:paraId="5A5F017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71</w:t>
            </w:r>
          </w:p>
        </w:tc>
        <w:tc>
          <w:tcPr>
            <w:tcW w:w="993" w:type="dxa"/>
            <w:noWrap/>
          </w:tcPr>
          <w:p w14:paraId="09C706F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483</w:t>
            </w:r>
          </w:p>
        </w:tc>
        <w:tc>
          <w:tcPr>
            <w:tcW w:w="1006" w:type="dxa"/>
            <w:noWrap/>
          </w:tcPr>
          <w:p w14:paraId="336242E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62</w:t>
            </w:r>
          </w:p>
        </w:tc>
        <w:tc>
          <w:tcPr>
            <w:tcW w:w="706" w:type="dxa"/>
            <w:noWrap/>
          </w:tcPr>
          <w:p w14:paraId="5BADCC0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3579B55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167</w:t>
            </w:r>
          </w:p>
        </w:tc>
        <w:tc>
          <w:tcPr>
            <w:tcW w:w="849" w:type="dxa"/>
            <w:noWrap/>
          </w:tcPr>
          <w:p w14:paraId="192D867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w:t>
            </w:r>
          </w:p>
        </w:tc>
        <w:tc>
          <w:tcPr>
            <w:tcW w:w="850" w:type="dxa"/>
            <w:noWrap/>
          </w:tcPr>
          <w:p w14:paraId="028B88B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w:t>
            </w:r>
          </w:p>
        </w:tc>
      </w:tr>
      <w:tr w:rsidR="00411166" w:rsidRPr="00361493" w14:paraId="3D6966B7" w14:textId="77777777" w:rsidTr="692906EA">
        <w:trPr>
          <w:trHeight w:val="288"/>
        </w:trPr>
        <w:tc>
          <w:tcPr>
            <w:tcW w:w="2695" w:type="dxa"/>
            <w:noWrap/>
            <w:hideMark/>
          </w:tcPr>
          <w:p w14:paraId="79ADABDE"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Escherichia coli</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16A7555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662</w:t>
            </w:r>
          </w:p>
        </w:tc>
        <w:tc>
          <w:tcPr>
            <w:tcW w:w="853" w:type="dxa"/>
            <w:noWrap/>
          </w:tcPr>
          <w:p w14:paraId="2C80CD0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304</w:t>
            </w:r>
          </w:p>
        </w:tc>
        <w:tc>
          <w:tcPr>
            <w:tcW w:w="978" w:type="dxa"/>
            <w:noWrap/>
          </w:tcPr>
          <w:p w14:paraId="6446861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993" w:type="dxa"/>
            <w:noWrap/>
          </w:tcPr>
          <w:p w14:paraId="0094216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411</w:t>
            </w:r>
          </w:p>
        </w:tc>
        <w:tc>
          <w:tcPr>
            <w:tcW w:w="1006" w:type="dxa"/>
            <w:noWrap/>
          </w:tcPr>
          <w:p w14:paraId="4DD2A44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48</w:t>
            </w:r>
          </w:p>
        </w:tc>
        <w:tc>
          <w:tcPr>
            <w:tcW w:w="706" w:type="dxa"/>
            <w:noWrap/>
          </w:tcPr>
          <w:p w14:paraId="24F5A15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23</w:t>
            </w:r>
          </w:p>
        </w:tc>
        <w:tc>
          <w:tcPr>
            <w:tcW w:w="1160" w:type="dxa"/>
            <w:noWrap/>
          </w:tcPr>
          <w:p w14:paraId="7E3B98F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178</w:t>
            </w:r>
          </w:p>
        </w:tc>
        <w:tc>
          <w:tcPr>
            <w:tcW w:w="849" w:type="dxa"/>
            <w:noWrap/>
          </w:tcPr>
          <w:p w14:paraId="4F67259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850" w:type="dxa"/>
            <w:noWrap/>
          </w:tcPr>
          <w:p w14:paraId="431951F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17</w:t>
            </w:r>
          </w:p>
        </w:tc>
      </w:tr>
      <w:tr w:rsidR="00411166" w:rsidRPr="00361493" w14:paraId="7B00573A" w14:textId="77777777" w:rsidTr="692906EA">
        <w:trPr>
          <w:trHeight w:val="288"/>
        </w:trPr>
        <w:tc>
          <w:tcPr>
            <w:tcW w:w="2695" w:type="dxa"/>
            <w:noWrap/>
            <w:hideMark/>
          </w:tcPr>
          <w:p w14:paraId="0F963DFF"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 xml:space="preserve">Pseudomonas </w:t>
            </w:r>
            <w:r w:rsidRPr="00361493">
              <w:rPr>
                <w:rFonts w:ascii="Calibri" w:eastAsia="Calibri" w:hAnsi="Calibri" w:cs="Calibri"/>
                <w:i/>
                <w:sz w:val="20"/>
                <w:szCs w:val="20"/>
                <w:lang w:val="en-US" w:eastAsia="en-GB"/>
              </w:rPr>
              <w:br/>
              <w:t xml:space="preserve">      aeruginosa</w:t>
            </w:r>
            <w:r w:rsidRPr="00361493">
              <w:rPr>
                <w:rFonts w:ascii="Calibri" w:eastAsia="Calibri" w:hAnsi="Calibri" w:cs="Calibri"/>
                <w:sz w:val="20"/>
                <w:szCs w:val="20"/>
                <w:vertAlign w:val="superscript"/>
                <w:lang w:val="en-US" w:eastAsia="en-GB"/>
              </w:rPr>
              <w:t xml:space="preserve">‡† # </w:t>
            </w:r>
            <w:r w:rsidRPr="00361493">
              <w:rPr>
                <w:rFonts w:ascii="Calibri" w:eastAsia="Calibri" w:hAnsi="Calibri" w:cs="Calibri"/>
                <w:sz w:val="20"/>
                <w:szCs w:val="20"/>
                <w:lang w:val="en-US" w:eastAsia="en-GB"/>
              </w:rPr>
              <w:t>(B)</w:t>
            </w:r>
          </w:p>
        </w:tc>
        <w:tc>
          <w:tcPr>
            <w:tcW w:w="849" w:type="dxa"/>
            <w:noWrap/>
          </w:tcPr>
          <w:p w14:paraId="11D5060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748</w:t>
            </w:r>
          </w:p>
        </w:tc>
        <w:tc>
          <w:tcPr>
            <w:tcW w:w="853" w:type="dxa"/>
            <w:noWrap/>
          </w:tcPr>
          <w:p w14:paraId="345407D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294</w:t>
            </w:r>
          </w:p>
        </w:tc>
        <w:tc>
          <w:tcPr>
            <w:tcW w:w="978" w:type="dxa"/>
            <w:noWrap/>
          </w:tcPr>
          <w:p w14:paraId="16BD94C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21</w:t>
            </w:r>
          </w:p>
        </w:tc>
        <w:tc>
          <w:tcPr>
            <w:tcW w:w="993" w:type="dxa"/>
            <w:noWrap/>
          </w:tcPr>
          <w:p w14:paraId="02016FB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417</w:t>
            </w:r>
          </w:p>
        </w:tc>
        <w:tc>
          <w:tcPr>
            <w:tcW w:w="1006" w:type="dxa"/>
            <w:noWrap/>
          </w:tcPr>
          <w:p w14:paraId="0C265AC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57</w:t>
            </w:r>
          </w:p>
        </w:tc>
        <w:tc>
          <w:tcPr>
            <w:tcW w:w="706" w:type="dxa"/>
            <w:noWrap/>
          </w:tcPr>
          <w:p w14:paraId="3676363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w:t>
            </w:r>
          </w:p>
        </w:tc>
        <w:tc>
          <w:tcPr>
            <w:tcW w:w="1160" w:type="dxa"/>
            <w:noWrap/>
          </w:tcPr>
          <w:p w14:paraId="700B320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241</w:t>
            </w:r>
          </w:p>
        </w:tc>
        <w:tc>
          <w:tcPr>
            <w:tcW w:w="849" w:type="dxa"/>
            <w:noWrap/>
          </w:tcPr>
          <w:p w14:paraId="788B988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1E67464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24</w:t>
            </w:r>
          </w:p>
        </w:tc>
      </w:tr>
      <w:tr w:rsidR="00411166" w:rsidRPr="00361493" w14:paraId="49688AC0" w14:textId="77777777" w:rsidTr="692906EA">
        <w:trPr>
          <w:trHeight w:val="288"/>
        </w:trPr>
        <w:tc>
          <w:tcPr>
            <w:tcW w:w="2695" w:type="dxa"/>
            <w:noWrap/>
            <w:hideMark/>
          </w:tcPr>
          <w:p w14:paraId="571F3DCF"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Aspergillus fumigatus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6493243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474</w:t>
            </w:r>
          </w:p>
        </w:tc>
        <w:tc>
          <w:tcPr>
            <w:tcW w:w="853" w:type="dxa"/>
            <w:noWrap/>
          </w:tcPr>
          <w:p w14:paraId="7BE108A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275</w:t>
            </w:r>
          </w:p>
        </w:tc>
        <w:tc>
          <w:tcPr>
            <w:tcW w:w="978" w:type="dxa"/>
            <w:noWrap/>
          </w:tcPr>
          <w:p w14:paraId="0316C59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36</w:t>
            </w:r>
          </w:p>
        </w:tc>
        <w:tc>
          <w:tcPr>
            <w:tcW w:w="993" w:type="dxa"/>
            <w:noWrap/>
          </w:tcPr>
          <w:p w14:paraId="1BA8001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234</w:t>
            </w:r>
          </w:p>
        </w:tc>
        <w:tc>
          <w:tcPr>
            <w:tcW w:w="1006" w:type="dxa"/>
            <w:noWrap/>
          </w:tcPr>
          <w:p w14:paraId="1719177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29</w:t>
            </w:r>
          </w:p>
        </w:tc>
        <w:tc>
          <w:tcPr>
            <w:tcW w:w="706" w:type="dxa"/>
            <w:noWrap/>
          </w:tcPr>
          <w:p w14:paraId="38A683F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6721F3C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131</w:t>
            </w:r>
          </w:p>
        </w:tc>
        <w:tc>
          <w:tcPr>
            <w:tcW w:w="849" w:type="dxa"/>
            <w:noWrap/>
          </w:tcPr>
          <w:p w14:paraId="1C92BB1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42</w:t>
            </w:r>
          </w:p>
        </w:tc>
        <w:tc>
          <w:tcPr>
            <w:tcW w:w="850" w:type="dxa"/>
            <w:noWrap/>
          </w:tcPr>
          <w:p w14:paraId="442137D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1C2B5469" w14:textId="77777777" w:rsidTr="692906EA">
        <w:trPr>
          <w:trHeight w:val="288"/>
        </w:trPr>
        <w:tc>
          <w:tcPr>
            <w:tcW w:w="2695" w:type="dxa"/>
            <w:noWrap/>
            <w:hideMark/>
          </w:tcPr>
          <w:p w14:paraId="4A9FB873"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Cryptococcus neoformans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6C73DF4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495</w:t>
            </w:r>
          </w:p>
        </w:tc>
        <w:tc>
          <w:tcPr>
            <w:tcW w:w="853" w:type="dxa"/>
            <w:noWrap/>
          </w:tcPr>
          <w:p w14:paraId="344A90C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264</w:t>
            </w:r>
          </w:p>
        </w:tc>
        <w:tc>
          <w:tcPr>
            <w:tcW w:w="978" w:type="dxa"/>
            <w:noWrap/>
          </w:tcPr>
          <w:p w14:paraId="2BA0C2E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62</w:t>
            </w:r>
          </w:p>
        </w:tc>
        <w:tc>
          <w:tcPr>
            <w:tcW w:w="993" w:type="dxa"/>
            <w:noWrap/>
          </w:tcPr>
          <w:p w14:paraId="516158D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299</w:t>
            </w:r>
          </w:p>
        </w:tc>
        <w:tc>
          <w:tcPr>
            <w:tcW w:w="1006" w:type="dxa"/>
            <w:noWrap/>
          </w:tcPr>
          <w:p w14:paraId="1E99991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27</w:t>
            </w:r>
          </w:p>
        </w:tc>
        <w:tc>
          <w:tcPr>
            <w:tcW w:w="706" w:type="dxa"/>
            <w:noWrap/>
          </w:tcPr>
          <w:p w14:paraId="05935D5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0171168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97</w:t>
            </w:r>
          </w:p>
        </w:tc>
        <w:tc>
          <w:tcPr>
            <w:tcW w:w="849" w:type="dxa"/>
            <w:noWrap/>
          </w:tcPr>
          <w:p w14:paraId="6A7AABF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w:t>
            </w:r>
          </w:p>
        </w:tc>
        <w:tc>
          <w:tcPr>
            <w:tcW w:w="850" w:type="dxa"/>
            <w:noWrap/>
          </w:tcPr>
          <w:p w14:paraId="7F23D18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w:t>
            </w:r>
          </w:p>
        </w:tc>
      </w:tr>
      <w:tr w:rsidR="00411166" w:rsidRPr="00361493" w14:paraId="466124AB" w14:textId="77777777" w:rsidTr="692906EA">
        <w:trPr>
          <w:trHeight w:val="288"/>
        </w:trPr>
        <w:tc>
          <w:tcPr>
            <w:tcW w:w="2695" w:type="dxa"/>
            <w:noWrap/>
            <w:hideMark/>
          </w:tcPr>
          <w:p w14:paraId="4552048E"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Ustilago maydis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76858F3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452</w:t>
            </w:r>
          </w:p>
        </w:tc>
        <w:tc>
          <w:tcPr>
            <w:tcW w:w="853" w:type="dxa"/>
            <w:noWrap/>
          </w:tcPr>
          <w:p w14:paraId="7CD3B30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229</w:t>
            </w:r>
          </w:p>
        </w:tc>
        <w:tc>
          <w:tcPr>
            <w:tcW w:w="978" w:type="dxa"/>
            <w:noWrap/>
          </w:tcPr>
          <w:p w14:paraId="6087039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53</w:t>
            </w:r>
          </w:p>
        </w:tc>
        <w:tc>
          <w:tcPr>
            <w:tcW w:w="993" w:type="dxa"/>
            <w:noWrap/>
          </w:tcPr>
          <w:p w14:paraId="36A22DD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233</w:t>
            </w:r>
          </w:p>
        </w:tc>
        <w:tc>
          <w:tcPr>
            <w:tcW w:w="1006" w:type="dxa"/>
            <w:noWrap/>
          </w:tcPr>
          <w:p w14:paraId="06C59DD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w:t>
            </w:r>
          </w:p>
        </w:tc>
        <w:tc>
          <w:tcPr>
            <w:tcW w:w="706" w:type="dxa"/>
            <w:noWrap/>
          </w:tcPr>
          <w:p w14:paraId="66445FC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30</w:t>
            </w:r>
          </w:p>
        </w:tc>
        <w:tc>
          <w:tcPr>
            <w:tcW w:w="1160" w:type="dxa"/>
            <w:noWrap/>
          </w:tcPr>
          <w:p w14:paraId="681B0AA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127</w:t>
            </w:r>
          </w:p>
        </w:tc>
        <w:tc>
          <w:tcPr>
            <w:tcW w:w="849" w:type="dxa"/>
            <w:noWrap/>
          </w:tcPr>
          <w:p w14:paraId="70741C0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316337D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r>
      <w:tr w:rsidR="00411166" w:rsidRPr="00361493" w14:paraId="4CE84437" w14:textId="77777777" w:rsidTr="692906EA">
        <w:trPr>
          <w:trHeight w:val="288"/>
        </w:trPr>
        <w:tc>
          <w:tcPr>
            <w:tcW w:w="2695" w:type="dxa"/>
            <w:noWrap/>
            <w:hideMark/>
          </w:tcPr>
          <w:p w14:paraId="17C88280"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Staphylococcus aureus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02431BD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687</w:t>
            </w:r>
          </w:p>
        </w:tc>
        <w:tc>
          <w:tcPr>
            <w:tcW w:w="853" w:type="dxa"/>
            <w:noWrap/>
          </w:tcPr>
          <w:p w14:paraId="638F57C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227</w:t>
            </w:r>
          </w:p>
        </w:tc>
        <w:tc>
          <w:tcPr>
            <w:tcW w:w="978" w:type="dxa"/>
            <w:noWrap/>
          </w:tcPr>
          <w:p w14:paraId="0D26426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17</w:t>
            </w:r>
          </w:p>
        </w:tc>
        <w:tc>
          <w:tcPr>
            <w:tcW w:w="993" w:type="dxa"/>
            <w:noWrap/>
          </w:tcPr>
          <w:p w14:paraId="0FCD8E1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425</w:t>
            </w:r>
          </w:p>
        </w:tc>
        <w:tc>
          <w:tcPr>
            <w:tcW w:w="1006" w:type="dxa"/>
            <w:noWrap/>
          </w:tcPr>
          <w:p w14:paraId="5BD0855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109</w:t>
            </w:r>
          </w:p>
        </w:tc>
        <w:tc>
          <w:tcPr>
            <w:tcW w:w="706" w:type="dxa"/>
            <w:noWrap/>
          </w:tcPr>
          <w:p w14:paraId="6998EA1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c>
          <w:tcPr>
            <w:tcW w:w="1160" w:type="dxa"/>
            <w:noWrap/>
          </w:tcPr>
          <w:p w14:paraId="2A58919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133</w:t>
            </w:r>
          </w:p>
        </w:tc>
        <w:tc>
          <w:tcPr>
            <w:tcW w:w="849" w:type="dxa"/>
            <w:noWrap/>
          </w:tcPr>
          <w:p w14:paraId="22D68B5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850" w:type="dxa"/>
            <w:noWrap/>
          </w:tcPr>
          <w:p w14:paraId="1BACBD5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w:t>
            </w:r>
          </w:p>
        </w:tc>
      </w:tr>
      <w:tr w:rsidR="00411166" w:rsidRPr="00361493" w14:paraId="4F0E6633" w14:textId="77777777" w:rsidTr="692906EA">
        <w:trPr>
          <w:trHeight w:val="288"/>
        </w:trPr>
        <w:tc>
          <w:tcPr>
            <w:tcW w:w="2695" w:type="dxa"/>
            <w:noWrap/>
            <w:hideMark/>
          </w:tcPr>
          <w:p w14:paraId="058DBFC3"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Xanthomonas oryzae</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2A023DC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629</w:t>
            </w:r>
          </w:p>
        </w:tc>
        <w:tc>
          <w:tcPr>
            <w:tcW w:w="853" w:type="dxa"/>
            <w:noWrap/>
          </w:tcPr>
          <w:p w14:paraId="3309065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227</w:t>
            </w:r>
          </w:p>
        </w:tc>
        <w:tc>
          <w:tcPr>
            <w:tcW w:w="978" w:type="dxa"/>
            <w:noWrap/>
          </w:tcPr>
          <w:p w14:paraId="7C45D60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c>
          <w:tcPr>
            <w:tcW w:w="993" w:type="dxa"/>
            <w:noWrap/>
          </w:tcPr>
          <w:p w14:paraId="1E31C0B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157</w:t>
            </w:r>
          </w:p>
        </w:tc>
        <w:tc>
          <w:tcPr>
            <w:tcW w:w="1006" w:type="dxa"/>
            <w:noWrap/>
          </w:tcPr>
          <w:p w14:paraId="75BBCAA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29</w:t>
            </w:r>
          </w:p>
        </w:tc>
        <w:tc>
          <w:tcPr>
            <w:tcW w:w="706" w:type="dxa"/>
            <w:noWrap/>
          </w:tcPr>
          <w:p w14:paraId="405976A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309</w:t>
            </w:r>
          </w:p>
        </w:tc>
        <w:tc>
          <w:tcPr>
            <w:tcW w:w="1160" w:type="dxa"/>
            <w:noWrap/>
          </w:tcPr>
          <w:p w14:paraId="4328C6F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129</w:t>
            </w:r>
          </w:p>
        </w:tc>
        <w:tc>
          <w:tcPr>
            <w:tcW w:w="849" w:type="dxa"/>
            <w:noWrap/>
          </w:tcPr>
          <w:p w14:paraId="0E64FE3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5378743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r>
      <w:tr w:rsidR="00411166" w:rsidRPr="00361493" w14:paraId="5AE86EB5" w14:textId="77777777" w:rsidTr="692906EA">
        <w:trPr>
          <w:trHeight w:val="288"/>
        </w:trPr>
        <w:tc>
          <w:tcPr>
            <w:tcW w:w="2695" w:type="dxa"/>
            <w:noWrap/>
            <w:hideMark/>
          </w:tcPr>
          <w:p w14:paraId="767389AA"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Pseudomonas syringae</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4975487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441</w:t>
            </w:r>
          </w:p>
        </w:tc>
        <w:tc>
          <w:tcPr>
            <w:tcW w:w="853" w:type="dxa"/>
            <w:noWrap/>
          </w:tcPr>
          <w:p w14:paraId="336A44C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185</w:t>
            </w:r>
          </w:p>
        </w:tc>
        <w:tc>
          <w:tcPr>
            <w:tcW w:w="978" w:type="dxa"/>
            <w:noWrap/>
          </w:tcPr>
          <w:p w14:paraId="0EDCE1E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993" w:type="dxa"/>
            <w:noWrap/>
          </w:tcPr>
          <w:p w14:paraId="4AD243F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101</w:t>
            </w:r>
          </w:p>
        </w:tc>
        <w:tc>
          <w:tcPr>
            <w:tcW w:w="1006" w:type="dxa"/>
            <w:noWrap/>
          </w:tcPr>
          <w:p w14:paraId="7F8527C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w:t>
            </w:r>
          </w:p>
        </w:tc>
        <w:tc>
          <w:tcPr>
            <w:tcW w:w="706" w:type="dxa"/>
            <w:noWrap/>
          </w:tcPr>
          <w:p w14:paraId="3254C69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272</w:t>
            </w:r>
          </w:p>
        </w:tc>
        <w:tc>
          <w:tcPr>
            <w:tcW w:w="1160" w:type="dxa"/>
            <w:noWrap/>
          </w:tcPr>
          <w:p w14:paraId="7953E7C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57</w:t>
            </w:r>
          </w:p>
        </w:tc>
        <w:tc>
          <w:tcPr>
            <w:tcW w:w="849" w:type="dxa"/>
            <w:noWrap/>
          </w:tcPr>
          <w:p w14:paraId="22EF6B0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850" w:type="dxa"/>
            <w:noWrap/>
          </w:tcPr>
          <w:p w14:paraId="55E8B15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17</w:t>
            </w:r>
          </w:p>
        </w:tc>
      </w:tr>
      <w:tr w:rsidR="00411166" w:rsidRPr="00361493" w14:paraId="3D7FFC4B" w14:textId="77777777" w:rsidTr="692906EA">
        <w:trPr>
          <w:trHeight w:val="288"/>
        </w:trPr>
        <w:tc>
          <w:tcPr>
            <w:tcW w:w="2695" w:type="dxa"/>
            <w:noWrap/>
            <w:hideMark/>
          </w:tcPr>
          <w:p w14:paraId="21EC0B9E"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Fusarium oxysporum</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77867B8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337</w:t>
            </w:r>
          </w:p>
        </w:tc>
        <w:tc>
          <w:tcPr>
            <w:tcW w:w="853" w:type="dxa"/>
            <w:noWrap/>
          </w:tcPr>
          <w:p w14:paraId="7D3D965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163</w:t>
            </w:r>
          </w:p>
        </w:tc>
        <w:tc>
          <w:tcPr>
            <w:tcW w:w="978" w:type="dxa"/>
            <w:noWrap/>
          </w:tcPr>
          <w:p w14:paraId="3EBCD57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27</w:t>
            </w:r>
          </w:p>
        </w:tc>
        <w:tc>
          <w:tcPr>
            <w:tcW w:w="993" w:type="dxa"/>
            <w:noWrap/>
          </w:tcPr>
          <w:p w14:paraId="6D5695B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165</w:t>
            </w:r>
          </w:p>
        </w:tc>
        <w:tc>
          <w:tcPr>
            <w:tcW w:w="1006" w:type="dxa"/>
            <w:noWrap/>
          </w:tcPr>
          <w:p w14:paraId="2DBB6D7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18</w:t>
            </w:r>
          </w:p>
        </w:tc>
        <w:tc>
          <w:tcPr>
            <w:tcW w:w="706" w:type="dxa"/>
            <w:noWrap/>
          </w:tcPr>
          <w:p w14:paraId="0A64621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39</w:t>
            </w:r>
          </w:p>
        </w:tc>
        <w:tc>
          <w:tcPr>
            <w:tcW w:w="1160" w:type="dxa"/>
            <w:noWrap/>
          </w:tcPr>
          <w:p w14:paraId="4814456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88</w:t>
            </w:r>
          </w:p>
        </w:tc>
        <w:tc>
          <w:tcPr>
            <w:tcW w:w="849" w:type="dxa"/>
            <w:noWrap/>
          </w:tcPr>
          <w:p w14:paraId="4CB8597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574CEF2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28</w:t>
            </w:r>
          </w:p>
        </w:tc>
      </w:tr>
      <w:tr w:rsidR="00411166" w:rsidRPr="00361493" w14:paraId="431B8966" w14:textId="77777777" w:rsidTr="692906EA">
        <w:trPr>
          <w:trHeight w:val="288"/>
        </w:trPr>
        <w:tc>
          <w:tcPr>
            <w:tcW w:w="2695" w:type="dxa"/>
            <w:noWrap/>
            <w:hideMark/>
          </w:tcPr>
          <w:p w14:paraId="71FEA182"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Botrytis cinerea</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5086F76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571</w:t>
            </w:r>
          </w:p>
        </w:tc>
        <w:tc>
          <w:tcPr>
            <w:tcW w:w="853" w:type="dxa"/>
            <w:noWrap/>
          </w:tcPr>
          <w:p w14:paraId="64CD278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161</w:t>
            </w:r>
          </w:p>
        </w:tc>
        <w:tc>
          <w:tcPr>
            <w:tcW w:w="978" w:type="dxa"/>
            <w:noWrap/>
          </w:tcPr>
          <w:p w14:paraId="2D71E6A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43</w:t>
            </w:r>
          </w:p>
        </w:tc>
        <w:tc>
          <w:tcPr>
            <w:tcW w:w="993" w:type="dxa"/>
            <w:noWrap/>
          </w:tcPr>
          <w:p w14:paraId="05AA0CC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315</w:t>
            </w:r>
          </w:p>
        </w:tc>
        <w:tc>
          <w:tcPr>
            <w:tcW w:w="1006" w:type="dxa"/>
            <w:noWrap/>
          </w:tcPr>
          <w:p w14:paraId="67B9EB8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20</w:t>
            </w:r>
          </w:p>
        </w:tc>
        <w:tc>
          <w:tcPr>
            <w:tcW w:w="706" w:type="dxa"/>
            <w:noWrap/>
          </w:tcPr>
          <w:p w14:paraId="628DE98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w:t>
            </w:r>
          </w:p>
        </w:tc>
        <w:tc>
          <w:tcPr>
            <w:tcW w:w="1160" w:type="dxa"/>
            <w:noWrap/>
          </w:tcPr>
          <w:p w14:paraId="79446BB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183</w:t>
            </w:r>
          </w:p>
        </w:tc>
        <w:tc>
          <w:tcPr>
            <w:tcW w:w="849" w:type="dxa"/>
            <w:noWrap/>
          </w:tcPr>
          <w:p w14:paraId="50E5CBA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1AC2ED6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34</w:t>
            </w:r>
          </w:p>
        </w:tc>
      </w:tr>
      <w:tr w:rsidR="00411166" w:rsidRPr="00361493" w14:paraId="0488C19D" w14:textId="77777777" w:rsidTr="692906EA">
        <w:trPr>
          <w:trHeight w:val="288"/>
        </w:trPr>
        <w:tc>
          <w:tcPr>
            <w:tcW w:w="2695" w:type="dxa"/>
            <w:noWrap/>
            <w:hideMark/>
          </w:tcPr>
          <w:p w14:paraId="1272F23D"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Ralstonia solanacearum</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5EC3BC0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947</w:t>
            </w:r>
          </w:p>
        </w:tc>
        <w:tc>
          <w:tcPr>
            <w:tcW w:w="853" w:type="dxa"/>
            <w:noWrap/>
          </w:tcPr>
          <w:p w14:paraId="1610C59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153</w:t>
            </w:r>
          </w:p>
        </w:tc>
        <w:tc>
          <w:tcPr>
            <w:tcW w:w="978" w:type="dxa"/>
            <w:noWrap/>
          </w:tcPr>
          <w:p w14:paraId="1C78E70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24</w:t>
            </w:r>
          </w:p>
        </w:tc>
        <w:tc>
          <w:tcPr>
            <w:tcW w:w="993" w:type="dxa"/>
            <w:noWrap/>
          </w:tcPr>
          <w:p w14:paraId="6544DC9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89</w:t>
            </w:r>
          </w:p>
        </w:tc>
        <w:tc>
          <w:tcPr>
            <w:tcW w:w="1006" w:type="dxa"/>
            <w:noWrap/>
          </w:tcPr>
          <w:p w14:paraId="1DCEE11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w:t>
            </w:r>
          </w:p>
        </w:tc>
        <w:tc>
          <w:tcPr>
            <w:tcW w:w="706" w:type="dxa"/>
            <w:noWrap/>
          </w:tcPr>
          <w:p w14:paraId="249E52E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805</w:t>
            </w:r>
          </w:p>
        </w:tc>
        <w:tc>
          <w:tcPr>
            <w:tcW w:w="1160" w:type="dxa"/>
            <w:noWrap/>
          </w:tcPr>
          <w:p w14:paraId="68E0159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24</w:t>
            </w:r>
          </w:p>
        </w:tc>
        <w:tc>
          <w:tcPr>
            <w:tcW w:w="849" w:type="dxa"/>
            <w:noWrap/>
          </w:tcPr>
          <w:p w14:paraId="77A8B38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850" w:type="dxa"/>
            <w:noWrap/>
          </w:tcPr>
          <w:p w14:paraId="1DFCC11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w:t>
            </w:r>
          </w:p>
        </w:tc>
      </w:tr>
      <w:tr w:rsidR="00411166" w:rsidRPr="00361493" w14:paraId="5E7B6FF4" w14:textId="77777777" w:rsidTr="692906EA">
        <w:trPr>
          <w:trHeight w:val="288"/>
        </w:trPr>
        <w:tc>
          <w:tcPr>
            <w:tcW w:w="2695" w:type="dxa"/>
            <w:noWrap/>
            <w:hideMark/>
          </w:tcPr>
          <w:p w14:paraId="0D785C3C"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Xanthomonas campestris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5D77261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284</w:t>
            </w:r>
          </w:p>
        </w:tc>
        <w:tc>
          <w:tcPr>
            <w:tcW w:w="853" w:type="dxa"/>
            <w:noWrap/>
          </w:tcPr>
          <w:p w14:paraId="3EFE08D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144</w:t>
            </w:r>
          </w:p>
        </w:tc>
        <w:tc>
          <w:tcPr>
            <w:tcW w:w="978" w:type="dxa"/>
            <w:noWrap/>
          </w:tcPr>
          <w:p w14:paraId="32A605E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23</w:t>
            </w:r>
          </w:p>
        </w:tc>
        <w:tc>
          <w:tcPr>
            <w:tcW w:w="993" w:type="dxa"/>
            <w:noWrap/>
          </w:tcPr>
          <w:p w14:paraId="263E75E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137</w:t>
            </w:r>
          </w:p>
        </w:tc>
        <w:tc>
          <w:tcPr>
            <w:tcW w:w="1006" w:type="dxa"/>
            <w:noWrap/>
          </w:tcPr>
          <w:p w14:paraId="453DA46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w:t>
            </w:r>
          </w:p>
        </w:tc>
        <w:tc>
          <w:tcPr>
            <w:tcW w:w="706" w:type="dxa"/>
            <w:noWrap/>
          </w:tcPr>
          <w:p w14:paraId="68D84DC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60</w:t>
            </w:r>
          </w:p>
        </w:tc>
        <w:tc>
          <w:tcPr>
            <w:tcW w:w="1160" w:type="dxa"/>
            <w:noWrap/>
          </w:tcPr>
          <w:p w14:paraId="4D2C564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49</w:t>
            </w:r>
          </w:p>
        </w:tc>
        <w:tc>
          <w:tcPr>
            <w:tcW w:w="849" w:type="dxa"/>
            <w:noWrap/>
          </w:tcPr>
          <w:p w14:paraId="38F7E31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c>
          <w:tcPr>
            <w:tcW w:w="850" w:type="dxa"/>
            <w:noWrap/>
          </w:tcPr>
          <w:p w14:paraId="18CF299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w:t>
            </w:r>
          </w:p>
        </w:tc>
      </w:tr>
      <w:tr w:rsidR="00411166" w:rsidRPr="00361493" w14:paraId="18B0F8FF" w14:textId="77777777" w:rsidTr="692906EA">
        <w:trPr>
          <w:trHeight w:val="288"/>
        </w:trPr>
        <w:tc>
          <w:tcPr>
            <w:tcW w:w="2695" w:type="dxa"/>
            <w:noWrap/>
            <w:hideMark/>
          </w:tcPr>
          <w:p w14:paraId="4082C546"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Beauveria bassian</w:t>
            </w:r>
            <w:r w:rsidRPr="00361493">
              <w:rPr>
                <w:rFonts w:ascii="Calibri" w:eastAsia="Calibri" w:hAnsi="Calibri" w:cs="Calibri"/>
                <w:sz w:val="20"/>
                <w:szCs w:val="20"/>
                <w:lang w:val="en-US" w:eastAsia="en-GB"/>
              </w:rPr>
              <w:t>a</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73D6DBE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197</w:t>
            </w:r>
          </w:p>
        </w:tc>
        <w:tc>
          <w:tcPr>
            <w:tcW w:w="853" w:type="dxa"/>
            <w:noWrap/>
          </w:tcPr>
          <w:p w14:paraId="14BF261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140</w:t>
            </w:r>
          </w:p>
        </w:tc>
        <w:tc>
          <w:tcPr>
            <w:tcW w:w="978" w:type="dxa"/>
            <w:noWrap/>
          </w:tcPr>
          <w:p w14:paraId="04249C2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c>
          <w:tcPr>
            <w:tcW w:w="993" w:type="dxa"/>
            <w:noWrap/>
          </w:tcPr>
          <w:p w14:paraId="0B87DB5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132</w:t>
            </w:r>
          </w:p>
        </w:tc>
        <w:tc>
          <w:tcPr>
            <w:tcW w:w="1006" w:type="dxa"/>
            <w:noWrap/>
          </w:tcPr>
          <w:p w14:paraId="75F74C0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19</w:t>
            </w:r>
          </w:p>
        </w:tc>
        <w:tc>
          <w:tcPr>
            <w:tcW w:w="706" w:type="dxa"/>
            <w:noWrap/>
          </w:tcPr>
          <w:p w14:paraId="2B2CD98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c>
          <w:tcPr>
            <w:tcW w:w="1160" w:type="dxa"/>
            <w:noWrap/>
          </w:tcPr>
          <w:p w14:paraId="72A1C50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39</w:t>
            </w:r>
          </w:p>
        </w:tc>
        <w:tc>
          <w:tcPr>
            <w:tcW w:w="849" w:type="dxa"/>
            <w:noWrap/>
          </w:tcPr>
          <w:p w14:paraId="4310146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5AEB874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14</w:t>
            </w:r>
          </w:p>
        </w:tc>
      </w:tr>
      <w:tr w:rsidR="00411166" w:rsidRPr="00361493" w14:paraId="4B3B2B6E" w14:textId="77777777" w:rsidTr="692906EA">
        <w:trPr>
          <w:trHeight w:val="288"/>
        </w:trPr>
        <w:tc>
          <w:tcPr>
            <w:tcW w:w="2695" w:type="dxa"/>
            <w:noWrap/>
            <w:hideMark/>
          </w:tcPr>
          <w:p w14:paraId="584D1871" w14:textId="77777777" w:rsidR="00411166" w:rsidRPr="00361493" w:rsidRDefault="00411166">
            <w:pPr>
              <w:spacing w:after="0" w:line="240" w:lineRule="auto"/>
              <w:ind w:right="0"/>
              <w:rPr>
                <w:rFonts w:ascii="Calibri" w:eastAsia="Times New Roman" w:hAnsi="Calibri" w:cs="Calibri"/>
                <w:i/>
                <w:iCs/>
                <w:sz w:val="20"/>
                <w:szCs w:val="20"/>
                <w:lang w:val="en-US" w:eastAsia="en-GB"/>
              </w:rPr>
            </w:pPr>
            <w:r w:rsidRPr="00361493">
              <w:rPr>
                <w:rFonts w:ascii="Calibri" w:eastAsia="Calibri" w:hAnsi="Calibri" w:cs="Calibri"/>
                <w:i/>
                <w:sz w:val="20"/>
                <w:szCs w:val="20"/>
                <w:lang w:val="en-US" w:eastAsia="en-GB"/>
              </w:rPr>
              <w:t>Toxoplasma gondii</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(P)</w:t>
            </w:r>
          </w:p>
        </w:tc>
        <w:tc>
          <w:tcPr>
            <w:tcW w:w="849" w:type="dxa"/>
            <w:noWrap/>
          </w:tcPr>
          <w:p w14:paraId="20AF7DA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286</w:t>
            </w:r>
          </w:p>
        </w:tc>
        <w:tc>
          <w:tcPr>
            <w:tcW w:w="853" w:type="dxa"/>
            <w:noWrap/>
          </w:tcPr>
          <w:p w14:paraId="0774E21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136</w:t>
            </w:r>
          </w:p>
        </w:tc>
        <w:tc>
          <w:tcPr>
            <w:tcW w:w="978" w:type="dxa"/>
            <w:noWrap/>
          </w:tcPr>
          <w:p w14:paraId="2A114A9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w:t>
            </w:r>
          </w:p>
        </w:tc>
        <w:tc>
          <w:tcPr>
            <w:tcW w:w="993" w:type="dxa"/>
            <w:noWrap/>
          </w:tcPr>
          <w:p w14:paraId="7467675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108</w:t>
            </w:r>
          </w:p>
        </w:tc>
        <w:tc>
          <w:tcPr>
            <w:tcW w:w="1006" w:type="dxa"/>
            <w:noWrap/>
          </w:tcPr>
          <w:p w14:paraId="3DF417F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c>
          <w:tcPr>
            <w:tcW w:w="706" w:type="dxa"/>
            <w:noWrap/>
          </w:tcPr>
          <w:p w14:paraId="58487B1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38</w:t>
            </w:r>
          </w:p>
        </w:tc>
        <w:tc>
          <w:tcPr>
            <w:tcW w:w="1160" w:type="dxa"/>
            <w:noWrap/>
          </w:tcPr>
          <w:p w14:paraId="6FA797D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122</w:t>
            </w:r>
          </w:p>
        </w:tc>
        <w:tc>
          <w:tcPr>
            <w:tcW w:w="849" w:type="dxa"/>
            <w:noWrap/>
          </w:tcPr>
          <w:p w14:paraId="0B7A106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c>
          <w:tcPr>
            <w:tcW w:w="850" w:type="dxa"/>
            <w:noWrap/>
          </w:tcPr>
          <w:p w14:paraId="64D49A9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r>
      <w:tr w:rsidR="00411166" w:rsidRPr="00361493" w14:paraId="1B4233BD" w14:textId="77777777" w:rsidTr="692906EA">
        <w:trPr>
          <w:trHeight w:val="288"/>
        </w:trPr>
        <w:tc>
          <w:tcPr>
            <w:tcW w:w="2695" w:type="dxa"/>
            <w:noWrap/>
            <w:hideMark/>
          </w:tcPr>
          <w:p w14:paraId="37FE0AFB" w14:textId="77777777" w:rsidR="00411166" w:rsidRPr="00361493" w:rsidRDefault="00411166">
            <w:pPr>
              <w:spacing w:after="0" w:line="240" w:lineRule="auto"/>
              <w:ind w:right="0"/>
              <w:rPr>
                <w:rFonts w:ascii="Calibri" w:eastAsia="Times New Roman" w:hAnsi="Calibri" w:cs="Calibri"/>
                <w:i/>
                <w:iCs/>
                <w:sz w:val="20"/>
                <w:szCs w:val="20"/>
                <w:lang w:val="en-US" w:eastAsia="en-GB"/>
              </w:rPr>
            </w:pPr>
            <w:r w:rsidRPr="00361493">
              <w:rPr>
                <w:rFonts w:ascii="Calibri" w:eastAsia="Calibri" w:hAnsi="Calibri" w:cs="Calibri"/>
                <w:i/>
                <w:sz w:val="20"/>
                <w:szCs w:val="20"/>
                <w:lang w:val="en-US" w:eastAsia="en-GB"/>
              </w:rPr>
              <w:t xml:space="preserve">Mycobacterium </w:t>
            </w:r>
            <w:r w:rsidRPr="00361493">
              <w:rPr>
                <w:rFonts w:ascii="Calibri" w:eastAsia="Calibri" w:hAnsi="Calibri" w:cs="Calibri"/>
                <w:i/>
                <w:sz w:val="20"/>
                <w:szCs w:val="20"/>
                <w:lang w:val="en-US" w:eastAsia="en-GB"/>
              </w:rPr>
              <w:br/>
              <w:t xml:space="preserve">      tuberculosis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27F807D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206</w:t>
            </w:r>
          </w:p>
        </w:tc>
        <w:tc>
          <w:tcPr>
            <w:tcW w:w="853" w:type="dxa"/>
            <w:noWrap/>
          </w:tcPr>
          <w:p w14:paraId="71528A7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133</w:t>
            </w:r>
          </w:p>
        </w:tc>
        <w:tc>
          <w:tcPr>
            <w:tcW w:w="978" w:type="dxa"/>
            <w:noWrap/>
          </w:tcPr>
          <w:p w14:paraId="0696E7A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c>
          <w:tcPr>
            <w:tcW w:w="993" w:type="dxa"/>
            <w:noWrap/>
          </w:tcPr>
          <w:p w14:paraId="6640AA4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103</w:t>
            </w:r>
          </w:p>
        </w:tc>
        <w:tc>
          <w:tcPr>
            <w:tcW w:w="1006" w:type="dxa"/>
            <w:noWrap/>
          </w:tcPr>
          <w:p w14:paraId="59D17F1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42</w:t>
            </w:r>
          </w:p>
        </w:tc>
        <w:tc>
          <w:tcPr>
            <w:tcW w:w="706" w:type="dxa"/>
            <w:noWrap/>
          </w:tcPr>
          <w:p w14:paraId="5505ADF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c>
          <w:tcPr>
            <w:tcW w:w="1160" w:type="dxa"/>
            <w:noWrap/>
          </w:tcPr>
          <w:p w14:paraId="55F0767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55</w:t>
            </w:r>
          </w:p>
        </w:tc>
        <w:tc>
          <w:tcPr>
            <w:tcW w:w="849" w:type="dxa"/>
            <w:noWrap/>
          </w:tcPr>
          <w:p w14:paraId="04FD658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082C018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w:t>
            </w:r>
          </w:p>
        </w:tc>
      </w:tr>
      <w:tr w:rsidR="00411166" w:rsidRPr="00361493" w14:paraId="3964564D" w14:textId="77777777" w:rsidTr="692906EA">
        <w:trPr>
          <w:trHeight w:val="288"/>
        </w:trPr>
        <w:tc>
          <w:tcPr>
            <w:tcW w:w="2695" w:type="dxa"/>
            <w:noWrap/>
            <w:hideMark/>
          </w:tcPr>
          <w:p w14:paraId="55C7A1E4"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Erwinia amylovora</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669A859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549</w:t>
            </w:r>
          </w:p>
        </w:tc>
        <w:tc>
          <w:tcPr>
            <w:tcW w:w="853" w:type="dxa"/>
            <w:noWrap/>
          </w:tcPr>
          <w:p w14:paraId="5102C81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125</w:t>
            </w:r>
          </w:p>
        </w:tc>
        <w:tc>
          <w:tcPr>
            <w:tcW w:w="978" w:type="dxa"/>
            <w:noWrap/>
          </w:tcPr>
          <w:p w14:paraId="72C21D7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34</w:t>
            </w:r>
          </w:p>
        </w:tc>
        <w:tc>
          <w:tcPr>
            <w:tcW w:w="993" w:type="dxa"/>
            <w:noWrap/>
          </w:tcPr>
          <w:p w14:paraId="1BF0A67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240</w:t>
            </w:r>
          </w:p>
        </w:tc>
        <w:tc>
          <w:tcPr>
            <w:tcW w:w="1006" w:type="dxa"/>
            <w:noWrap/>
          </w:tcPr>
          <w:p w14:paraId="7A2FB77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55</w:t>
            </w:r>
          </w:p>
        </w:tc>
        <w:tc>
          <w:tcPr>
            <w:tcW w:w="706" w:type="dxa"/>
            <w:noWrap/>
          </w:tcPr>
          <w:p w14:paraId="139F2B7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c>
          <w:tcPr>
            <w:tcW w:w="1160" w:type="dxa"/>
            <w:noWrap/>
          </w:tcPr>
          <w:p w14:paraId="5C52AA2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205</w:t>
            </w:r>
          </w:p>
        </w:tc>
        <w:tc>
          <w:tcPr>
            <w:tcW w:w="849" w:type="dxa"/>
            <w:noWrap/>
          </w:tcPr>
          <w:p w14:paraId="6A55752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6B7D1A3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w:t>
            </w:r>
          </w:p>
        </w:tc>
      </w:tr>
      <w:tr w:rsidR="00411166" w:rsidRPr="00361493" w14:paraId="4C99FFB3" w14:textId="77777777" w:rsidTr="692906EA">
        <w:trPr>
          <w:trHeight w:val="288"/>
        </w:trPr>
        <w:tc>
          <w:tcPr>
            <w:tcW w:w="2695" w:type="dxa"/>
            <w:noWrap/>
            <w:hideMark/>
          </w:tcPr>
          <w:p w14:paraId="594F8E08"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Streptococcus pyogenes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5C089C6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206</w:t>
            </w:r>
          </w:p>
        </w:tc>
        <w:tc>
          <w:tcPr>
            <w:tcW w:w="853" w:type="dxa"/>
            <w:noWrap/>
          </w:tcPr>
          <w:p w14:paraId="5163F60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119</w:t>
            </w:r>
          </w:p>
        </w:tc>
        <w:tc>
          <w:tcPr>
            <w:tcW w:w="978" w:type="dxa"/>
            <w:noWrap/>
          </w:tcPr>
          <w:p w14:paraId="02E32F2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w:t>
            </w:r>
          </w:p>
        </w:tc>
        <w:tc>
          <w:tcPr>
            <w:tcW w:w="993" w:type="dxa"/>
            <w:noWrap/>
          </w:tcPr>
          <w:p w14:paraId="6094001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137</w:t>
            </w:r>
          </w:p>
        </w:tc>
        <w:tc>
          <w:tcPr>
            <w:tcW w:w="1006" w:type="dxa"/>
            <w:noWrap/>
          </w:tcPr>
          <w:p w14:paraId="28D4834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w:t>
            </w:r>
          </w:p>
        </w:tc>
        <w:tc>
          <w:tcPr>
            <w:tcW w:w="706" w:type="dxa"/>
            <w:noWrap/>
          </w:tcPr>
          <w:p w14:paraId="7BBCC3C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13AFC81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47</w:t>
            </w:r>
          </w:p>
        </w:tc>
        <w:tc>
          <w:tcPr>
            <w:tcW w:w="849" w:type="dxa"/>
            <w:noWrap/>
          </w:tcPr>
          <w:p w14:paraId="599B0A1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w:t>
            </w:r>
          </w:p>
        </w:tc>
        <w:tc>
          <w:tcPr>
            <w:tcW w:w="850" w:type="dxa"/>
            <w:noWrap/>
          </w:tcPr>
          <w:p w14:paraId="2BE007D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w:t>
            </w:r>
          </w:p>
        </w:tc>
      </w:tr>
      <w:tr w:rsidR="00411166" w:rsidRPr="00361493" w14:paraId="2443B1B4" w14:textId="77777777" w:rsidTr="692906EA">
        <w:trPr>
          <w:trHeight w:val="288"/>
        </w:trPr>
        <w:tc>
          <w:tcPr>
            <w:tcW w:w="2695" w:type="dxa"/>
            <w:noWrap/>
            <w:hideMark/>
          </w:tcPr>
          <w:p w14:paraId="4AF35722"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Verticillium dahliae</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(F)</w:t>
            </w:r>
          </w:p>
        </w:tc>
        <w:tc>
          <w:tcPr>
            <w:tcW w:w="849" w:type="dxa"/>
            <w:noWrap/>
          </w:tcPr>
          <w:p w14:paraId="74629CC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317</w:t>
            </w:r>
          </w:p>
        </w:tc>
        <w:tc>
          <w:tcPr>
            <w:tcW w:w="853" w:type="dxa"/>
            <w:noWrap/>
          </w:tcPr>
          <w:p w14:paraId="0625479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108</w:t>
            </w:r>
          </w:p>
        </w:tc>
        <w:tc>
          <w:tcPr>
            <w:tcW w:w="978" w:type="dxa"/>
            <w:noWrap/>
          </w:tcPr>
          <w:p w14:paraId="5F379EC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c>
          <w:tcPr>
            <w:tcW w:w="993" w:type="dxa"/>
            <w:noWrap/>
          </w:tcPr>
          <w:p w14:paraId="73D22F7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161</w:t>
            </w:r>
          </w:p>
        </w:tc>
        <w:tc>
          <w:tcPr>
            <w:tcW w:w="1006" w:type="dxa"/>
            <w:noWrap/>
          </w:tcPr>
          <w:p w14:paraId="61741B3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w:t>
            </w:r>
          </w:p>
        </w:tc>
        <w:tc>
          <w:tcPr>
            <w:tcW w:w="706" w:type="dxa"/>
            <w:noWrap/>
          </w:tcPr>
          <w:p w14:paraId="3E45A46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32</w:t>
            </w:r>
          </w:p>
        </w:tc>
        <w:tc>
          <w:tcPr>
            <w:tcW w:w="1160" w:type="dxa"/>
            <w:noWrap/>
          </w:tcPr>
          <w:p w14:paraId="10C050C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96</w:t>
            </w:r>
          </w:p>
        </w:tc>
        <w:tc>
          <w:tcPr>
            <w:tcW w:w="849" w:type="dxa"/>
            <w:noWrap/>
          </w:tcPr>
          <w:p w14:paraId="3CE7512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11206EB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17</w:t>
            </w:r>
          </w:p>
        </w:tc>
      </w:tr>
      <w:tr w:rsidR="00411166" w:rsidRPr="00361493" w14:paraId="0DE45C42" w14:textId="77777777" w:rsidTr="692906EA">
        <w:trPr>
          <w:trHeight w:val="288"/>
        </w:trPr>
        <w:tc>
          <w:tcPr>
            <w:tcW w:w="2695" w:type="dxa"/>
            <w:noWrap/>
            <w:hideMark/>
          </w:tcPr>
          <w:p w14:paraId="540516B6" w14:textId="77777777" w:rsidR="00411166" w:rsidRPr="00361493" w:rsidRDefault="00411166">
            <w:pPr>
              <w:spacing w:after="0" w:line="240" w:lineRule="auto"/>
              <w:ind w:right="0"/>
              <w:rPr>
                <w:rFonts w:ascii="Calibri" w:eastAsia="Times New Roman" w:hAnsi="Calibri" w:cs="Calibri"/>
                <w:i/>
                <w:iCs/>
                <w:sz w:val="20"/>
                <w:szCs w:val="20"/>
                <w:lang w:val="en-US" w:eastAsia="en-GB"/>
              </w:rPr>
            </w:pPr>
            <w:r w:rsidRPr="00361493">
              <w:rPr>
                <w:rFonts w:ascii="Calibri" w:eastAsia="Calibri" w:hAnsi="Calibri" w:cs="Calibri"/>
                <w:i/>
                <w:sz w:val="20"/>
                <w:szCs w:val="20"/>
                <w:lang w:val="en-US" w:eastAsia="en-GB"/>
              </w:rPr>
              <w:t>Streptococcus suis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6245398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254</w:t>
            </w:r>
          </w:p>
        </w:tc>
        <w:tc>
          <w:tcPr>
            <w:tcW w:w="853" w:type="dxa"/>
            <w:noWrap/>
          </w:tcPr>
          <w:p w14:paraId="14BCE21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98</w:t>
            </w:r>
          </w:p>
        </w:tc>
        <w:tc>
          <w:tcPr>
            <w:tcW w:w="978" w:type="dxa"/>
            <w:noWrap/>
          </w:tcPr>
          <w:p w14:paraId="2D3A2B0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c>
          <w:tcPr>
            <w:tcW w:w="993" w:type="dxa"/>
            <w:noWrap/>
          </w:tcPr>
          <w:p w14:paraId="2B90840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197</w:t>
            </w:r>
          </w:p>
        </w:tc>
        <w:tc>
          <w:tcPr>
            <w:tcW w:w="1006" w:type="dxa"/>
            <w:noWrap/>
          </w:tcPr>
          <w:p w14:paraId="6224EE8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c>
          <w:tcPr>
            <w:tcW w:w="706" w:type="dxa"/>
            <w:noWrap/>
          </w:tcPr>
          <w:p w14:paraId="3DDECA6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27073E0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43</w:t>
            </w:r>
          </w:p>
        </w:tc>
        <w:tc>
          <w:tcPr>
            <w:tcW w:w="849" w:type="dxa"/>
            <w:noWrap/>
          </w:tcPr>
          <w:p w14:paraId="5BE2D13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w:t>
            </w:r>
          </w:p>
        </w:tc>
        <w:tc>
          <w:tcPr>
            <w:tcW w:w="850" w:type="dxa"/>
            <w:noWrap/>
          </w:tcPr>
          <w:p w14:paraId="2780A91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4439A1D3" w14:textId="77777777" w:rsidTr="692906EA">
        <w:trPr>
          <w:trHeight w:val="288"/>
        </w:trPr>
        <w:tc>
          <w:tcPr>
            <w:tcW w:w="2695" w:type="dxa"/>
            <w:noWrap/>
            <w:hideMark/>
          </w:tcPr>
          <w:p w14:paraId="0CB41597"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Klebsiella pneumoniae</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73ACEB8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212</w:t>
            </w:r>
          </w:p>
        </w:tc>
        <w:tc>
          <w:tcPr>
            <w:tcW w:w="853" w:type="dxa"/>
            <w:noWrap/>
          </w:tcPr>
          <w:p w14:paraId="4BD4007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96</w:t>
            </w:r>
          </w:p>
        </w:tc>
        <w:tc>
          <w:tcPr>
            <w:tcW w:w="978" w:type="dxa"/>
            <w:noWrap/>
          </w:tcPr>
          <w:p w14:paraId="1F23BE0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c>
          <w:tcPr>
            <w:tcW w:w="993" w:type="dxa"/>
            <w:noWrap/>
          </w:tcPr>
          <w:p w14:paraId="393D439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93</w:t>
            </w:r>
          </w:p>
        </w:tc>
        <w:tc>
          <w:tcPr>
            <w:tcW w:w="1006" w:type="dxa"/>
            <w:noWrap/>
          </w:tcPr>
          <w:p w14:paraId="7E5600A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c>
          <w:tcPr>
            <w:tcW w:w="706" w:type="dxa"/>
            <w:noWrap/>
          </w:tcPr>
          <w:p w14:paraId="4463942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3B3790A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109</w:t>
            </w:r>
          </w:p>
        </w:tc>
        <w:tc>
          <w:tcPr>
            <w:tcW w:w="849" w:type="dxa"/>
            <w:noWrap/>
          </w:tcPr>
          <w:p w14:paraId="5DB64E5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35E8EF8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r>
      <w:tr w:rsidR="00411166" w:rsidRPr="00361493" w14:paraId="577D592B" w14:textId="77777777" w:rsidTr="692906EA">
        <w:trPr>
          <w:trHeight w:val="288"/>
        </w:trPr>
        <w:tc>
          <w:tcPr>
            <w:tcW w:w="2695" w:type="dxa"/>
            <w:noWrap/>
            <w:hideMark/>
          </w:tcPr>
          <w:p w14:paraId="7201F3B1" w14:textId="77777777" w:rsidR="00411166" w:rsidRPr="00361493" w:rsidRDefault="00411166">
            <w:pPr>
              <w:spacing w:after="0" w:line="240" w:lineRule="auto"/>
              <w:ind w:right="0"/>
              <w:rPr>
                <w:rFonts w:ascii="Calibri" w:eastAsia="Times New Roman" w:hAnsi="Calibri" w:cs="Calibri"/>
                <w:i/>
                <w:iCs/>
                <w:sz w:val="20"/>
                <w:szCs w:val="20"/>
                <w:lang w:val="en-US" w:eastAsia="en-GB"/>
              </w:rPr>
            </w:pPr>
            <w:r w:rsidRPr="00361493">
              <w:rPr>
                <w:rFonts w:ascii="Calibri" w:eastAsia="Calibri" w:hAnsi="Calibri" w:cs="Calibri"/>
                <w:i/>
                <w:sz w:val="20"/>
                <w:szCs w:val="20"/>
                <w:lang w:val="en-US" w:eastAsia="en-GB"/>
              </w:rPr>
              <w:t>Vibrio cholerae</w:t>
            </w:r>
            <w:r w:rsidRPr="00361493">
              <w:rPr>
                <w:rFonts w:ascii="Calibri" w:eastAsia="Calibri" w:hAnsi="Calibri" w:cs="Calibri"/>
                <w:sz w:val="20"/>
                <w:szCs w:val="20"/>
                <w:vertAlign w:val="superscript"/>
                <w:lang w:val="en-US" w:eastAsia="en-GB"/>
              </w:rPr>
              <w:t>‡</w:t>
            </w:r>
            <w:r w:rsidRPr="00361493">
              <w:rPr>
                <w:rFonts w:ascii="Calibri" w:eastAsia="Calibri" w:hAnsi="Calibri" w:cs="Calibri"/>
                <w:sz w:val="20"/>
                <w:szCs w:val="20"/>
                <w:lang w:val="en-US" w:eastAsia="en-GB"/>
              </w:rPr>
              <w:t xml:space="preserve"> (B)</w:t>
            </w:r>
          </w:p>
        </w:tc>
        <w:tc>
          <w:tcPr>
            <w:tcW w:w="849" w:type="dxa"/>
            <w:noWrap/>
          </w:tcPr>
          <w:p w14:paraId="4FEEB78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209</w:t>
            </w:r>
          </w:p>
        </w:tc>
        <w:tc>
          <w:tcPr>
            <w:tcW w:w="853" w:type="dxa"/>
            <w:noWrap/>
          </w:tcPr>
          <w:p w14:paraId="1404659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93</w:t>
            </w:r>
          </w:p>
        </w:tc>
        <w:tc>
          <w:tcPr>
            <w:tcW w:w="978" w:type="dxa"/>
            <w:noWrap/>
          </w:tcPr>
          <w:p w14:paraId="07B9B1F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993" w:type="dxa"/>
            <w:noWrap/>
          </w:tcPr>
          <w:p w14:paraId="79EC0F7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131</w:t>
            </w:r>
          </w:p>
        </w:tc>
        <w:tc>
          <w:tcPr>
            <w:tcW w:w="1006" w:type="dxa"/>
            <w:noWrap/>
          </w:tcPr>
          <w:p w14:paraId="701B1D4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16</w:t>
            </w:r>
          </w:p>
        </w:tc>
        <w:tc>
          <w:tcPr>
            <w:tcW w:w="706" w:type="dxa"/>
            <w:noWrap/>
          </w:tcPr>
          <w:p w14:paraId="5B400C9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432F827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61</w:t>
            </w:r>
          </w:p>
        </w:tc>
        <w:tc>
          <w:tcPr>
            <w:tcW w:w="849" w:type="dxa"/>
            <w:noWrap/>
          </w:tcPr>
          <w:p w14:paraId="10AD4DB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638A9B8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26359F0F" w14:textId="77777777" w:rsidTr="692906EA">
        <w:trPr>
          <w:trHeight w:val="288"/>
        </w:trPr>
        <w:tc>
          <w:tcPr>
            <w:tcW w:w="2695" w:type="dxa"/>
            <w:noWrap/>
            <w:hideMark/>
          </w:tcPr>
          <w:p w14:paraId="7ED29943"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Listeria monocytogenes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704EACF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282</w:t>
            </w:r>
          </w:p>
        </w:tc>
        <w:tc>
          <w:tcPr>
            <w:tcW w:w="853" w:type="dxa"/>
            <w:noWrap/>
          </w:tcPr>
          <w:p w14:paraId="154DF22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88</w:t>
            </w:r>
          </w:p>
        </w:tc>
        <w:tc>
          <w:tcPr>
            <w:tcW w:w="978" w:type="dxa"/>
            <w:noWrap/>
          </w:tcPr>
          <w:p w14:paraId="6A503A4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c>
          <w:tcPr>
            <w:tcW w:w="993" w:type="dxa"/>
            <w:noWrap/>
          </w:tcPr>
          <w:p w14:paraId="22D7B94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198</w:t>
            </w:r>
          </w:p>
        </w:tc>
        <w:tc>
          <w:tcPr>
            <w:tcW w:w="1006" w:type="dxa"/>
            <w:noWrap/>
          </w:tcPr>
          <w:p w14:paraId="48EB1D8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22</w:t>
            </w:r>
          </w:p>
        </w:tc>
        <w:tc>
          <w:tcPr>
            <w:tcW w:w="706" w:type="dxa"/>
            <w:noWrap/>
          </w:tcPr>
          <w:p w14:paraId="7ED883E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c>
          <w:tcPr>
            <w:tcW w:w="1160" w:type="dxa"/>
            <w:noWrap/>
          </w:tcPr>
          <w:p w14:paraId="534845A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56</w:t>
            </w:r>
          </w:p>
        </w:tc>
        <w:tc>
          <w:tcPr>
            <w:tcW w:w="849" w:type="dxa"/>
            <w:noWrap/>
          </w:tcPr>
          <w:p w14:paraId="16A4D55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4C990A8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11</w:t>
            </w:r>
          </w:p>
        </w:tc>
      </w:tr>
      <w:tr w:rsidR="00411166" w:rsidRPr="00361493" w14:paraId="75361EB4" w14:textId="77777777" w:rsidTr="692906EA">
        <w:trPr>
          <w:trHeight w:val="288"/>
        </w:trPr>
        <w:tc>
          <w:tcPr>
            <w:tcW w:w="2695" w:type="dxa"/>
            <w:noWrap/>
            <w:hideMark/>
          </w:tcPr>
          <w:p w14:paraId="7223B6E5"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Acinetobacter baumannii</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5F2C751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302</w:t>
            </w:r>
          </w:p>
        </w:tc>
        <w:tc>
          <w:tcPr>
            <w:tcW w:w="853" w:type="dxa"/>
            <w:noWrap/>
          </w:tcPr>
          <w:p w14:paraId="4794BD9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88</w:t>
            </w:r>
          </w:p>
        </w:tc>
        <w:tc>
          <w:tcPr>
            <w:tcW w:w="978" w:type="dxa"/>
            <w:noWrap/>
          </w:tcPr>
          <w:p w14:paraId="303AE3B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993" w:type="dxa"/>
            <w:noWrap/>
          </w:tcPr>
          <w:p w14:paraId="5E3F89D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201</w:t>
            </w:r>
          </w:p>
        </w:tc>
        <w:tc>
          <w:tcPr>
            <w:tcW w:w="1006" w:type="dxa"/>
            <w:noWrap/>
          </w:tcPr>
          <w:p w14:paraId="4699236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w:t>
            </w:r>
          </w:p>
        </w:tc>
        <w:tc>
          <w:tcPr>
            <w:tcW w:w="706" w:type="dxa"/>
            <w:noWrap/>
          </w:tcPr>
          <w:p w14:paraId="7BEFF5C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1160" w:type="dxa"/>
            <w:noWrap/>
          </w:tcPr>
          <w:p w14:paraId="3FB447C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88</w:t>
            </w:r>
          </w:p>
        </w:tc>
        <w:tc>
          <w:tcPr>
            <w:tcW w:w="849" w:type="dxa"/>
            <w:noWrap/>
          </w:tcPr>
          <w:p w14:paraId="0231922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noWrap/>
          </w:tcPr>
          <w:p w14:paraId="42C0B03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w:t>
            </w:r>
          </w:p>
        </w:tc>
      </w:tr>
      <w:tr w:rsidR="00411166" w:rsidRPr="00361493" w14:paraId="05AB5B58" w14:textId="77777777" w:rsidTr="692906EA">
        <w:trPr>
          <w:trHeight w:val="288"/>
        </w:trPr>
        <w:tc>
          <w:tcPr>
            <w:tcW w:w="2695" w:type="dxa"/>
            <w:noWrap/>
            <w:hideMark/>
          </w:tcPr>
          <w:p w14:paraId="3844CA9D" w14:textId="77777777" w:rsidR="00411166" w:rsidRPr="00361493" w:rsidRDefault="00411166">
            <w:pPr>
              <w:spacing w:after="0" w:line="240" w:lineRule="auto"/>
              <w:ind w:right="0"/>
              <w:rPr>
                <w:rFonts w:ascii="Calibri" w:eastAsia="Times New Roman" w:hAnsi="Calibri" w:cs="Calibri"/>
                <w:i/>
                <w:iCs/>
                <w:color w:val="000000"/>
                <w:sz w:val="20"/>
                <w:szCs w:val="20"/>
                <w:lang w:val="en-US" w:eastAsia="en-GB"/>
              </w:rPr>
            </w:pPr>
            <w:r w:rsidRPr="00361493">
              <w:rPr>
                <w:rFonts w:ascii="Calibri" w:eastAsia="Calibri" w:hAnsi="Calibri" w:cs="Calibri"/>
                <w:i/>
                <w:sz w:val="20"/>
                <w:szCs w:val="20"/>
                <w:lang w:val="en-US" w:eastAsia="en-GB"/>
              </w:rPr>
              <w:t>Streptococcus pyogenes</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noWrap/>
          </w:tcPr>
          <w:p w14:paraId="421DC02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219</w:t>
            </w:r>
          </w:p>
        </w:tc>
        <w:tc>
          <w:tcPr>
            <w:tcW w:w="853" w:type="dxa"/>
            <w:noWrap/>
          </w:tcPr>
          <w:p w14:paraId="0A6261B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86</w:t>
            </w:r>
          </w:p>
        </w:tc>
        <w:tc>
          <w:tcPr>
            <w:tcW w:w="978" w:type="dxa"/>
            <w:noWrap/>
          </w:tcPr>
          <w:p w14:paraId="7B4B0AA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c>
          <w:tcPr>
            <w:tcW w:w="993" w:type="dxa"/>
            <w:noWrap/>
          </w:tcPr>
          <w:p w14:paraId="08E5C2A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138</w:t>
            </w:r>
          </w:p>
        </w:tc>
        <w:tc>
          <w:tcPr>
            <w:tcW w:w="1006" w:type="dxa"/>
            <w:noWrap/>
          </w:tcPr>
          <w:p w14:paraId="716A3E4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28</w:t>
            </w:r>
          </w:p>
        </w:tc>
        <w:tc>
          <w:tcPr>
            <w:tcW w:w="706" w:type="dxa"/>
            <w:noWrap/>
          </w:tcPr>
          <w:p w14:paraId="13E475C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noWrap/>
          </w:tcPr>
          <w:p w14:paraId="3E860AB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48</w:t>
            </w:r>
          </w:p>
        </w:tc>
        <w:tc>
          <w:tcPr>
            <w:tcW w:w="849" w:type="dxa"/>
            <w:noWrap/>
          </w:tcPr>
          <w:p w14:paraId="3755B84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c>
          <w:tcPr>
            <w:tcW w:w="850" w:type="dxa"/>
            <w:noWrap/>
          </w:tcPr>
          <w:p w14:paraId="6E8BD65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7D99DE78" w14:textId="77777777" w:rsidTr="692906EA">
        <w:trPr>
          <w:trHeight w:val="288"/>
        </w:trPr>
        <w:tc>
          <w:tcPr>
            <w:tcW w:w="2695" w:type="dxa"/>
            <w:tcBorders>
              <w:top w:val="nil"/>
              <w:left w:val="nil"/>
              <w:right w:val="nil"/>
            </w:tcBorders>
            <w:noWrap/>
          </w:tcPr>
          <w:p w14:paraId="19DC033B" w14:textId="77777777" w:rsidR="00411166" w:rsidRPr="00361493" w:rsidRDefault="00411166">
            <w:pPr>
              <w:spacing w:after="0" w:line="240" w:lineRule="auto"/>
              <w:ind w:right="0"/>
              <w:rPr>
                <w:rFonts w:ascii="Calibri" w:eastAsia="Calibri" w:hAnsi="Calibri" w:cs="Calibri"/>
                <w:i/>
                <w:sz w:val="20"/>
                <w:szCs w:val="20"/>
                <w:lang w:val="en-US" w:eastAsia="en-GB"/>
              </w:rPr>
            </w:pPr>
            <w:r w:rsidRPr="00361493">
              <w:rPr>
                <w:rFonts w:ascii="Calibri" w:eastAsia="Calibri" w:hAnsi="Calibri" w:cs="Calibri"/>
                <w:i/>
                <w:sz w:val="20"/>
                <w:szCs w:val="20"/>
                <w:lang w:val="en-US" w:eastAsia="en-GB"/>
              </w:rPr>
              <w:t>Burkholderia</w:t>
            </w:r>
            <w:r w:rsidRPr="00361493">
              <w:rPr>
                <w:rFonts w:ascii="Calibri" w:eastAsia="Calibri" w:hAnsi="Calibri" w:cs="Calibri"/>
                <w:i/>
                <w:sz w:val="20"/>
                <w:szCs w:val="20"/>
                <w:lang w:val="en-US" w:eastAsia="en-GB"/>
              </w:rPr>
              <w:br/>
              <w:t xml:space="preserve">     pseudomallei</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(B</w:t>
            </w:r>
          </w:p>
        </w:tc>
        <w:tc>
          <w:tcPr>
            <w:tcW w:w="849" w:type="dxa"/>
            <w:tcBorders>
              <w:top w:val="nil"/>
              <w:left w:val="nil"/>
              <w:right w:val="nil"/>
            </w:tcBorders>
            <w:noWrap/>
          </w:tcPr>
          <w:p w14:paraId="2874B41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112</w:t>
            </w:r>
          </w:p>
        </w:tc>
        <w:tc>
          <w:tcPr>
            <w:tcW w:w="853" w:type="dxa"/>
            <w:tcBorders>
              <w:top w:val="nil"/>
              <w:left w:val="nil"/>
              <w:right w:val="nil"/>
            </w:tcBorders>
            <w:noWrap/>
          </w:tcPr>
          <w:p w14:paraId="202EB9E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67</w:t>
            </w:r>
          </w:p>
        </w:tc>
        <w:tc>
          <w:tcPr>
            <w:tcW w:w="978" w:type="dxa"/>
            <w:tcBorders>
              <w:top w:val="nil"/>
              <w:left w:val="nil"/>
              <w:right w:val="nil"/>
            </w:tcBorders>
            <w:noWrap/>
          </w:tcPr>
          <w:p w14:paraId="3B9E353F"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993" w:type="dxa"/>
            <w:tcBorders>
              <w:top w:val="nil"/>
              <w:left w:val="nil"/>
              <w:right w:val="nil"/>
            </w:tcBorders>
            <w:noWrap/>
          </w:tcPr>
          <w:p w14:paraId="3F6D8E6C"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75</w:t>
            </w:r>
          </w:p>
        </w:tc>
        <w:tc>
          <w:tcPr>
            <w:tcW w:w="1006" w:type="dxa"/>
            <w:tcBorders>
              <w:top w:val="nil"/>
              <w:left w:val="nil"/>
              <w:right w:val="nil"/>
            </w:tcBorders>
            <w:noWrap/>
          </w:tcPr>
          <w:p w14:paraId="68FDAB9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c>
          <w:tcPr>
            <w:tcW w:w="706" w:type="dxa"/>
            <w:tcBorders>
              <w:top w:val="nil"/>
              <w:left w:val="nil"/>
              <w:right w:val="nil"/>
            </w:tcBorders>
            <w:noWrap/>
          </w:tcPr>
          <w:p w14:paraId="66AC77FA"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24</w:t>
            </w:r>
          </w:p>
        </w:tc>
        <w:tc>
          <w:tcPr>
            <w:tcW w:w="1160" w:type="dxa"/>
            <w:tcBorders>
              <w:top w:val="nil"/>
              <w:left w:val="nil"/>
              <w:right w:val="nil"/>
            </w:tcBorders>
            <w:noWrap/>
          </w:tcPr>
          <w:p w14:paraId="01838D89"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w:t>
            </w:r>
          </w:p>
        </w:tc>
        <w:tc>
          <w:tcPr>
            <w:tcW w:w="849" w:type="dxa"/>
            <w:tcBorders>
              <w:top w:val="nil"/>
              <w:left w:val="nil"/>
              <w:right w:val="nil"/>
            </w:tcBorders>
            <w:noWrap/>
          </w:tcPr>
          <w:p w14:paraId="2ED980D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850" w:type="dxa"/>
            <w:tcBorders>
              <w:top w:val="nil"/>
              <w:left w:val="nil"/>
              <w:right w:val="nil"/>
            </w:tcBorders>
            <w:noWrap/>
          </w:tcPr>
          <w:p w14:paraId="693050D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w:t>
            </w:r>
          </w:p>
        </w:tc>
      </w:tr>
      <w:tr w:rsidR="00411166" w:rsidRPr="00361493" w14:paraId="25A393B5" w14:textId="77777777" w:rsidTr="692906EA">
        <w:trPr>
          <w:trHeight w:val="288"/>
        </w:trPr>
        <w:tc>
          <w:tcPr>
            <w:tcW w:w="2695" w:type="dxa"/>
            <w:tcBorders>
              <w:left w:val="nil"/>
              <w:bottom w:val="single" w:sz="4" w:space="0" w:color="auto"/>
              <w:right w:val="nil"/>
            </w:tcBorders>
            <w:noWrap/>
            <w:hideMark/>
          </w:tcPr>
          <w:p w14:paraId="12F89716" w14:textId="32F3F1B6" w:rsidR="00411166" w:rsidRPr="00361493" w:rsidRDefault="7A91D806" w:rsidP="692906EA">
            <w:pPr>
              <w:spacing w:after="0" w:line="240" w:lineRule="auto"/>
              <w:ind w:right="0"/>
              <w:rPr>
                <w:rFonts w:ascii="Calibri" w:eastAsia="Times New Roman" w:hAnsi="Calibri" w:cs="Calibri"/>
                <w:i/>
                <w:iCs/>
                <w:sz w:val="20"/>
                <w:szCs w:val="20"/>
                <w:lang w:val="en-US" w:eastAsia="en-GB"/>
              </w:rPr>
            </w:pPr>
            <w:r w:rsidRPr="692906EA">
              <w:rPr>
                <w:rFonts w:ascii="Calibri" w:eastAsia="Calibri" w:hAnsi="Calibri" w:cs="Calibri"/>
                <w:i/>
                <w:iCs/>
                <w:sz w:val="20"/>
                <w:szCs w:val="20"/>
                <w:lang w:val="en-US" w:eastAsia="en-GB"/>
              </w:rPr>
              <w:t xml:space="preserve"> </w:t>
            </w:r>
            <w:r w:rsidRPr="00220129">
              <w:rPr>
                <w:rFonts w:ascii="Calibri" w:eastAsia="Calibri" w:hAnsi="Calibri" w:cs="Calibri"/>
                <w:i/>
                <w:iCs/>
                <w:color w:val="000000" w:themeColor="text1"/>
                <w:sz w:val="20"/>
                <w:szCs w:val="20"/>
                <w:lang w:val="en-US" w:eastAsia="en-GB"/>
              </w:rPr>
              <w:t>Nakaseomyces glabratus</w:t>
            </w:r>
            <w:r w:rsidR="7308F284" w:rsidRPr="692906EA">
              <w:rPr>
                <w:rFonts w:ascii="Calibri" w:eastAsia="Calibri" w:hAnsi="Calibri" w:cs="Calibri"/>
                <w:sz w:val="20"/>
                <w:szCs w:val="20"/>
                <w:vertAlign w:val="superscript"/>
                <w:lang w:val="en-US" w:eastAsia="en-GB"/>
              </w:rPr>
              <w:t xml:space="preserve"># </w:t>
            </w:r>
            <w:r w:rsidR="7308F284" w:rsidRPr="692906EA">
              <w:rPr>
                <w:rFonts w:ascii="Calibri" w:eastAsia="Calibri" w:hAnsi="Calibri" w:cs="Calibri"/>
                <w:sz w:val="20"/>
                <w:szCs w:val="20"/>
                <w:lang w:val="en-US" w:eastAsia="en-GB"/>
              </w:rPr>
              <w:t>(F)</w:t>
            </w:r>
          </w:p>
        </w:tc>
        <w:tc>
          <w:tcPr>
            <w:tcW w:w="849" w:type="dxa"/>
            <w:tcBorders>
              <w:left w:val="nil"/>
              <w:bottom w:val="single" w:sz="4" w:space="0" w:color="auto"/>
              <w:right w:val="nil"/>
            </w:tcBorders>
            <w:noWrap/>
          </w:tcPr>
          <w:p w14:paraId="65C8D34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231</w:t>
            </w:r>
          </w:p>
        </w:tc>
        <w:tc>
          <w:tcPr>
            <w:tcW w:w="853" w:type="dxa"/>
            <w:tcBorders>
              <w:left w:val="nil"/>
              <w:bottom w:val="single" w:sz="4" w:space="0" w:color="auto"/>
              <w:right w:val="nil"/>
            </w:tcBorders>
            <w:noWrap/>
          </w:tcPr>
          <w:p w14:paraId="645E0BA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66</w:t>
            </w:r>
          </w:p>
        </w:tc>
        <w:tc>
          <w:tcPr>
            <w:tcW w:w="978" w:type="dxa"/>
            <w:tcBorders>
              <w:left w:val="nil"/>
              <w:bottom w:val="single" w:sz="4" w:space="0" w:color="auto"/>
              <w:right w:val="nil"/>
            </w:tcBorders>
            <w:noWrap/>
          </w:tcPr>
          <w:p w14:paraId="06F2F798"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993" w:type="dxa"/>
            <w:tcBorders>
              <w:left w:val="nil"/>
              <w:bottom w:val="single" w:sz="4" w:space="0" w:color="auto"/>
              <w:right w:val="nil"/>
            </w:tcBorders>
            <w:noWrap/>
          </w:tcPr>
          <w:p w14:paraId="32112C7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128</w:t>
            </w:r>
          </w:p>
        </w:tc>
        <w:tc>
          <w:tcPr>
            <w:tcW w:w="1006" w:type="dxa"/>
            <w:tcBorders>
              <w:left w:val="nil"/>
              <w:bottom w:val="single" w:sz="4" w:space="0" w:color="auto"/>
              <w:right w:val="nil"/>
            </w:tcBorders>
            <w:noWrap/>
          </w:tcPr>
          <w:p w14:paraId="57E42F3E"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25</w:t>
            </w:r>
          </w:p>
        </w:tc>
        <w:tc>
          <w:tcPr>
            <w:tcW w:w="706" w:type="dxa"/>
            <w:tcBorders>
              <w:left w:val="nil"/>
              <w:bottom w:val="single" w:sz="4" w:space="0" w:color="auto"/>
              <w:right w:val="nil"/>
            </w:tcBorders>
            <w:noWrap/>
          </w:tcPr>
          <w:p w14:paraId="67F53F1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0</w:t>
            </w:r>
          </w:p>
        </w:tc>
        <w:tc>
          <w:tcPr>
            <w:tcW w:w="1160" w:type="dxa"/>
            <w:tcBorders>
              <w:left w:val="nil"/>
              <w:bottom w:val="single" w:sz="4" w:space="0" w:color="auto"/>
              <w:right w:val="nil"/>
            </w:tcBorders>
            <w:noWrap/>
          </w:tcPr>
          <w:p w14:paraId="4681CF23"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77</w:t>
            </w:r>
          </w:p>
        </w:tc>
        <w:tc>
          <w:tcPr>
            <w:tcW w:w="849" w:type="dxa"/>
            <w:tcBorders>
              <w:left w:val="nil"/>
              <w:bottom w:val="single" w:sz="4" w:space="0" w:color="auto"/>
              <w:right w:val="nil"/>
            </w:tcBorders>
            <w:noWrap/>
          </w:tcPr>
          <w:p w14:paraId="7CF448A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w:t>
            </w:r>
          </w:p>
        </w:tc>
        <w:tc>
          <w:tcPr>
            <w:tcW w:w="850" w:type="dxa"/>
            <w:tcBorders>
              <w:left w:val="nil"/>
              <w:bottom w:val="single" w:sz="4" w:space="0" w:color="auto"/>
              <w:right w:val="nil"/>
            </w:tcBorders>
            <w:noWrap/>
          </w:tcPr>
          <w:p w14:paraId="42933D4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r>
      <w:tr w:rsidR="00411166" w:rsidRPr="00361493" w14:paraId="030A9659" w14:textId="77777777" w:rsidTr="692906EA">
        <w:trPr>
          <w:trHeight w:val="288"/>
        </w:trPr>
        <w:tc>
          <w:tcPr>
            <w:tcW w:w="2695" w:type="dxa"/>
            <w:tcBorders>
              <w:top w:val="nil"/>
              <w:left w:val="nil"/>
              <w:bottom w:val="single" w:sz="4" w:space="0" w:color="auto"/>
              <w:right w:val="nil"/>
            </w:tcBorders>
            <w:noWrap/>
            <w:vAlign w:val="bottom"/>
            <w:hideMark/>
          </w:tcPr>
          <w:p w14:paraId="0F664D57"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sz w:val="20"/>
                <w:szCs w:val="20"/>
                <w:lang w:val="en-US" w:eastAsia="en-GB"/>
              </w:rPr>
              <w:t>TOTALS</w:t>
            </w:r>
          </w:p>
        </w:tc>
        <w:tc>
          <w:tcPr>
            <w:tcW w:w="849" w:type="dxa"/>
            <w:tcBorders>
              <w:top w:val="nil"/>
              <w:left w:val="nil"/>
              <w:bottom w:val="single" w:sz="4" w:space="0" w:color="auto"/>
              <w:right w:val="nil"/>
            </w:tcBorders>
            <w:noWrap/>
          </w:tcPr>
          <w:p w14:paraId="62B1BA20"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15849</w:t>
            </w:r>
          </w:p>
        </w:tc>
        <w:tc>
          <w:tcPr>
            <w:tcW w:w="853" w:type="dxa"/>
            <w:tcBorders>
              <w:top w:val="nil"/>
              <w:left w:val="nil"/>
              <w:bottom w:val="single" w:sz="4" w:space="0" w:color="auto"/>
              <w:right w:val="nil"/>
            </w:tcBorders>
            <w:noWrap/>
          </w:tcPr>
          <w:p w14:paraId="573E4E51"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7082</w:t>
            </w:r>
          </w:p>
        </w:tc>
        <w:tc>
          <w:tcPr>
            <w:tcW w:w="978" w:type="dxa"/>
            <w:tcBorders>
              <w:top w:val="nil"/>
              <w:left w:val="nil"/>
              <w:bottom w:val="single" w:sz="4" w:space="0" w:color="auto"/>
              <w:right w:val="nil"/>
            </w:tcBorders>
            <w:noWrap/>
          </w:tcPr>
          <w:p w14:paraId="0C4F5A76"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854</w:t>
            </w:r>
          </w:p>
        </w:tc>
        <w:tc>
          <w:tcPr>
            <w:tcW w:w="993" w:type="dxa"/>
            <w:tcBorders>
              <w:top w:val="nil"/>
              <w:left w:val="nil"/>
              <w:bottom w:val="single" w:sz="4" w:space="0" w:color="auto"/>
              <w:right w:val="nil"/>
            </w:tcBorders>
            <w:noWrap/>
          </w:tcPr>
          <w:p w14:paraId="5B4E1CF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7698</w:t>
            </w:r>
          </w:p>
        </w:tc>
        <w:tc>
          <w:tcPr>
            <w:tcW w:w="1006" w:type="dxa"/>
            <w:tcBorders>
              <w:top w:val="nil"/>
              <w:left w:val="nil"/>
              <w:bottom w:val="single" w:sz="4" w:space="0" w:color="auto"/>
              <w:right w:val="nil"/>
            </w:tcBorders>
            <w:noWrap/>
          </w:tcPr>
          <w:p w14:paraId="5EB9D6C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838</w:t>
            </w:r>
          </w:p>
        </w:tc>
        <w:tc>
          <w:tcPr>
            <w:tcW w:w="706" w:type="dxa"/>
            <w:tcBorders>
              <w:top w:val="nil"/>
              <w:left w:val="nil"/>
              <w:bottom w:val="single" w:sz="4" w:space="0" w:color="auto"/>
              <w:right w:val="nil"/>
            </w:tcBorders>
            <w:noWrap/>
          </w:tcPr>
          <w:p w14:paraId="1A710F65"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1927</w:t>
            </w:r>
          </w:p>
        </w:tc>
        <w:tc>
          <w:tcPr>
            <w:tcW w:w="1160" w:type="dxa"/>
            <w:tcBorders>
              <w:top w:val="nil"/>
              <w:left w:val="nil"/>
              <w:bottom w:val="single" w:sz="4" w:space="0" w:color="auto"/>
              <w:right w:val="nil"/>
            </w:tcBorders>
            <w:noWrap/>
          </w:tcPr>
          <w:p w14:paraId="7E6868A2"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4356</w:t>
            </w:r>
          </w:p>
        </w:tc>
        <w:tc>
          <w:tcPr>
            <w:tcW w:w="849" w:type="dxa"/>
            <w:tcBorders>
              <w:top w:val="nil"/>
              <w:left w:val="nil"/>
              <w:bottom w:val="single" w:sz="4" w:space="0" w:color="auto"/>
              <w:right w:val="nil"/>
            </w:tcBorders>
            <w:noWrap/>
          </w:tcPr>
          <w:p w14:paraId="068311FB"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172</w:t>
            </w:r>
          </w:p>
        </w:tc>
        <w:tc>
          <w:tcPr>
            <w:tcW w:w="850" w:type="dxa"/>
            <w:tcBorders>
              <w:top w:val="nil"/>
              <w:left w:val="nil"/>
              <w:bottom w:val="single" w:sz="4" w:space="0" w:color="auto"/>
              <w:right w:val="nil"/>
            </w:tcBorders>
            <w:noWrap/>
          </w:tcPr>
          <w:p w14:paraId="6D5578DD"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330</w:t>
            </w:r>
          </w:p>
        </w:tc>
      </w:tr>
    </w:tbl>
    <w:bookmarkEnd w:id="28"/>
    <w:bookmarkEnd w:id="29"/>
    <w:p w14:paraId="483682B6" w14:textId="77777777" w:rsidR="00411166" w:rsidRPr="00361493" w:rsidRDefault="00411166">
      <w:pPr>
        <w:spacing w:before="240" w:after="0"/>
        <w:ind w:left="-425" w:right="-425"/>
        <w:rPr>
          <w:rFonts w:ascii="Calibri" w:eastAsia="Calibri" w:hAnsi="Calibri" w:cs="Calibri"/>
          <w:sz w:val="20"/>
          <w:szCs w:val="20"/>
          <w:lang w:val="en-US" w:eastAsia="en-GB"/>
        </w:rPr>
      </w:pPr>
      <w:r w:rsidRPr="00361493">
        <w:rPr>
          <w:rFonts w:ascii="Calibri" w:eastAsia="Calibri" w:hAnsi="Calibri" w:cs="Calibri"/>
          <w:sz w:val="20"/>
          <w:szCs w:val="20"/>
          <w:lang w:val="en-US" w:eastAsia="en-GB"/>
        </w:rPr>
        <w:t>*Genes were mapped to the latest genome assembly and reference UniProtKB proteome where available.</w:t>
      </w:r>
      <w:r w:rsidRPr="00361493">
        <w:rPr>
          <w:rFonts w:ascii="Calibri" w:eastAsia="Calibri" w:hAnsi="Calibri" w:cs="Calibri"/>
          <w:sz w:val="20"/>
          <w:szCs w:val="20"/>
          <w:lang w:val="en-US" w:eastAsia="en-GB"/>
        </w:rPr>
        <w:br/>
        <w:t xml:space="preserve">Symbols indicate: </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 xml:space="preserve">plant pathogen, </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animal pathogen,</w:t>
      </w:r>
      <w:r w:rsidRPr="00361493">
        <w:rPr>
          <w:rFonts w:ascii="Calibri" w:eastAsia="Calibri" w:hAnsi="Calibri" w:cs="Calibri"/>
          <w:sz w:val="20"/>
          <w:szCs w:val="20"/>
          <w:vertAlign w:val="superscript"/>
          <w:lang w:val="en-US" w:eastAsia="en-GB"/>
        </w:rPr>
        <w:t xml:space="preserve"> ‡† </w:t>
      </w:r>
      <w:r w:rsidRPr="00361493">
        <w:rPr>
          <w:rFonts w:ascii="Calibri" w:eastAsia="Calibri" w:hAnsi="Calibri" w:cs="Calibri"/>
          <w:sz w:val="20"/>
          <w:szCs w:val="20"/>
          <w:lang w:val="en-US" w:eastAsia="en-GB"/>
        </w:rPr>
        <w:t xml:space="preserve">pathogen of both plant and animal hosts, </w:t>
      </w:r>
      <w:r w:rsidRPr="00361493">
        <w:rPr>
          <w:rFonts w:ascii="Calibri" w:eastAsia="Calibri" w:hAnsi="Calibri" w:cs="Calibri"/>
          <w:sz w:val="20"/>
          <w:szCs w:val="20"/>
          <w:vertAlign w:val="superscript"/>
          <w:lang w:val="en-US" w:eastAsia="en-GB"/>
        </w:rPr>
        <w:t xml:space="preserve"># </w:t>
      </w:r>
      <w:r w:rsidRPr="00361493">
        <w:rPr>
          <w:rFonts w:ascii="Calibri" w:eastAsia="Calibri" w:hAnsi="Calibri" w:cs="Calibri"/>
          <w:sz w:val="20"/>
          <w:szCs w:val="20"/>
          <w:lang w:val="en-US" w:eastAsia="en-GB"/>
        </w:rPr>
        <w:t xml:space="preserve">opportunistic pathogen usually only able to infect immunocompromised humans, </w:t>
      </w:r>
      <w:r w:rsidRPr="00361493">
        <w:rPr>
          <w:rFonts w:ascii="Calibri" w:eastAsia="Calibri" w:hAnsi="Calibri" w:cs="Calibri"/>
          <w:sz w:val="20"/>
          <w:szCs w:val="20"/>
          <w:vertAlign w:val="superscript"/>
          <w:lang w:val="en-US" w:eastAsia="en-GB"/>
        </w:rPr>
        <w:t xml:space="preserve"> § </w:t>
      </w:r>
      <w:r w:rsidRPr="00361493">
        <w:rPr>
          <w:rFonts w:ascii="Calibri" w:eastAsia="Calibri" w:hAnsi="Calibri" w:cs="Calibri"/>
          <w:sz w:val="20"/>
          <w:szCs w:val="20"/>
          <w:lang w:val="en-US" w:eastAsia="en-GB"/>
        </w:rPr>
        <w:t>entomopathogenic fungal species used to control insect pests. Taxon indicated in parenthesis (F) fungus, (B) bacterium, (P) protozoa.</w:t>
      </w:r>
      <w:r w:rsidRPr="00361493">
        <w:rPr>
          <w:rFonts w:ascii="Calibri" w:eastAsia="Calibri" w:hAnsi="Calibri" w:cs="Calibri"/>
          <w:sz w:val="20"/>
          <w:szCs w:val="20"/>
          <w:lang w:val="en-US" w:eastAsia="en-GB"/>
        </w:rPr>
        <w:br w:type="page"/>
      </w:r>
    </w:p>
    <w:p w14:paraId="6E416AAA" w14:textId="77777777" w:rsidR="00411166" w:rsidRDefault="00411166">
      <w:pPr>
        <w:keepNext/>
        <w:keepLines/>
        <w:spacing w:after="0"/>
        <w:ind w:left="284" w:right="0"/>
        <w:outlineLvl w:val="2"/>
        <w:rPr>
          <w:rFonts w:ascii="Calibri" w:eastAsia="Calibri" w:hAnsi="Calibri" w:cs="Calibri"/>
          <w:b/>
          <w:sz w:val="28"/>
          <w:szCs w:val="28"/>
          <w:lang w:val="en-US" w:eastAsia="en-GB"/>
        </w:rPr>
        <w:sectPr w:rsidR="00411166" w:rsidSect="00411166">
          <w:pgSz w:w="12240" w:h="15840"/>
          <w:pgMar w:top="1247" w:right="1185" w:bottom="1440" w:left="1440" w:header="720" w:footer="720" w:gutter="0"/>
          <w:pgNumType w:start="1"/>
          <w:cols w:space="720"/>
        </w:sectPr>
      </w:pPr>
    </w:p>
    <w:p w14:paraId="5EA5F7D6" w14:textId="77777777" w:rsidR="00411166" w:rsidRDefault="00411166">
      <w:pPr>
        <w:keepNext/>
        <w:keepLines/>
        <w:spacing w:after="0"/>
        <w:ind w:left="284" w:right="0"/>
        <w:outlineLvl w:val="2"/>
        <w:rPr>
          <w:rFonts w:ascii="Calibri" w:eastAsia="Calibri" w:hAnsi="Calibri" w:cs="Calibri"/>
          <w:b/>
          <w:sz w:val="28"/>
          <w:szCs w:val="28"/>
          <w:lang w:val="en-US" w:eastAsia="en-GB"/>
        </w:rPr>
      </w:pPr>
      <w:r w:rsidRPr="00361493">
        <w:rPr>
          <w:rFonts w:ascii="Calibri" w:eastAsia="Calibri" w:hAnsi="Calibri" w:cs="Calibri"/>
          <w:b/>
          <w:sz w:val="28"/>
          <w:szCs w:val="28"/>
          <w:lang w:val="en-US" w:eastAsia="en-GB"/>
        </w:rPr>
        <w:lastRenderedPageBreak/>
        <w:t>Table 4: Summary of the pathogenic species providing the most information on effectors</w:t>
      </w:r>
    </w:p>
    <w:p w14:paraId="2021C527" w14:textId="77777777" w:rsidR="00411166" w:rsidRPr="00361493" w:rsidRDefault="00411166">
      <w:pPr>
        <w:rPr>
          <w:lang w:val="en-US" w:eastAsia="en-GB"/>
        </w:rPr>
      </w:pPr>
    </w:p>
    <w:tbl>
      <w:tblPr>
        <w:tblW w:w="7637" w:type="dxa"/>
        <w:tblInd w:w="426" w:type="dxa"/>
        <w:tblLook w:val="04A0" w:firstRow="1" w:lastRow="0" w:firstColumn="1" w:lastColumn="0" w:noHBand="0" w:noVBand="1"/>
      </w:tblPr>
      <w:tblGrid>
        <w:gridCol w:w="3969"/>
        <w:gridCol w:w="1984"/>
        <w:gridCol w:w="1684"/>
      </w:tblGrid>
      <w:tr w:rsidR="00411166" w:rsidRPr="00361493" w14:paraId="0B4A7FE5" w14:textId="77777777">
        <w:trPr>
          <w:trHeight w:val="288"/>
        </w:trPr>
        <w:tc>
          <w:tcPr>
            <w:tcW w:w="3969" w:type="dxa"/>
            <w:tcBorders>
              <w:top w:val="single" w:sz="4" w:space="0" w:color="auto"/>
              <w:left w:val="nil"/>
              <w:bottom w:val="nil"/>
              <w:right w:val="nil"/>
            </w:tcBorders>
            <w:noWrap/>
            <w:vAlign w:val="center"/>
            <w:hideMark/>
          </w:tcPr>
          <w:p w14:paraId="4A953F09" w14:textId="77777777" w:rsidR="00411166" w:rsidRPr="00361493" w:rsidRDefault="00411166">
            <w:pPr>
              <w:spacing w:after="0" w:line="240" w:lineRule="auto"/>
              <w:ind w:right="0"/>
              <w:rPr>
                <w:rFonts w:ascii="Calibri" w:eastAsia="Times New Roman" w:hAnsi="Calibri" w:cs="Calibri"/>
                <w:b/>
                <w:bCs/>
                <w:color w:val="000000"/>
                <w:sz w:val="20"/>
                <w:szCs w:val="20"/>
                <w:lang w:val="en-US" w:eastAsia="en-GB"/>
              </w:rPr>
            </w:pPr>
            <w:bookmarkStart w:id="30" w:name="_Hlk82954387"/>
            <w:r w:rsidRPr="00361493">
              <w:rPr>
                <w:rFonts w:ascii="Calibri" w:eastAsia="Calibri" w:hAnsi="Calibri" w:cs="Calibri"/>
                <w:b/>
                <w:bCs/>
                <w:color w:val="000000"/>
                <w:sz w:val="20"/>
                <w:szCs w:val="20"/>
                <w:lang w:val="en-US" w:eastAsia="en-GB"/>
              </w:rPr>
              <w:t>PLANT PATHOGENS - 75 species</w:t>
            </w:r>
          </w:p>
        </w:tc>
        <w:tc>
          <w:tcPr>
            <w:tcW w:w="1984" w:type="dxa"/>
            <w:tcBorders>
              <w:top w:val="single" w:sz="4" w:space="0" w:color="auto"/>
              <w:left w:val="nil"/>
              <w:bottom w:val="nil"/>
              <w:right w:val="nil"/>
            </w:tcBorders>
            <w:noWrap/>
            <w:vAlign w:val="center"/>
            <w:hideMark/>
          </w:tcPr>
          <w:p w14:paraId="5AA01C40" w14:textId="77777777" w:rsidR="00411166" w:rsidRPr="00361493" w:rsidRDefault="00411166">
            <w:pPr>
              <w:spacing w:after="0" w:line="240" w:lineRule="auto"/>
              <w:ind w:right="0"/>
              <w:jc w:val="center"/>
              <w:rPr>
                <w:rFonts w:ascii="Calibri" w:eastAsia="Times New Roman"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Interactions - 2698</w:t>
            </w:r>
          </w:p>
        </w:tc>
        <w:tc>
          <w:tcPr>
            <w:tcW w:w="1684" w:type="dxa"/>
            <w:tcBorders>
              <w:top w:val="single" w:sz="4" w:space="0" w:color="auto"/>
              <w:left w:val="nil"/>
              <w:bottom w:val="nil"/>
              <w:right w:val="nil"/>
            </w:tcBorders>
            <w:vAlign w:val="center"/>
          </w:tcPr>
          <w:p w14:paraId="4B68B73D"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Proteins*: 606</w:t>
            </w:r>
          </w:p>
        </w:tc>
      </w:tr>
      <w:tr w:rsidR="00411166" w:rsidRPr="00361493" w14:paraId="509D7DA5" w14:textId="77777777">
        <w:trPr>
          <w:trHeight w:val="227"/>
        </w:trPr>
        <w:tc>
          <w:tcPr>
            <w:tcW w:w="3969" w:type="dxa"/>
            <w:noWrap/>
            <w:vAlign w:val="bottom"/>
            <w:hideMark/>
          </w:tcPr>
          <w:p w14:paraId="44193AC6"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b/>
                <w:bCs/>
                <w:color w:val="000000"/>
                <w:sz w:val="20"/>
                <w:szCs w:val="20"/>
                <w:lang w:val="en-US" w:eastAsia="en-GB"/>
              </w:rPr>
              <w:t>Bacteria - 22 species</w:t>
            </w:r>
          </w:p>
        </w:tc>
        <w:tc>
          <w:tcPr>
            <w:tcW w:w="1984" w:type="dxa"/>
            <w:noWrap/>
            <w:vAlign w:val="bottom"/>
            <w:hideMark/>
          </w:tcPr>
          <w:p w14:paraId="16F09BD1"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b/>
                <w:bCs/>
                <w:color w:val="000000"/>
                <w:sz w:val="20"/>
                <w:szCs w:val="20"/>
                <w:lang w:val="en-US" w:eastAsia="en-GB"/>
              </w:rPr>
              <w:t>1662</w:t>
            </w:r>
          </w:p>
        </w:tc>
        <w:tc>
          <w:tcPr>
            <w:tcW w:w="1684" w:type="dxa"/>
            <w:vAlign w:val="bottom"/>
          </w:tcPr>
          <w:p w14:paraId="27966B42"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306</w:t>
            </w:r>
          </w:p>
        </w:tc>
      </w:tr>
      <w:tr w:rsidR="00411166" w:rsidRPr="00361493" w14:paraId="305B72D3" w14:textId="77777777">
        <w:trPr>
          <w:trHeight w:val="227"/>
        </w:trPr>
        <w:tc>
          <w:tcPr>
            <w:tcW w:w="3969" w:type="dxa"/>
            <w:noWrap/>
            <w:vAlign w:val="bottom"/>
            <w:hideMark/>
          </w:tcPr>
          <w:p w14:paraId="44EA0566"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Ralstonia solanacearum</w:t>
            </w:r>
          </w:p>
        </w:tc>
        <w:tc>
          <w:tcPr>
            <w:tcW w:w="1984" w:type="dxa"/>
            <w:noWrap/>
            <w:vAlign w:val="bottom"/>
            <w:hideMark/>
          </w:tcPr>
          <w:p w14:paraId="60DDE774"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805</w:t>
            </w:r>
          </w:p>
        </w:tc>
        <w:tc>
          <w:tcPr>
            <w:tcW w:w="1684" w:type="dxa"/>
            <w:vAlign w:val="bottom"/>
          </w:tcPr>
          <w:p w14:paraId="3C053F55"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83</w:t>
            </w:r>
          </w:p>
        </w:tc>
      </w:tr>
      <w:tr w:rsidR="00411166" w:rsidRPr="00361493" w14:paraId="5A2E4FF8" w14:textId="77777777">
        <w:trPr>
          <w:trHeight w:val="227"/>
        </w:trPr>
        <w:tc>
          <w:tcPr>
            <w:tcW w:w="3969" w:type="dxa"/>
            <w:noWrap/>
            <w:vAlign w:val="bottom"/>
            <w:hideMark/>
          </w:tcPr>
          <w:p w14:paraId="3F50E56A" w14:textId="77777777" w:rsidR="00411166" w:rsidRPr="00361493" w:rsidRDefault="00411166">
            <w:pPr>
              <w:spacing w:after="0" w:line="240" w:lineRule="auto"/>
              <w:ind w:left="321" w:right="0"/>
              <w:rPr>
                <w:rFonts w:ascii="Calibri" w:eastAsia="Times New Roman" w:hAnsi="Calibri" w:cs="Calibri"/>
                <w:b/>
                <w:bCs/>
                <w:color w:val="000000"/>
                <w:sz w:val="20"/>
                <w:szCs w:val="20"/>
                <w:lang w:val="en-US" w:eastAsia="en-GB"/>
              </w:rPr>
            </w:pPr>
            <w:r w:rsidRPr="00361493">
              <w:rPr>
                <w:rFonts w:ascii="Calibri" w:eastAsia="Calibri" w:hAnsi="Calibri" w:cs="Calibri"/>
                <w:i/>
                <w:iCs/>
                <w:color w:val="000000"/>
                <w:sz w:val="20"/>
                <w:szCs w:val="20"/>
                <w:lang w:val="en-US" w:eastAsia="en-GB"/>
              </w:rPr>
              <w:t xml:space="preserve">Xanthamonas </w:t>
            </w:r>
            <w:r w:rsidRPr="00361493">
              <w:rPr>
                <w:rFonts w:ascii="Calibri" w:eastAsia="Calibri" w:hAnsi="Calibri" w:cs="Calibri"/>
                <w:color w:val="000000"/>
                <w:sz w:val="20"/>
                <w:szCs w:val="20"/>
                <w:lang w:val="en-US" w:eastAsia="en-GB"/>
              </w:rPr>
              <w:t xml:space="preserve">species </w:t>
            </w:r>
          </w:p>
        </w:tc>
        <w:tc>
          <w:tcPr>
            <w:tcW w:w="1984" w:type="dxa"/>
            <w:noWrap/>
            <w:vAlign w:val="bottom"/>
            <w:hideMark/>
          </w:tcPr>
          <w:p w14:paraId="1D7DE867"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469</w:t>
            </w:r>
          </w:p>
        </w:tc>
        <w:tc>
          <w:tcPr>
            <w:tcW w:w="1684" w:type="dxa"/>
            <w:vAlign w:val="bottom"/>
          </w:tcPr>
          <w:p w14:paraId="0249898B"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70</w:t>
            </w:r>
          </w:p>
        </w:tc>
      </w:tr>
      <w:tr w:rsidR="00411166" w:rsidRPr="00361493" w14:paraId="1C4BF82E" w14:textId="77777777">
        <w:trPr>
          <w:trHeight w:val="227"/>
        </w:trPr>
        <w:tc>
          <w:tcPr>
            <w:tcW w:w="3969" w:type="dxa"/>
            <w:noWrap/>
            <w:vAlign w:val="bottom"/>
            <w:hideMark/>
          </w:tcPr>
          <w:p w14:paraId="3DBEB8F5"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 xml:space="preserve">Pseudomonas </w:t>
            </w:r>
            <w:r w:rsidRPr="00361493">
              <w:rPr>
                <w:rFonts w:ascii="Calibri" w:eastAsia="Calibri" w:hAnsi="Calibri" w:cs="Calibri"/>
                <w:color w:val="000000"/>
                <w:sz w:val="20"/>
                <w:szCs w:val="20"/>
                <w:lang w:val="en-US" w:eastAsia="en-GB"/>
              </w:rPr>
              <w:t>species</w:t>
            </w:r>
          </w:p>
        </w:tc>
        <w:tc>
          <w:tcPr>
            <w:tcW w:w="1984" w:type="dxa"/>
            <w:noWrap/>
            <w:vAlign w:val="bottom"/>
            <w:hideMark/>
          </w:tcPr>
          <w:p w14:paraId="58CA7402"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290</w:t>
            </w:r>
          </w:p>
        </w:tc>
        <w:tc>
          <w:tcPr>
            <w:tcW w:w="1684" w:type="dxa"/>
            <w:vAlign w:val="bottom"/>
          </w:tcPr>
          <w:p w14:paraId="69D144DE"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93</w:t>
            </w:r>
          </w:p>
        </w:tc>
      </w:tr>
      <w:tr w:rsidR="00411166" w:rsidRPr="00361493" w14:paraId="08129C5B" w14:textId="77777777">
        <w:trPr>
          <w:trHeight w:val="227"/>
        </w:trPr>
        <w:tc>
          <w:tcPr>
            <w:tcW w:w="3969" w:type="dxa"/>
            <w:noWrap/>
            <w:vAlign w:val="bottom"/>
            <w:hideMark/>
          </w:tcPr>
          <w:p w14:paraId="297CB608" w14:textId="77777777" w:rsidR="00411166" w:rsidRPr="00361493" w:rsidRDefault="00411166">
            <w:pPr>
              <w:spacing w:after="0" w:line="240" w:lineRule="auto"/>
              <w:ind w:left="321" w:right="0"/>
              <w:rPr>
                <w:rFonts w:ascii="Calibri" w:eastAsia="Times New Roman" w:hAnsi="Calibri" w:cs="Calibri"/>
                <w:i/>
                <w:iCs/>
                <w:color w:val="000000"/>
                <w:sz w:val="20"/>
                <w:szCs w:val="20"/>
                <w:lang w:val="en-US" w:eastAsia="en-GB"/>
              </w:rPr>
            </w:pPr>
            <w:bookmarkStart w:id="31" w:name="_Hlk176436502"/>
            <w:r w:rsidRPr="00361493">
              <w:rPr>
                <w:rFonts w:ascii="Calibri" w:eastAsia="Times New Roman" w:hAnsi="Calibri" w:cs="Calibri"/>
                <w:i/>
                <w:iCs/>
                <w:color w:val="000000"/>
                <w:sz w:val="20"/>
                <w:szCs w:val="20"/>
                <w:lang w:val="en-US" w:eastAsia="en-GB"/>
              </w:rPr>
              <w:t>Burkholderia pseudomallei</w:t>
            </w:r>
          </w:p>
        </w:tc>
        <w:tc>
          <w:tcPr>
            <w:tcW w:w="1984" w:type="dxa"/>
            <w:noWrap/>
            <w:vAlign w:val="bottom"/>
            <w:hideMark/>
          </w:tcPr>
          <w:p w14:paraId="30602906"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24</w:t>
            </w:r>
          </w:p>
        </w:tc>
        <w:tc>
          <w:tcPr>
            <w:tcW w:w="1684" w:type="dxa"/>
            <w:vAlign w:val="bottom"/>
          </w:tcPr>
          <w:p w14:paraId="74129608"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23</w:t>
            </w:r>
          </w:p>
        </w:tc>
      </w:tr>
      <w:tr w:rsidR="00411166" w:rsidRPr="00361493" w14:paraId="68E8C1C0" w14:textId="77777777">
        <w:trPr>
          <w:trHeight w:val="227"/>
        </w:trPr>
        <w:tc>
          <w:tcPr>
            <w:tcW w:w="3969" w:type="dxa"/>
            <w:noWrap/>
            <w:vAlign w:val="bottom"/>
            <w:hideMark/>
          </w:tcPr>
          <w:p w14:paraId="4D0514D1" w14:textId="77777777" w:rsidR="00411166" w:rsidRPr="00361493" w:rsidRDefault="00411166">
            <w:pPr>
              <w:spacing w:after="0" w:line="240" w:lineRule="auto"/>
              <w:ind w:left="321" w:right="0"/>
              <w:rPr>
                <w:rFonts w:ascii="Calibri" w:eastAsia="Times New Roman" w:hAnsi="Calibri" w:cs="Calibri"/>
                <w:i/>
                <w:iCs/>
                <w:color w:val="000000"/>
                <w:sz w:val="20"/>
                <w:szCs w:val="20"/>
                <w:lang w:val="en-US" w:eastAsia="en-GB"/>
              </w:rPr>
            </w:pPr>
            <w:r w:rsidRPr="00361493">
              <w:rPr>
                <w:rFonts w:ascii="Calibri" w:eastAsia="Times New Roman" w:hAnsi="Calibri" w:cs="Calibri"/>
                <w:i/>
                <w:iCs/>
                <w:color w:val="000000"/>
                <w:sz w:val="20"/>
                <w:szCs w:val="20"/>
                <w:lang w:val="en-US" w:eastAsia="en-GB"/>
              </w:rPr>
              <w:t>Paracidovorax citrulli</w:t>
            </w:r>
          </w:p>
        </w:tc>
        <w:tc>
          <w:tcPr>
            <w:tcW w:w="1984" w:type="dxa"/>
            <w:noWrap/>
            <w:vAlign w:val="bottom"/>
            <w:hideMark/>
          </w:tcPr>
          <w:p w14:paraId="56FC73E3"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23</w:t>
            </w:r>
          </w:p>
        </w:tc>
        <w:tc>
          <w:tcPr>
            <w:tcW w:w="1684" w:type="dxa"/>
            <w:vAlign w:val="bottom"/>
          </w:tcPr>
          <w:p w14:paraId="2DF69CC3"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bookmarkEnd w:id="31"/>
      <w:tr w:rsidR="00411166" w:rsidRPr="00361493" w14:paraId="77927AE1" w14:textId="77777777">
        <w:trPr>
          <w:trHeight w:val="227"/>
        </w:trPr>
        <w:tc>
          <w:tcPr>
            <w:tcW w:w="3969" w:type="dxa"/>
            <w:noWrap/>
            <w:vAlign w:val="bottom"/>
          </w:tcPr>
          <w:p w14:paraId="445DC595"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Burkholderia glumae</w:t>
            </w:r>
          </w:p>
        </w:tc>
        <w:tc>
          <w:tcPr>
            <w:tcW w:w="1984" w:type="dxa"/>
            <w:noWrap/>
            <w:vAlign w:val="bottom"/>
          </w:tcPr>
          <w:p w14:paraId="5C71AF02"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c>
          <w:tcPr>
            <w:tcW w:w="1684" w:type="dxa"/>
            <w:vAlign w:val="bottom"/>
          </w:tcPr>
          <w:p w14:paraId="1053BD51"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5</w:t>
            </w:r>
          </w:p>
        </w:tc>
      </w:tr>
      <w:tr w:rsidR="00411166" w:rsidRPr="00361493" w14:paraId="7AF2B79A" w14:textId="77777777">
        <w:trPr>
          <w:trHeight w:val="227"/>
        </w:trPr>
        <w:tc>
          <w:tcPr>
            <w:tcW w:w="3969" w:type="dxa"/>
            <w:noWrap/>
            <w:vAlign w:val="bottom"/>
          </w:tcPr>
          <w:p w14:paraId="4980FB41"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Erwinia amylovora</w:t>
            </w:r>
          </w:p>
        </w:tc>
        <w:tc>
          <w:tcPr>
            <w:tcW w:w="1984" w:type="dxa"/>
            <w:noWrap/>
            <w:vAlign w:val="bottom"/>
          </w:tcPr>
          <w:p w14:paraId="7433CDA4"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c>
          <w:tcPr>
            <w:tcW w:w="1684" w:type="dxa"/>
            <w:vAlign w:val="bottom"/>
          </w:tcPr>
          <w:p w14:paraId="02651567"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10</w:t>
            </w:r>
          </w:p>
        </w:tc>
      </w:tr>
      <w:tr w:rsidR="00411166" w:rsidRPr="00361493" w14:paraId="0224CD78" w14:textId="77777777">
        <w:trPr>
          <w:trHeight w:val="340"/>
        </w:trPr>
        <w:tc>
          <w:tcPr>
            <w:tcW w:w="3969" w:type="dxa"/>
            <w:noWrap/>
            <w:vAlign w:val="bottom"/>
            <w:hideMark/>
          </w:tcPr>
          <w:p w14:paraId="4C7A8F13" w14:textId="77777777" w:rsidR="00411166" w:rsidRPr="00361493" w:rsidRDefault="00411166">
            <w:pPr>
              <w:spacing w:after="0" w:line="240" w:lineRule="auto"/>
              <w:ind w:left="321" w:right="0"/>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Fungus - 37 species</w:t>
            </w:r>
          </w:p>
        </w:tc>
        <w:tc>
          <w:tcPr>
            <w:tcW w:w="1984" w:type="dxa"/>
            <w:noWrap/>
            <w:vAlign w:val="bottom"/>
            <w:hideMark/>
          </w:tcPr>
          <w:p w14:paraId="14CFADB0"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681</w:t>
            </w:r>
          </w:p>
        </w:tc>
        <w:tc>
          <w:tcPr>
            <w:tcW w:w="1684" w:type="dxa"/>
            <w:vAlign w:val="bottom"/>
          </w:tcPr>
          <w:p w14:paraId="7E46EDFC"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168</w:t>
            </w:r>
          </w:p>
        </w:tc>
      </w:tr>
      <w:tr w:rsidR="00411166" w:rsidRPr="00361493" w14:paraId="6BD0F0AC" w14:textId="77777777">
        <w:trPr>
          <w:trHeight w:val="227"/>
        </w:trPr>
        <w:tc>
          <w:tcPr>
            <w:tcW w:w="3969" w:type="dxa"/>
            <w:noWrap/>
            <w:vAlign w:val="bottom"/>
          </w:tcPr>
          <w:p w14:paraId="58EB1DE1"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Pyrenophora tritici-repentis</w:t>
            </w:r>
          </w:p>
        </w:tc>
        <w:tc>
          <w:tcPr>
            <w:tcW w:w="1984" w:type="dxa"/>
            <w:noWrap/>
            <w:vAlign w:val="bottom"/>
          </w:tcPr>
          <w:p w14:paraId="4EE61DCD"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138</w:t>
            </w:r>
          </w:p>
        </w:tc>
        <w:tc>
          <w:tcPr>
            <w:tcW w:w="1684" w:type="dxa"/>
            <w:vAlign w:val="center"/>
          </w:tcPr>
          <w:p w14:paraId="6D1222E1"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r>
      <w:tr w:rsidR="00411166" w:rsidRPr="00361493" w14:paraId="05791DB7" w14:textId="77777777">
        <w:trPr>
          <w:trHeight w:val="227"/>
        </w:trPr>
        <w:tc>
          <w:tcPr>
            <w:tcW w:w="3969" w:type="dxa"/>
            <w:noWrap/>
            <w:vAlign w:val="bottom"/>
          </w:tcPr>
          <w:p w14:paraId="49ADD5B8"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Magnaporthe oryzae</w:t>
            </w:r>
          </w:p>
        </w:tc>
        <w:tc>
          <w:tcPr>
            <w:tcW w:w="1984" w:type="dxa"/>
            <w:noWrap/>
            <w:vAlign w:val="bottom"/>
          </w:tcPr>
          <w:p w14:paraId="2CECC897"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104</w:t>
            </w:r>
          </w:p>
        </w:tc>
        <w:tc>
          <w:tcPr>
            <w:tcW w:w="1684" w:type="dxa"/>
            <w:vAlign w:val="center"/>
          </w:tcPr>
          <w:p w14:paraId="12D80D0B"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35</w:t>
            </w:r>
          </w:p>
        </w:tc>
      </w:tr>
      <w:tr w:rsidR="00411166" w:rsidRPr="00361493" w14:paraId="147943D6" w14:textId="77777777">
        <w:trPr>
          <w:trHeight w:val="227"/>
        </w:trPr>
        <w:tc>
          <w:tcPr>
            <w:tcW w:w="3969" w:type="dxa"/>
            <w:noWrap/>
            <w:vAlign w:val="bottom"/>
          </w:tcPr>
          <w:p w14:paraId="1275AA3C"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Colletotrichum orbiculare</w:t>
            </w:r>
          </w:p>
        </w:tc>
        <w:tc>
          <w:tcPr>
            <w:tcW w:w="1984" w:type="dxa"/>
            <w:noWrap/>
            <w:vAlign w:val="bottom"/>
          </w:tcPr>
          <w:p w14:paraId="47106E7A"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65</w:t>
            </w:r>
          </w:p>
        </w:tc>
        <w:tc>
          <w:tcPr>
            <w:tcW w:w="1684" w:type="dxa"/>
            <w:vAlign w:val="center"/>
          </w:tcPr>
          <w:p w14:paraId="5C6B1E61"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r>
      <w:tr w:rsidR="00411166" w:rsidRPr="00361493" w14:paraId="60452032" w14:textId="77777777">
        <w:trPr>
          <w:trHeight w:val="227"/>
        </w:trPr>
        <w:tc>
          <w:tcPr>
            <w:tcW w:w="3969" w:type="dxa"/>
            <w:noWrap/>
            <w:vAlign w:val="bottom"/>
          </w:tcPr>
          <w:p w14:paraId="0B2C1EFE"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Fulvia fulva</w:t>
            </w:r>
          </w:p>
        </w:tc>
        <w:tc>
          <w:tcPr>
            <w:tcW w:w="1984" w:type="dxa"/>
            <w:noWrap/>
            <w:vAlign w:val="bottom"/>
          </w:tcPr>
          <w:p w14:paraId="36ADBD3B"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64</w:t>
            </w:r>
          </w:p>
        </w:tc>
        <w:tc>
          <w:tcPr>
            <w:tcW w:w="1684" w:type="dxa"/>
            <w:vAlign w:val="center"/>
          </w:tcPr>
          <w:p w14:paraId="42415ACC"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9</w:t>
            </w:r>
          </w:p>
        </w:tc>
      </w:tr>
      <w:tr w:rsidR="00411166" w:rsidRPr="00361493" w14:paraId="4E87C44E" w14:textId="77777777">
        <w:trPr>
          <w:trHeight w:val="227"/>
        </w:trPr>
        <w:tc>
          <w:tcPr>
            <w:tcW w:w="3969" w:type="dxa"/>
            <w:noWrap/>
            <w:vAlign w:val="bottom"/>
          </w:tcPr>
          <w:p w14:paraId="56F10111"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Fusarium oxysporum</w:t>
            </w:r>
          </w:p>
        </w:tc>
        <w:tc>
          <w:tcPr>
            <w:tcW w:w="1984" w:type="dxa"/>
            <w:noWrap/>
            <w:vAlign w:val="bottom"/>
          </w:tcPr>
          <w:p w14:paraId="76C2E062"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39</w:t>
            </w:r>
          </w:p>
        </w:tc>
        <w:tc>
          <w:tcPr>
            <w:tcW w:w="1684" w:type="dxa"/>
            <w:vAlign w:val="center"/>
          </w:tcPr>
          <w:p w14:paraId="2D270F6E"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19</w:t>
            </w:r>
          </w:p>
        </w:tc>
      </w:tr>
      <w:tr w:rsidR="00411166" w:rsidRPr="00361493" w14:paraId="09673EED" w14:textId="77777777">
        <w:trPr>
          <w:trHeight w:val="227"/>
        </w:trPr>
        <w:tc>
          <w:tcPr>
            <w:tcW w:w="3969" w:type="dxa"/>
            <w:noWrap/>
            <w:vAlign w:val="bottom"/>
          </w:tcPr>
          <w:p w14:paraId="4982B9E7"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Verticillium dahliae</w:t>
            </w:r>
          </w:p>
        </w:tc>
        <w:tc>
          <w:tcPr>
            <w:tcW w:w="1984" w:type="dxa"/>
            <w:noWrap/>
            <w:vAlign w:val="bottom"/>
          </w:tcPr>
          <w:p w14:paraId="3722BD64"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32</w:t>
            </w:r>
          </w:p>
        </w:tc>
        <w:tc>
          <w:tcPr>
            <w:tcW w:w="1684" w:type="dxa"/>
            <w:vAlign w:val="center"/>
          </w:tcPr>
          <w:p w14:paraId="4AC88370"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9</w:t>
            </w:r>
          </w:p>
        </w:tc>
      </w:tr>
      <w:tr w:rsidR="00411166" w:rsidRPr="00361493" w14:paraId="4F5C297B" w14:textId="77777777">
        <w:trPr>
          <w:trHeight w:val="227"/>
        </w:trPr>
        <w:tc>
          <w:tcPr>
            <w:tcW w:w="3969" w:type="dxa"/>
            <w:noWrap/>
            <w:vAlign w:val="bottom"/>
          </w:tcPr>
          <w:p w14:paraId="58E5B867"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Ustilago maydis</w:t>
            </w:r>
          </w:p>
        </w:tc>
        <w:tc>
          <w:tcPr>
            <w:tcW w:w="1984" w:type="dxa"/>
            <w:noWrap/>
            <w:vAlign w:val="bottom"/>
          </w:tcPr>
          <w:p w14:paraId="7FE02AFE"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30</w:t>
            </w:r>
          </w:p>
        </w:tc>
        <w:tc>
          <w:tcPr>
            <w:tcW w:w="1684" w:type="dxa"/>
            <w:vAlign w:val="center"/>
          </w:tcPr>
          <w:p w14:paraId="55DE61D6"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16</w:t>
            </w:r>
          </w:p>
        </w:tc>
      </w:tr>
      <w:tr w:rsidR="00411166" w:rsidRPr="00361493" w14:paraId="238F7BC6" w14:textId="77777777">
        <w:trPr>
          <w:trHeight w:val="227"/>
        </w:trPr>
        <w:tc>
          <w:tcPr>
            <w:tcW w:w="3969" w:type="dxa"/>
            <w:noWrap/>
            <w:vAlign w:val="bottom"/>
          </w:tcPr>
          <w:p w14:paraId="1DB02C40"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Rhynchosporium commune</w:t>
            </w:r>
          </w:p>
        </w:tc>
        <w:tc>
          <w:tcPr>
            <w:tcW w:w="1984" w:type="dxa"/>
            <w:noWrap/>
            <w:vAlign w:val="bottom"/>
          </w:tcPr>
          <w:p w14:paraId="0A9E618E"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21</w:t>
            </w:r>
          </w:p>
        </w:tc>
        <w:tc>
          <w:tcPr>
            <w:tcW w:w="1684" w:type="dxa"/>
            <w:vAlign w:val="center"/>
          </w:tcPr>
          <w:p w14:paraId="791130F1"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r>
      <w:tr w:rsidR="00411166" w:rsidRPr="00361493" w14:paraId="67B217E8" w14:textId="77777777">
        <w:trPr>
          <w:trHeight w:val="227"/>
        </w:trPr>
        <w:tc>
          <w:tcPr>
            <w:tcW w:w="3969" w:type="dxa"/>
            <w:noWrap/>
            <w:vAlign w:val="bottom"/>
          </w:tcPr>
          <w:p w14:paraId="528C15E6"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Zymoseptoria tritici</w:t>
            </w:r>
          </w:p>
        </w:tc>
        <w:tc>
          <w:tcPr>
            <w:tcW w:w="1984" w:type="dxa"/>
            <w:noWrap/>
            <w:vAlign w:val="bottom"/>
          </w:tcPr>
          <w:p w14:paraId="6330F085"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17</w:t>
            </w:r>
          </w:p>
        </w:tc>
        <w:tc>
          <w:tcPr>
            <w:tcW w:w="1684" w:type="dxa"/>
            <w:vAlign w:val="center"/>
          </w:tcPr>
          <w:p w14:paraId="67880198"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6</w:t>
            </w:r>
          </w:p>
        </w:tc>
      </w:tr>
      <w:tr w:rsidR="00411166" w:rsidRPr="00361493" w14:paraId="05FF0040" w14:textId="77777777">
        <w:trPr>
          <w:trHeight w:val="227"/>
        </w:trPr>
        <w:tc>
          <w:tcPr>
            <w:tcW w:w="3969" w:type="dxa"/>
            <w:noWrap/>
            <w:vAlign w:val="bottom"/>
          </w:tcPr>
          <w:p w14:paraId="364C0A81"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Ustilaginoidea virens</w:t>
            </w:r>
          </w:p>
        </w:tc>
        <w:tc>
          <w:tcPr>
            <w:tcW w:w="1984" w:type="dxa"/>
            <w:noWrap/>
            <w:vAlign w:val="bottom"/>
          </w:tcPr>
          <w:p w14:paraId="1E3BCDEF"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c>
          <w:tcPr>
            <w:tcW w:w="1684" w:type="dxa"/>
            <w:vAlign w:val="center"/>
          </w:tcPr>
          <w:p w14:paraId="7757FFD8"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3</w:t>
            </w:r>
          </w:p>
        </w:tc>
      </w:tr>
      <w:tr w:rsidR="00411166" w:rsidRPr="00361493" w14:paraId="4CC0E41C" w14:textId="77777777">
        <w:trPr>
          <w:trHeight w:val="227"/>
        </w:trPr>
        <w:tc>
          <w:tcPr>
            <w:tcW w:w="3969" w:type="dxa"/>
            <w:noWrap/>
            <w:vAlign w:val="bottom"/>
          </w:tcPr>
          <w:p w14:paraId="22B9579E"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Leptosphaeria maculans</w:t>
            </w:r>
          </w:p>
        </w:tc>
        <w:tc>
          <w:tcPr>
            <w:tcW w:w="1984" w:type="dxa"/>
            <w:noWrap/>
            <w:vAlign w:val="bottom"/>
          </w:tcPr>
          <w:p w14:paraId="3B62FD00"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c>
          <w:tcPr>
            <w:tcW w:w="1684" w:type="dxa"/>
            <w:vAlign w:val="center"/>
          </w:tcPr>
          <w:p w14:paraId="5F90B01B"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76BAE36F" w14:textId="77777777">
        <w:trPr>
          <w:trHeight w:val="340"/>
        </w:trPr>
        <w:tc>
          <w:tcPr>
            <w:tcW w:w="3969" w:type="dxa"/>
            <w:noWrap/>
            <w:vAlign w:val="bottom"/>
            <w:hideMark/>
          </w:tcPr>
          <w:p w14:paraId="1EFBDA05" w14:textId="77777777" w:rsidR="00411166" w:rsidRPr="00361493" w:rsidRDefault="00411166">
            <w:pPr>
              <w:spacing w:after="0" w:line="240" w:lineRule="auto"/>
              <w:ind w:left="321" w:right="0"/>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Obligate biotrophic fungi: 6 species</w:t>
            </w:r>
          </w:p>
        </w:tc>
        <w:tc>
          <w:tcPr>
            <w:tcW w:w="1984" w:type="dxa"/>
            <w:noWrap/>
            <w:vAlign w:val="bottom"/>
            <w:hideMark/>
          </w:tcPr>
          <w:p w14:paraId="3EE7AF1C"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89</w:t>
            </w:r>
          </w:p>
        </w:tc>
        <w:tc>
          <w:tcPr>
            <w:tcW w:w="1684" w:type="dxa"/>
            <w:vAlign w:val="bottom"/>
          </w:tcPr>
          <w:p w14:paraId="59358EFA"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24</w:t>
            </w:r>
          </w:p>
        </w:tc>
      </w:tr>
      <w:tr w:rsidR="00411166" w:rsidRPr="00361493" w14:paraId="149DBA91" w14:textId="77777777">
        <w:trPr>
          <w:trHeight w:val="227"/>
        </w:trPr>
        <w:tc>
          <w:tcPr>
            <w:tcW w:w="3969" w:type="dxa"/>
            <w:noWrap/>
            <w:vAlign w:val="bottom"/>
            <w:hideMark/>
          </w:tcPr>
          <w:p w14:paraId="7AB418A0"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 xml:space="preserve">Puccinia </w:t>
            </w:r>
            <w:r w:rsidRPr="00361493">
              <w:rPr>
                <w:rFonts w:ascii="Calibri" w:eastAsia="Calibri" w:hAnsi="Calibri" w:cs="Calibri"/>
                <w:color w:val="000000"/>
                <w:sz w:val="20"/>
                <w:szCs w:val="20"/>
                <w:lang w:val="en-US" w:eastAsia="en-GB"/>
              </w:rPr>
              <w:t xml:space="preserve">species </w:t>
            </w:r>
          </w:p>
        </w:tc>
        <w:tc>
          <w:tcPr>
            <w:tcW w:w="1984" w:type="dxa"/>
            <w:noWrap/>
            <w:vAlign w:val="bottom"/>
            <w:hideMark/>
          </w:tcPr>
          <w:p w14:paraId="6A21A357"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38</w:t>
            </w:r>
          </w:p>
        </w:tc>
        <w:tc>
          <w:tcPr>
            <w:tcW w:w="1684" w:type="dxa"/>
            <w:vAlign w:val="bottom"/>
          </w:tcPr>
          <w:p w14:paraId="27842C21"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8</w:t>
            </w:r>
          </w:p>
        </w:tc>
      </w:tr>
      <w:tr w:rsidR="00411166" w:rsidRPr="00361493" w14:paraId="1FD5ED78" w14:textId="77777777">
        <w:trPr>
          <w:trHeight w:val="227"/>
        </w:trPr>
        <w:tc>
          <w:tcPr>
            <w:tcW w:w="3969" w:type="dxa"/>
            <w:noWrap/>
            <w:vAlign w:val="bottom"/>
            <w:hideMark/>
          </w:tcPr>
          <w:p w14:paraId="020B1895"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 xml:space="preserve">Melampsora </w:t>
            </w:r>
            <w:r w:rsidRPr="00361493">
              <w:rPr>
                <w:rFonts w:ascii="Calibri" w:eastAsia="Calibri" w:hAnsi="Calibri" w:cs="Calibri"/>
                <w:color w:val="000000"/>
                <w:sz w:val="20"/>
                <w:szCs w:val="20"/>
                <w:lang w:val="en-US" w:eastAsia="en-GB"/>
              </w:rPr>
              <w:t>species</w:t>
            </w:r>
          </w:p>
        </w:tc>
        <w:tc>
          <w:tcPr>
            <w:tcW w:w="1984" w:type="dxa"/>
            <w:noWrap/>
            <w:vAlign w:val="bottom"/>
            <w:hideMark/>
          </w:tcPr>
          <w:p w14:paraId="7EBABFAD"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36</w:t>
            </w:r>
          </w:p>
        </w:tc>
        <w:tc>
          <w:tcPr>
            <w:tcW w:w="1684" w:type="dxa"/>
            <w:vAlign w:val="bottom"/>
          </w:tcPr>
          <w:p w14:paraId="5D584EDA"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453E94B0" w14:textId="77777777">
        <w:trPr>
          <w:trHeight w:val="227"/>
        </w:trPr>
        <w:tc>
          <w:tcPr>
            <w:tcW w:w="3969" w:type="dxa"/>
            <w:noWrap/>
            <w:vAlign w:val="bottom"/>
            <w:hideMark/>
          </w:tcPr>
          <w:p w14:paraId="6D03DA20"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 xml:space="preserve">Blumeria </w:t>
            </w:r>
            <w:r w:rsidRPr="00361493">
              <w:rPr>
                <w:rFonts w:ascii="Calibri" w:eastAsia="Calibri" w:hAnsi="Calibri" w:cs="Calibri"/>
                <w:color w:val="000000"/>
                <w:sz w:val="20"/>
                <w:szCs w:val="20"/>
                <w:lang w:val="en-US" w:eastAsia="en-GB"/>
              </w:rPr>
              <w:t>species</w:t>
            </w:r>
          </w:p>
        </w:tc>
        <w:tc>
          <w:tcPr>
            <w:tcW w:w="1984" w:type="dxa"/>
            <w:noWrap/>
            <w:vAlign w:val="bottom"/>
            <w:hideMark/>
          </w:tcPr>
          <w:p w14:paraId="47D3ED0B"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14</w:t>
            </w:r>
          </w:p>
        </w:tc>
        <w:tc>
          <w:tcPr>
            <w:tcW w:w="1684" w:type="dxa"/>
            <w:vAlign w:val="bottom"/>
          </w:tcPr>
          <w:p w14:paraId="28399CBC"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8</w:t>
            </w:r>
          </w:p>
        </w:tc>
      </w:tr>
      <w:tr w:rsidR="00411166" w:rsidRPr="00361493" w14:paraId="53253242" w14:textId="77777777">
        <w:trPr>
          <w:trHeight w:val="340"/>
        </w:trPr>
        <w:tc>
          <w:tcPr>
            <w:tcW w:w="3969" w:type="dxa"/>
            <w:noWrap/>
            <w:vAlign w:val="bottom"/>
            <w:hideMark/>
          </w:tcPr>
          <w:p w14:paraId="0CDB0D37"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b/>
                <w:bCs/>
                <w:color w:val="000000"/>
                <w:sz w:val="20"/>
                <w:szCs w:val="20"/>
                <w:lang w:val="en-US" w:eastAsia="en-GB"/>
              </w:rPr>
              <w:t>Protists: 10 species</w:t>
            </w:r>
          </w:p>
        </w:tc>
        <w:tc>
          <w:tcPr>
            <w:tcW w:w="1984" w:type="dxa"/>
            <w:noWrap/>
            <w:vAlign w:val="bottom"/>
            <w:hideMark/>
          </w:tcPr>
          <w:p w14:paraId="4A96B253"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b/>
                <w:bCs/>
                <w:color w:val="000000"/>
                <w:sz w:val="20"/>
                <w:szCs w:val="20"/>
                <w:lang w:val="en-US" w:eastAsia="en-GB"/>
              </w:rPr>
              <w:t>334</w:t>
            </w:r>
          </w:p>
        </w:tc>
        <w:tc>
          <w:tcPr>
            <w:tcW w:w="1684" w:type="dxa"/>
            <w:vAlign w:val="bottom"/>
          </w:tcPr>
          <w:p w14:paraId="1243EE9A"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124</w:t>
            </w:r>
          </w:p>
        </w:tc>
      </w:tr>
      <w:tr w:rsidR="00411166" w:rsidRPr="00361493" w14:paraId="25548DE4" w14:textId="77777777">
        <w:trPr>
          <w:trHeight w:val="227"/>
        </w:trPr>
        <w:tc>
          <w:tcPr>
            <w:tcW w:w="3969" w:type="dxa"/>
            <w:noWrap/>
            <w:vAlign w:val="bottom"/>
            <w:hideMark/>
          </w:tcPr>
          <w:p w14:paraId="5505DD2D"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Hyaloperonospora arabidopsidis</w:t>
            </w:r>
          </w:p>
        </w:tc>
        <w:tc>
          <w:tcPr>
            <w:tcW w:w="1984" w:type="dxa"/>
            <w:noWrap/>
            <w:vAlign w:val="bottom"/>
            <w:hideMark/>
          </w:tcPr>
          <w:p w14:paraId="5D02E0F6"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127</w:t>
            </w:r>
          </w:p>
        </w:tc>
        <w:tc>
          <w:tcPr>
            <w:tcW w:w="1684" w:type="dxa"/>
            <w:vAlign w:val="bottom"/>
          </w:tcPr>
          <w:p w14:paraId="527D207F"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45</w:t>
            </w:r>
          </w:p>
        </w:tc>
      </w:tr>
      <w:tr w:rsidR="00411166" w:rsidRPr="00361493" w14:paraId="64C3C578" w14:textId="77777777">
        <w:trPr>
          <w:trHeight w:val="227"/>
        </w:trPr>
        <w:tc>
          <w:tcPr>
            <w:tcW w:w="3969" w:type="dxa"/>
            <w:noWrap/>
            <w:vAlign w:val="bottom"/>
            <w:hideMark/>
          </w:tcPr>
          <w:p w14:paraId="37D430EE"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Phytophthora sojae</w:t>
            </w:r>
          </w:p>
        </w:tc>
        <w:tc>
          <w:tcPr>
            <w:tcW w:w="1984" w:type="dxa"/>
            <w:noWrap/>
            <w:vAlign w:val="bottom"/>
            <w:hideMark/>
          </w:tcPr>
          <w:p w14:paraId="6265F0C7"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79</w:t>
            </w:r>
          </w:p>
        </w:tc>
        <w:tc>
          <w:tcPr>
            <w:tcW w:w="1684" w:type="dxa"/>
            <w:vAlign w:val="bottom"/>
          </w:tcPr>
          <w:p w14:paraId="7BD2E5B8"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30</w:t>
            </w:r>
          </w:p>
        </w:tc>
      </w:tr>
      <w:tr w:rsidR="00411166" w:rsidRPr="00361493" w14:paraId="5410CCE9" w14:textId="77777777">
        <w:trPr>
          <w:trHeight w:val="227"/>
        </w:trPr>
        <w:tc>
          <w:tcPr>
            <w:tcW w:w="3969" w:type="dxa"/>
            <w:noWrap/>
            <w:vAlign w:val="bottom"/>
            <w:hideMark/>
          </w:tcPr>
          <w:p w14:paraId="457B6FB9"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Phytophthora capsici</w:t>
            </w:r>
          </w:p>
        </w:tc>
        <w:tc>
          <w:tcPr>
            <w:tcW w:w="1984" w:type="dxa"/>
            <w:noWrap/>
            <w:vAlign w:val="bottom"/>
            <w:hideMark/>
          </w:tcPr>
          <w:p w14:paraId="2B79F1F6"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57</w:t>
            </w:r>
          </w:p>
        </w:tc>
        <w:tc>
          <w:tcPr>
            <w:tcW w:w="1684" w:type="dxa"/>
            <w:vAlign w:val="bottom"/>
          </w:tcPr>
          <w:p w14:paraId="00443779"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13</w:t>
            </w:r>
          </w:p>
        </w:tc>
      </w:tr>
      <w:tr w:rsidR="00411166" w:rsidRPr="00361493" w14:paraId="309302FC" w14:textId="77777777">
        <w:trPr>
          <w:trHeight w:val="227"/>
        </w:trPr>
        <w:tc>
          <w:tcPr>
            <w:tcW w:w="3969" w:type="dxa"/>
            <w:noWrap/>
            <w:vAlign w:val="bottom"/>
            <w:hideMark/>
          </w:tcPr>
          <w:p w14:paraId="2391EA14"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Phytophthora infestans</w:t>
            </w:r>
          </w:p>
        </w:tc>
        <w:tc>
          <w:tcPr>
            <w:tcW w:w="1984" w:type="dxa"/>
            <w:noWrap/>
            <w:vAlign w:val="bottom"/>
            <w:hideMark/>
          </w:tcPr>
          <w:p w14:paraId="2FCDC48D"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color w:val="000000"/>
                <w:sz w:val="20"/>
                <w:szCs w:val="20"/>
                <w:lang w:val="en-US" w:eastAsia="en-GB"/>
              </w:rPr>
              <w:t>47</w:t>
            </w:r>
          </w:p>
        </w:tc>
        <w:tc>
          <w:tcPr>
            <w:tcW w:w="1684" w:type="dxa"/>
            <w:vAlign w:val="bottom"/>
          </w:tcPr>
          <w:p w14:paraId="03FA3369"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24</w:t>
            </w:r>
          </w:p>
        </w:tc>
      </w:tr>
      <w:tr w:rsidR="00411166" w:rsidRPr="00361493" w14:paraId="3A946F64" w14:textId="77777777">
        <w:trPr>
          <w:trHeight w:val="340"/>
        </w:trPr>
        <w:tc>
          <w:tcPr>
            <w:tcW w:w="3969" w:type="dxa"/>
            <w:noWrap/>
            <w:vAlign w:val="bottom"/>
            <w:hideMark/>
          </w:tcPr>
          <w:p w14:paraId="12E64E19"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b/>
                <w:bCs/>
                <w:color w:val="000000"/>
                <w:sz w:val="20"/>
                <w:szCs w:val="20"/>
                <w:lang w:val="en-US" w:eastAsia="en-GB"/>
              </w:rPr>
              <w:t>Nematode and insects: 6 species</w:t>
            </w:r>
          </w:p>
        </w:tc>
        <w:tc>
          <w:tcPr>
            <w:tcW w:w="1984" w:type="dxa"/>
            <w:noWrap/>
            <w:vAlign w:val="bottom"/>
            <w:hideMark/>
          </w:tcPr>
          <w:p w14:paraId="284ED2AD"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b/>
                <w:bCs/>
                <w:color w:val="000000"/>
                <w:sz w:val="20"/>
                <w:szCs w:val="20"/>
                <w:lang w:val="en-US" w:eastAsia="en-GB"/>
              </w:rPr>
              <w:t>21</w:t>
            </w:r>
          </w:p>
        </w:tc>
        <w:tc>
          <w:tcPr>
            <w:tcW w:w="1684" w:type="dxa"/>
            <w:vAlign w:val="bottom"/>
          </w:tcPr>
          <w:p w14:paraId="72F4F629"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8</w:t>
            </w:r>
          </w:p>
        </w:tc>
      </w:tr>
      <w:tr w:rsidR="00411166" w:rsidRPr="00361493" w14:paraId="2CBAE2E1" w14:textId="77777777">
        <w:trPr>
          <w:trHeight w:val="567"/>
        </w:trPr>
        <w:tc>
          <w:tcPr>
            <w:tcW w:w="3969" w:type="dxa"/>
            <w:noWrap/>
            <w:vAlign w:val="bottom"/>
            <w:hideMark/>
          </w:tcPr>
          <w:p w14:paraId="6B8229C4" w14:textId="77777777" w:rsidR="00411166" w:rsidRPr="00361493" w:rsidRDefault="00411166">
            <w:pPr>
              <w:spacing w:after="0" w:line="240" w:lineRule="auto"/>
              <w:ind w:right="0"/>
              <w:rPr>
                <w:rFonts w:ascii="Calibri" w:eastAsia="Times New Roman" w:hAnsi="Calibri" w:cs="Calibri"/>
                <w:color w:val="000000"/>
                <w:sz w:val="20"/>
                <w:szCs w:val="20"/>
                <w:lang w:val="en-US" w:eastAsia="en-GB"/>
              </w:rPr>
            </w:pPr>
            <w:r w:rsidRPr="00361493">
              <w:rPr>
                <w:rFonts w:ascii="Calibri" w:eastAsia="Calibri" w:hAnsi="Calibri" w:cs="Calibri"/>
                <w:b/>
                <w:bCs/>
                <w:color w:val="000000"/>
                <w:sz w:val="20"/>
                <w:szCs w:val="20"/>
                <w:lang w:val="en-US" w:eastAsia="en-GB"/>
              </w:rPr>
              <w:t>HUMAN / VERTEBRATE / INVERTEBRATE PATHOGENS - 33 species</w:t>
            </w:r>
          </w:p>
        </w:tc>
        <w:tc>
          <w:tcPr>
            <w:tcW w:w="1984" w:type="dxa"/>
            <w:noWrap/>
            <w:vAlign w:val="bottom"/>
            <w:hideMark/>
          </w:tcPr>
          <w:p w14:paraId="7B892741" w14:textId="77777777" w:rsidR="00411166" w:rsidRPr="00361493" w:rsidRDefault="00411166">
            <w:pPr>
              <w:spacing w:after="0" w:line="240" w:lineRule="auto"/>
              <w:ind w:right="0"/>
              <w:jc w:val="center"/>
              <w:rPr>
                <w:rFonts w:ascii="Calibri" w:eastAsia="Times New Roman" w:hAnsi="Calibri" w:cs="Calibri"/>
                <w:color w:val="000000"/>
                <w:sz w:val="20"/>
                <w:szCs w:val="20"/>
                <w:highlight w:val="yellow"/>
                <w:lang w:val="en-US" w:eastAsia="en-GB"/>
              </w:rPr>
            </w:pPr>
            <w:r w:rsidRPr="00361493">
              <w:rPr>
                <w:rFonts w:ascii="Calibri" w:eastAsia="Calibri" w:hAnsi="Calibri" w:cs="Calibri"/>
                <w:b/>
                <w:bCs/>
                <w:color w:val="000000"/>
                <w:sz w:val="20"/>
                <w:szCs w:val="20"/>
                <w:lang w:val="en-US" w:eastAsia="en-GB"/>
              </w:rPr>
              <w:t>Interactions - 419</w:t>
            </w:r>
          </w:p>
        </w:tc>
        <w:tc>
          <w:tcPr>
            <w:tcW w:w="1684" w:type="dxa"/>
            <w:vAlign w:val="bottom"/>
          </w:tcPr>
          <w:p w14:paraId="57B3EDE9"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Proteins*: 224</w:t>
            </w:r>
          </w:p>
        </w:tc>
      </w:tr>
      <w:tr w:rsidR="00411166" w:rsidRPr="00361493" w14:paraId="3EBC9780" w14:textId="77777777">
        <w:trPr>
          <w:trHeight w:val="284"/>
        </w:trPr>
        <w:tc>
          <w:tcPr>
            <w:tcW w:w="3969" w:type="dxa"/>
            <w:noWrap/>
            <w:vAlign w:val="bottom"/>
            <w:hideMark/>
          </w:tcPr>
          <w:p w14:paraId="189EA669"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b/>
                <w:bCs/>
                <w:color w:val="000000"/>
                <w:sz w:val="20"/>
                <w:szCs w:val="20"/>
                <w:lang w:val="en-US" w:eastAsia="en-GB"/>
              </w:rPr>
              <w:t>Bacteria - 31 species</w:t>
            </w:r>
          </w:p>
        </w:tc>
        <w:tc>
          <w:tcPr>
            <w:tcW w:w="1984" w:type="dxa"/>
            <w:noWrap/>
            <w:vAlign w:val="bottom"/>
            <w:hideMark/>
          </w:tcPr>
          <w:p w14:paraId="1962C75D" w14:textId="77777777" w:rsidR="00411166" w:rsidRPr="00361493" w:rsidRDefault="00411166">
            <w:pPr>
              <w:spacing w:after="0" w:line="240" w:lineRule="auto"/>
              <w:ind w:right="0"/>
              <w:jc w:val="center"/>
              <w:rPr>
                <w:rFonts w:ascii="Calibri" w:eastAsia="Times New Roman"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379</w:t>
            </w:r>
          </w:p>
        </w:tc>
        <w:tc>
          <w:tcPr>
            <w:tcW w:w="1684" w:type="dxa"/>
            <w:vAlign w:val="bottom"/>
          </w:tcPr>
          <w:p w14:paraId="7D86FD9E" w14:textId="77777777" w:rsidR="00411166" w:rsidRPr="00361493" w:rsidRDefault="00411166">
            <w:pPr>
              <w:spacing w:after="0" w:line="240" w:lineRule="auto"/>
              <w:ind w:right="0"/>
              <w:jc w:val="center"/>
              <w:rPr>
                <w:rFonts w:ascii="Calibri" w:eastAsia="Times New Roman" w:hAnsi="Calibri" w:cs="Calibri"/>
                <w:b/>
                <w:bCs/>
                <w:color w:val="000000"/>
                <w:sz w:val="20"/>
                <w:szCs w:val="20"/>
                <w:lang w:val="en-US" w:eastAsia="en-GB"/>
              </w:rPr>
            </w:pPr>
            <w:r w:rsidRPr="00361493">
              <w:rPr>
                <w:rFonts w:ascii="Calibri" w:eastAsia="Calibri" w:hAnsi="Calibri" w:cs="Calibri"/>
                <w:b/>
                <w:bCs/>
                <w:color w:val="000000"/>
                <w:sz w:val="20"/>
                <w:szCs w:val="20"/>
                <w:lang w:val="en-US" w:eastAsia="en-GB"/>
              </w:rPr>
              <w:t>203</w:t>
            </w:r>
          </w:p>
        </w:tc>
      </w:tr>
      <w:tr w:rsidR="00411166" w:rsidRPr="00361493" w14:paraId="1BF9A10F" w14:textId="77777777">
        <w:trPr>
          <w:trHeight w:val="227"/>
        </w:trPr>
        <w:tc>
          <w:tcPr>
            <w:tcW w:w="3969" w:type="dxa"/>
            <w:noWrap/>
            <w:vAlign w:val="bottom"/>
            <w:hideMark/>
          </w:tcPr>
          <w:p w14:paraId="640CE223"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Salmonella enterica</w:t>
            </w:r>
          </w:p>
        </w:tc>
        <w:tc>
          <w:tcPr>
            <w:tcW w:w="1984" w:type="dxa"/>
            <w:noWrap/>
            <w:vAlign w:val="bottom"/>
            <w:hideMark/>
          </w:tcPr>
          <w:p w14:paraId="5D4C5458"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145</w:t>
            </w:r>
          </w:p>
        </w:tc>
        <w:tc>
          <w:tcPr>
            <w:tcW w:w="1684" w:type="dxa"/>
            <w:vAlign w:val="bottom"/>
          </w:tcPr>
          <w:p w14:paraId="544CA8EE"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90</w:t>
            </w:r>
          </w:p>
        </w:tc>
      </w:tr>
      <w:tr w:rsidR="00411166" w:rsidRPr="00361493" w14:paraId="72ABDDC5" w14:textId="77777777">
        <w:trPr>
          <w:trHeight w:val="227"/>
        </w:trPr>
        <w:tc>
          <w:tcPr>
            <w:tcW w:w="3969" w:type="dxa"/>
            <w:noWrap/>
            <w:vAlign w:val="bottom"/>
            <w:hideMark/>
          </w:tcPr>
          <w:p w14:paraId="52A473D2" w14:textId="77777777" w:rsidR="00411166" w:rsidRPr="00361493" w:rsidRDefault="00411166">
            <w:pPr>
              <w:spacing w:after="0" w:line="240" w:lineRule="auto"/>
              <w:ind w:left="321" w:right="0"/>
              <w:rPr>
                <w:rFonts w:ascii="Calibri" w:eastAsia="Times New Roman" w:hAnsi="Calibri" w:cs="Calibri"/>
                <w:color w:val="000000"/>
                <w:sz w:val="20"/>
                <w:szCs w:val="20"/>
                <w:lang w:val="en-US" w:eastAsia="en-GB"/>
              </w:rPr>
            </w:pPr>
            <w:r w:rsidRPr="00361493">
              <w:rPr>
                <w:rFonts w:ascii="Calibri" w:eastAsia="Calibri" w:hAnsi="Calibri" w:cs="Calibri"/>
                <w:i/>
                <w:iCs/>
                <w:color w:val="000000"/>
                <w:sz w:val="20"/>
                <w:szCs w:val="20"/>
                <w:lang w:val="en-US" w:eastAsia="en-GB"/>
              </w:rPr>
              <w:t>Coxiella burnetii</w:t>
            </w:r>
          </w:p>
        </w:tc>
        <w:tc>
          <w:tcPr>
            <w:tcW w:w="1984" w:type="dxa"/>
            <w:noWrap/>
            <w:vAlign w:val="bottom"/>
            <w:hideMark/>
          </w:tcPr>
          <w:p w14:paraId="09FC220C"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46</w:t>
            </w:r>
          </w:p>
        </w:tc>
        <w:tc>
          <w:tcPr>
            <w:tcW w:w="1684" w:type="dxa"/>
            <w:vAlign w:val="bottom"/>
          </w:tcPr>
          <w:p w14:paraId="28B2E946"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11</w:t>
            </w:r>
          </w:p>
        </w:tc>
      </w:tr>
      <w:tr w:rsidR="00411166" w:rsidRPr="00361493" w14:paraId="78ED08BC" w14:textId="77777777">
        <w:trPr>
          <w:trHeight w:val="227"/>
        </w:trPr>
        <w:tc>
          <w:tcPr>
            <w:tcW w:w="3969" w:type="dxa"/>
            <w:noWrap/>
            <w:vAlign w:val="bottom"/>
            <w:hideMark/>
          </w:tcPr>
          <w:p w14:paraId="4667C960"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Legionella pneumophila</w:t>
            </w:r>
          </w:p>
        </w:tc>
        <w:tc>
          <w:tcPr>
            <w:tcW w:w="1984" w:type="dxa"/>
            <w:noWrap/>
            <w:vAlign w:val="bottom"/>
            <w:hideMark/>
          </w:tcPr>
          <w:p w14:paraId="16A536A1"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30</w:t>
            </w:r>
          </w:p>
        </w:tc>
        <w:tc>
          <w:tcPr>
            <w:tcW w:w="1684" w:type="dxa"/>
            <w:vAlign w:val="bottom"/>
          </w:tcPr>
          <w:p w14:paraId="5B2D6E4B"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15</w:t>
            </w:r>
          </w:p>
        </w:tc>
      </w:tr>
      <w:tr w:rsidR="00411166" w:rsidRPr="00361493" w14:paraId="776F0C41" w14:textId="77777777">
        <w:trPr>
          <w:trHeight w:val="227"/>
        </w:trPr>
        <w:tc>
          <w:tcPr>
            <w:tcW w:w="3969" w:type="dxa"/>
            <w:noWrap/>
            <w:vAlign w:val="bottom"/>
            <w:hideMark/>
          </w:tcPr>
          <w:p w14:paraId="38751E2A"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Acinetobacter nosocomialis</w:t>
            </w:r>
          </w:p>
        </w:tc>
        <w:tc>
          <w:tcPr>
            <w:tcW w:w="1984" w:type="dxa"/>
            <w:noWrap/>
            <w:vAlign w:val="bottom"/>
            <w:hideMark/>
          </w:tcPr>
          <w:p w14:paraId="0013137E"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30</w:t>
            </w:r>
          </w:p>
        </w:tc>
        <w:tc>
          <w:tcPr>
            <w:tcW w:w="1684" w:type="dxa"/>
            <w:vAlign w:val="bottom"/>
          </w:tcPr>
          <w:p w14:paraId="76DF8144"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r>
      <w:tr w:rsidR="00411166" w:rsidRPr="00361493" w14:paraId="799B1DDA" w14:textId="77777777">
        <w:trPr>
          <w:trHeight w:val="227"/>
        </w:trPr>
        <w:tc>
          <w:tcPr>
            <w:tcW w:w="3969" w:type="dxa"/>
            <w:noWrap/>
            <w:vAlign w:val="bottom"/>
            <w:hideMark/>
          </w:tcPr>
          <w:p w14:paraId="7A361F82"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Escherichia coli</w:t>
            </w:r>
          </w:p>
        </w:tc>
        <w:tc>
          <w:tcPr>
            <w:tcW w:w="1984" w:type="dxa"/>
            <w:noWrap/>
            <w:vAlign w:val="bottom"/>
            <w:hideMark/>
          </w:tcPr>
          <w:p w14:paraId="0963AED9"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23</w:t>
            </w:r>
          </w:p>
        </w:tc>
        <w:tc>
          <w:tcPr>
            <w:tcW w:w="1684" w:type="dxa"/>
            <w:vAlign w:val="bottom"/>
          </w:tcPr>
          <w:p w14:paraId="50376E9B"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16</w:t>
            </w:r>
          </w:p>
        </w:tc>
      </w:tr>
      <w:tr w:rsidR="00411166" w:rsidRPr="00361493" w14:paraId="6E408DA8" w14:textId="77777777">
        <w:trPr>
          <w:trHeight w:val="227"/>
        </w:trPr>
        <w:tc>
          <w:tcPr>
            <w:tcW w:w="3969" w:type="dxa"/>
            <w:noWrap/>
            <w:vAlign w:val="bottom"/>
            <w:hideMark/>
          </w:tcPr>
          <w:p w14:paraId="4ED52377"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Yersinia pestis</w:t>
            </w:r>
          </w:p>
        </w:tc>
        <w:tc>
          <w:tcPr>
            <w:tcW w:w="1984" w:type="dxa"/>
            <w:noWrap/>
            <w:vAlign w:val="bottom"/>
            <w:hideMark/>
          </w:tcPr>
          <w:p w14:paraId="61BE5C07"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16</w:t>
            </w:r>
          </w:p>
        </w:tc>
        <w:tc>
          <w:tcPr>
            <w:tcW w:w="1684" w:type="dxa"/>
            <w:vAlign w:val="bottom"/>
          </w:tcPr>
          <w:p w14:paraId="5EDD638A"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3963DF17" w14:textId="77777777">
        <w:trPr>
          <w:trHeight w:val="227"/>
        </w:trPr>
        <w:tc>
          <w:tcPr>
            <w:tcW w:w="3969" w:type="dxa"/>
            <w:noWrap/>
            <w:vAlign w:val="bottom"/>
          </w:tcPr>
          <w:p w14:paraId="3D874EC8"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Citrobacter rodentium</w:t>
            </w:r>
          </w:p>
        </w:tc>
        <w:tc>
          <w:tcPr>
            <w:tcW w:w="1984" w:type="dxa"/>
            <w:noWrap/>
            <w:vAlign w:val="bottom"/>
          </w:tcPr>
          <w:p w14:paraId="0AE6261A"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14</w:t>
            </w:r>
          </w:p>
        </w:tc>
        <w:tc>
          <w:tcPr>
            <w:tcW w:w="1684" w:type="dxa"/>
            <w:vAlign w:val="bottom"/>
          </w:tcPr>
          <w:p w14:paraId="3A5065F3"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189727B5" w14:textId="77777777">
        <w:trPr>
          <w:trHeight w:val="227"/>
        </w:trPr>
        <w:tc>
          <w:tcPr>
            <w:tcW w:w="3969" w:type="dxa"/>
            <w:noWrap/>
            <w:vAlign w:val="bottom"/>
          </w:tcPr>
          <w:p w14:paraId="47723798"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Francisella tularensis</w:t>
            </w:r>
          </w:p>
        </w:tc>
        <w:tc>
          <w:tcPr>
            <w:tcW w:w="1984" w:type="dxa"/>
            <w:noWrap/>
            <w:vAlign w:val="bottom"/>
          </w:tcPr>
          <w:p w14:paraId="03CB8B94"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11</w:t>
            </w:r>
          </w:p>
        </w:tc>
        <w:tc>
          <w:tcPr>
            <w:tcW w:w="1684" w:type="dxa"/>
            <w:vAlign w:val="bottom"/>
          </w:tcPr>
          <w:p w14:paraId="32B65993"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7</w:t>
            </w:r>
          </w:p>
        </w:tc>
      </w:tr>
      <w:tr w:rsidR="00411166" w:rsidRPr="00361493" w14:paraId="3B7A339A" w14:textId="77777777">
        <w:trPr>
          <w:trHeight w:val="227"/>
        </w:trPr>
        <w:tc>
          <w:tcPr>
            <w:tcW w:w="3969" w:type="dxa"/>
            <w:noWrap/>
            <w:vAlign w:val="bottom"/>
          </w:tcPr>
          <w:p w14:paraId="79DB1348"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Chlamydia trachomatis</w:t>
            </w:r>
          </w:p>
        </w:tc>
        <w:tc>
          <w:tcPr>
            <w:tcW w:w="1984" w:type="dxa"/>
            <w:noWrap/>
            <w:vAlign w:val="bottom"/>
          </w:tcPr>
          <w:p w14:paraId="647FAAC3"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10</w:t>
            </w:r>
          </w:p>
        </w:tc>
        <w:tc>
          <w:tcPr>
            <w:tcW w:w="1684" w:type="dxa"/>
            <w:vAlign w:val="bottom"/>
          </w:tcPr>
          <w:p w14:paraId="10C6F38D"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4</w:t>
            </w:r>
          </w:p>
        </w:tc>
      </w:tr>
      <w:tr w:rsidR="00411166" w:rsidRPr="00361493" w14:paraId="2A764F8C" w14:textId="77777777">
        <w:trPr>
          <w:trHeight w:val="284"/>
        </w:trPr>
        <w:tc>
          <w:tcPr>
            <w:tcW w:w="3969" w:type="dxa"/>
            <w:noWrap/>
            <w:vAlign w:val="bottom"/>
            <w:hideMark/>
          </w:tcPr>
          <w:p w14:paraId="5A1A6A71"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b/>
                <w:bCs/>
                <w:color w:val="000000"/>
                <w:sz w:val="20"/>
                <w:szCs w:val="20"/>
                <w:lang w:val="en-US" w:eastAsia="en-GB"/>
              </w:rPr>
              <w:t>Fungi - 1 species</w:t>
            </w:r>
          </w:p>
        </w:tc>
        <w:tc>
          <w:tcPr>
            <w:tcW w:w="1984" w:type="dxa"/>
            <w:noWrap/>
            <w:vAlign w:val="bottom"/>
            <w:hideMark/>
          </w:tcPr>
          <w:p w14:paraId="4272668A"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p>
        </w:tc>
        <w:tc>
          <w:tcPr>
            <w:tcW w:w="1684" w:type="dxa"/>
            <w:vAlign w:val="center"/>
          </w:tcPr>
          <w:p w14:paraId="39D48EC8"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p>
        </w:tc>
      </w:tr>
      <w:tr w:rsidR="00411166" w:rsidRPr="00361493" w14:paraId="07329182" w14:textId="77777777">
        <w:trPr>
          <w:trHeight w:val="227"/>
        </w:trPr>
        <w:tc>
          <w:tcPr>
            <w:tcW w:w="3969" w:type="dxa"/>
            <w:noWrap/>
            <w:vAlign w:val="bottom"/>
            <w:hideMark/>
          </w:tcPr>
          <w:p w14:paraId="17D66CE0"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Beauveria bassiana</w:t>
            </w:r>
          </w:p>
        </w:tc>
        <w:tc>
          <w:tcPr>
            <w:tcW w:w="1984" w:type="dxa"/>
            <w:noWrap/>
            <w:vAlign w:val="bottom"/>
            <w:hideMark/>
          </w:tcPr>
          <w:p w14:paraId="181B9E00"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c>
          <w:tcPr>
            <w:tcW w:w="1684" w:type="dxa"/>
            <w:vAlign w:val="center"/>
          </w:tcPr>
          <w:p w14:paraId="76892A8E"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2</w:t>
            </w:r>
          </w:p>
        </w:tc>
      </w:tr>
      <w:tr w:rsidR="00411166" w:rsidRPr="00361493" w14:paraId="15965A07" w14:textId="77777777">
        <w:trPr>
          <w:trHeight w:val="284"/>
        </w:trPr>
        <w:tc>
          <w:tcPr>
            <w:tcW w:w="3969" w:type="dxa"/>
            <w:noWrap/>
            <w:vAlign w:val="bottom"/>
            <w:hideMark/>
          </w:tcPr>
          <w:p w14:paraId="3A04EEE2"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b/>
                <w:bCs/>
                <w:sz w:val="20"/>
                <w:szCs w:val="20"/>
                <w:lang w:val="en-US" w:eastAsia="en-GB"/>
              </w:rPr>
              <w:t>Protozoan</w:t>
            </w:r>
            <w:r w:rsidRPr="00361493">
              <w:rPr>
                <w:rFonts w:ascii="Calibri" w:eastAsia="Calibri" w:hAnsi="Calibri" w:cs="Calibri"/>
                <w:b/>
                <w:bCs/>
                <w:color w:val="000000"/>
                <w:sz w:val="20"/>
                <w:szCs w:val="20"/>
                <w:lang w:val="en-US" w:eastAsia="en-GB"/>
              </w:rPr>
              <w:t xml:space="preserve"> - 1 species </w:t>
            </w:r>
          </w:p>
        </w:tc>
        <w:tc>
          <w:tcPr>
            <w:tcW w:w="1984" w:type="dxa"/>
            <w:noWrap/>
            <w:vAlign w:val="bottom"/>
            <w:hideMark/>
          </w:tcPr>
          <w:p w14:paraId="6A4D38F4"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p>
        </w:tc>
        <w:tc>
          <w:tcPr>
            <w:tcW w:w="1684" w:type="dxa"/>
            <w:vAlign w:val="center"/>
          </w:tcPr>
          <w:p w14:paraId="2F8ED537" w14:textId="77777777" w:rsidR="00411166" w:rsidRPr="00361493" w:rsidRDefault="00411166">
            <w:pPr>
              <w:spacing w:after="0" w:line="240" w:lineRule="auto"/>
              <w:ind w:right="0"/>
              <w:jc w:val="center"/>
              <w:rPr>
                <w:rFonts w:ascii="Calibri" w:eastAsia="Calibri" w:hAnsi="Calibri" w:cs="Calibri"/>
                <w:b/>
                <w:bCs/>
                <w:color w:val="000000"/>
                <w:sz w:val="20"/>
                <w:szCs w:val="20"/>
                <w:lang w:val="en-US" w:eastAsia="en-GB"/>
              </w:rPr>
            </w:pPr>
          </w:p>
        </w:tc>
      </w:tr>
      <w:tr w:rsidR="00411166" w:rsidRPr="00361493" w14:paraId="59CFAB7C" w14:textId="77777777">
        <w:trPr>
          <w:trHeight w:val="227"/>
        </w:trPr>
        <w:tc>
          <w:tcPr>
            <w:tcW w:w="3969" w:type="dxa"/>
            <w:tcBorders>
              <w:top w:val="nil"/>
              <w:left w:val="nil"/>
              <w:bottom w:val="single" w:sz="4" w:space="0" w:color="auto"/>
              <w:right w:val="nil"/>
            </w:tcBorders>
            <w:noWrap/>
            <w:vAlign w:val="bottom"/>
            <w:hideMark/>
          </w:tcPr>
          <w:p w14:paraId="4408771D" w14:textId="77777777" w:rsidR="00411166" w:rsidRPr="00361493" w:rsidRDefault="00411166">
            <w:pPr>
              <w:spacing w:after="0" w:line="240" w:lineRule="auto"/>
              <w:ind w:left="321" w:right="0"/>
              <w:rPr>
                <w:rFonts w:ascii="Calibri" w:eastAsia="Calibri" w:hAnsi="Calibri" w:cs="Calibri"/>
                <w:i/>
                <w:iCs/>
                <w:color w:val="000000"/>
                <w:sz w:val="20"/>
                <w:szCs w:val="20"/>
                <w:lang w:val="en-US" w:eastAsia="en-GB"/>
              </w:rPr>
            </w:pPr>
            <w:r w:rsidRPr="00361493">
              <w:rPr>
                <w:rFonts w:ascii="Calibri" w:eastAsia="Calibri" w:hAnsi="Calibri" w:cs="Calibri"/>
                <w:i/>
                <w:iCs/>
                <w:color w:val="000000"/>
                <w:sz w:val="20"/>
                <w:szCs w:val="20"/>
                <w:lang w:val="en-US" w:eastAsia="en-GB"/>
              </w:rPr>
              <w:t>Toxoplasma gondii</w:t>
            </w:r>
          </w:p>
        </w:tc>
        <w:tc>
          <w:tcPr>
            <w:tcW w:w="1984" w:type="dxa"/>
            <w:tcBorders>
              <w:top w:val="nil"/>
              <w:left w:val="nil"/>
              <w:bottom w:val="single" w:sz="4" w:space="0" w:color="auto"/>
              <w:right w:val="nil"/>
            </w:tcBorders>
            <w:noWrap/>
            <w:vAlign w:val="bottom"/>
            <w:hideMark/>
          </w:tcPr>
          <w:p w14:paraId="13CE72B2" w14:textId="77777777" w:rsidR="00411166" w:rsidRPr="00361493" w:rsidRDefault="00411166">
            <w:pPr>
              <w:spacing w:after="0" w:line="240" w:lineRule="auto"/>
              <w:ind w:right="0"/>
              <w:jc w:val="center"/>
              <w:rPr>
                <w:rFonts w:ascii="Calibri" w:eastAsia="Times New Roman" w:hAnsi="Calibri" w:cs="Calibri"/>
                <w:color w:val="000000"/>
                <w:sz w:val="20"/>
                <w:szCs w:val="20"/>
                <w:lang w:val="en-US" w:eastAsia="en-GB"/>
              </w:rPr>
            </w:pPr>
            <w:r w:rsidRPr="00361493">
              <w:rPr>
                <w:rFonts w:ascii="Calibri" w:eastAsia="Times New Roman" w:hAnsi="Calibri" w:cs="Calibri"/>
                <w:color w:val="000000"/>
                <w:sz w:val="20"/>
                <w:szCs w:val="20"/>
                <w:lang w:val="en-US" w:eastAsia="en-GB"/>
              </w:rPr>
              <w:t>38</w:t>
            </w:r>
          </w:p>
        </w:tc>
        <w:tc>
          <w:tcPr>
            <w:tcW w:w="1684" w:type="dxa"/>
            <w:tcBorders>
              <w:top w:val="nil"/>
              <w:left w:val="nil"/>
              <w:bottom w:val="single" w:sz="4" w:space="0" w:color="auto"/>
              <w:right w:val="nil"/>
            </w:tcBorders>
            <w:vAlign w:val="center"/>
          </w:tcPr>
          <w:p w14:paraId="7212E45D" w14:textId="77777777" w:rsidR="00411166" w:rsidRPr="00361493" w:rsidRDefault="00411166">
            <w:pPr>
              <w:spacing w:after="0" w:line="240" w:lineRule="auto"/>
              <w:ind w:right="0"/>
              <w:jc w:val="center"/>
              <w:rPr>
                <w:rFonts w:ascii="Calibri" w:eastAsia="Calibri" w:hAnsi="Calibri" w:cs="Calibri"/>
                <w:color w:val="000000"/>
                <w:sz w:val="20"/>
                <w:szCs w:val="20"/>
                <w:lang w:val="en-US" w:eastAsia="en-GB"/>
              </w:rPr>
            </w:pPr>
            <w:r w:rsidRPr="00361493">
              <w:rPr>
                <w:rFonts w:ascii="Calibri" w:eastAsia="Calibri" w:hAnsi="Calibri" w:cs="Calibri"/>
                <w:color w:val="000000"/>
                <w:sz w:val="20"/>
                <w:szCs w:val="20"/>
                <w:lang w:val="en-US" w:eastAsia="en-GB"/>
              </w:rPr>
              <w:t>19</w:t>
            </w:r>
          </w:p>
        </w:tc>
      </w:tr>
      <w:bookmarkEnd w:id="30"/>
    </w:tbl>
    <w:p w14:paraId="0EF29CE0" w14:textId="77777777" w:rsidR="00411166" w:rsidRPr="00361493" w:rsidRDefault="00411166">
      <w:pPr>
        <w:spacing w:after="0"/>
        <w:ind w:right="1276"/>
        <w:rPr>
          <w:rFonts w:ascii="Calibri" w:hAnsi="Calibri" w:cs="Calibri"/>
        </w:rPr>
      </w:pPr>
    </w:p>
    <w:p w14:paraId="0C78F546" w14:textId="77777777" w:rsidR="00921576" w:rsidRDefault="00921576"/>
    <w:p w14:paraId="5869443F" w14:textId="54087714" w:rsidR="00A22968" w:rsidRDefault="00A22968" w:rsidP="006B4B67">
      <w:pPr>
        <w:keepNext/>
        <w:keepLines/>
        <w:spacing w:after="0"/>
        <w:ind w:left="284" w:right="0"/>
        <w:outlineLvl w:val="2"/>
        <w:rPr>
          <w:rFonts w:ascii="Calibri" w:eastAsia="Calibri" w:hAnsi="Calibri" w:cs="Calibri"/>
          <w:b/>
          <w:sz w:val="28"/>
          <w:szCs w:val="28"/>
          <w:lang w:val="en-US" w:eastAsia="en-GB"/>
        </w:rPr>
      </w:pPr>
      <w:r w:rsidRPr="006B4B67">
        <w:rPr>
          <w:rFonts w:ascii="Calibri" w:eastAsia="Calibri" w:hAnsi="Calibri" w:cs="Calibri"/>
          <w:b/>
          <w:sz w:val="28"/>
          <w:szCs w:val="28"/>
          <w:lang w:val="en-US" w:eastAsia="en-GB"/>
        </w:rPr>
        <w:lastRenderedPageBreak/>
        <w:t>Table 5: PHI-base 5.0 data migration statistics</w:t>
      </w:r>
    </w:p>
    <w:p w14:paraId="3B0F18C8" w14:textId="77777777" w:rsidR="006B4B67" w:rsidRPr="006B4B67" w:rsidRDefault="006B4B67" w:rsidP="006B4B67">
      <w:pPr>
        <w:keepNext/>
        <w:keepLines/>
        <w:spacing w:after="0"/>
        <w:ind w:left="284" w:right="0"/>
        <w:outlineLvl w:val="2"/>
        <w:rPr>
          <w:rFonts w:ascii="Calibri" w:eastAsia="Calibri" w:hAnsi="Calibri" w:cs="Calibri"/>
          <w:b/>
          <w:sz w:val="28"/>
          <w:szCs w:val="28"/>
          <w:lang w:val="en-US" w:eastAsia="en-GB"/>
        </w:rPr>
      </w:pPr>
    </w:p>
    <w:tbl>
      <w:tblPr>
        <w:tblW w:w="0" w:type="auto"/>
        <w:tblInd w:w="652" w:type="dxa"/>
        <w:tblCellMar>
          <w:top w:w="15" w:type="dxa"/>
          <w:left w:w="15" w:type="dxa"/>
          <w:bottom w:w="15" w:type="dxa"/>
          <w:right w:w="15" w:type="dxa"/>
        </w:tblCellMar>
        <w:tblLook w:val="04A0" w:firstRow="1" w:lastRow="0" w:firstColumn="1" w:lastColumn="0" w:noHBand="0" w:noVBand="1"/>
      </w:tblPr>
      <w:tblGrid>
        <w:gridCol w:w="3447"/>
        <w:gridCol w:w="1483"/>
        <w:gridCol w:w="1842"/>
      </w:tblGrid>
      <w:tr w:rsidR="00A22968" w:rsidRPr="00A22968" w14:paraId="60C358B7" w14:textId="77777777" w:rsidTr="00380EA7">
        <w:trPr>
          <w:trHeight w:val="45"/>
        </w:trPr>
        <w:tc>
          <w:tcPr>
            <w:tcW w:w="0" w:type="auto"/>
            <w:tcBorders>
              <w:top w:val="single" w:sz="4" w:space="0" w:color="auto"/>
            </w:tcBorders>
            <w:tcMar>
              <w:top w:w="40" w:type="dxa"/>
              <w:left w:w="40" w:type="dxa"/>
              <w:bottom w:w="40" w:type="dxa"/>
              <w:right w:w="40" w:type="dxa"/>
            </w:tcMar>
            <w:vAlign w:val="bottom"/>
            <w:hideMark/>
          </w:tcPr>
          <w:p w14:paraId="596C0BD6" w14:textId="77777777" w:rsidR="00A22968" w:rsidRPr="00A22968" w:rsidRDefault="00A22968" w:rsidP="00380EA7">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b/>
                <w:bCs/>
                <w:color w:val="000000"/>
                <w:sz w:val="22"/>
                <w:szCs w:val="22"/>
              </w:rPr>
              <w:t>Data type</w:t>
            </w:r>
          </w:p>
        </w:tc>
        <w:tc>
          <w:tcPr>
            <w:tcW w:w="1483" w:type="dxa"/>
            <w:tcBorders>
              <w:top w:val="single" w:sz="4" w:space="0" w:color="auto"/>
            </w:tcBorders>
            <w:tcMar>
              <w:top w:w="40" w:type="dxa"/>
              <w:left w:w="40" w:type="dxa"/>
              <w:bottom w:w="40" w:type="dxa"/>
              <w:right w:w="40" w:type="dxa"/>
            </w:tcMar>
            <w:vAlign w:val="bottom"/>
            <w:hideMark/>
          </w:tcPr>
          <w:p w14:paraId="210F009D" w14:textId="77777777" w:rsidR="00A22968" w:rsidRPr="00A22968" w:rsidRDefault="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b/>
                <w:bCs/>
                <w:color w:val="000000"/>
                <w:sz w:val="22"/>
                <w:szCs w:val="22"/>
              </w:rPr>
              <w:t>PHI-Canto</w:t>
            </w:r>
          </w:p>
        </w:tc>
        <w:tc>
          <w:tcPr>
            <w:tcW w:w="1842" w:type="dxa"/>
            <w:tcBorders>
              <w:top w:val="single" w:sz="4" w:space="0" w:color="auto"/>
            </w:tcBorders>
            <w:tcMar>
              <w:top w:w="40" w:type="dxa"/>
              <w:left w:w="40" w:type="dxa"/>
              <w:bottom w:w="40" w:type="dxa"/>
              <w:right w:w="40" w:type="dxa"/>
            </w:tcMar>
            <w:vAlign w:val="bottom"/>
            <w:hideMark/>
          </w:tcPr>
          <w:p w14:paraId="579741C7" w14:textId="77777777" w:rsidR="00A22968" w:rsidRPr="00A22968" w:rsidRDefault="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b/>
                <w:bCs/>
                <w:color w:val="000000"/>
                <w:sz w:val="22"/>
                <w:szCs w:val="22"/>
              </w:rPr>
              <w:t>PHI-base 4</w:t>
            </w:r>
          </w:p>
        </w:tc>
      </w:tr>
      <w:tr w:rsidR="00A22968" w:rsidRPr="00A22968" w14:paraId="7A1EAE34" w14:textId="77777777" w:rsidTr="00380EA7">
        <w:trPr>
          <w:trHeight w:val="315"/>
        </w:trPr>
        <w:tc>
          <w:tcPr>
            <w:tcW w:w="0" w:type="auto"/>
            <w:tcMar>
              <w:top w:w="40" w:type="dxa"/>
              <w:left w:w="40" w:type="dxa"/>
              <w:bottom w:w="40" w:type="dxa"/>
              <w:right w:w="40" w:type="dxa"/>
            </w:tcMar>
            <w:vAlign w:val="bottom"/>
            <w:hideMark/>
          </w:tcPr>
          <w:p w14:paraId="412F5420"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Pathogen species</w:t>
            </w:r>
          </w:p>
        </w:tc>
        <w:tc>
          <w:tcPr>
            <w:tcW w:w="1483" w:type="dxa"/>
            <w:tcMar>
              <w:top w:w="40" w:type="dxa"/>
              <w:left w:w="40" w:type="dxa"/>
              <w:bottom w:w="40" w:type="dxa"/>
              <w:right w:w="40" w:type="dxa"/>
            </w:tcMar>
            <w:vAlign w:val="bottom"/>
            <w:hideMark/>
          </w:tcPr>
          <w:p w14:paraId="4FBB1BD4"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37</w:t>
            </w:r>
          </w:p>
        </w:tc>
        <w:tc>
          <w:tcPr>
            <w:tcW w:w="1842" w:type="dxa"/>
            <w:tcMar>
              <w:top w:w="40" w:type="dxa"/>
              <w:left w:w="40" w:type="dxa"/>
              <w:bottom w:w="40" w:type="dxa"/>
              <w:right w:w="40" w:type="dxa"/>
            </w:tcMar>
            <w:vAlign w:val="bottom"/>
            <w:hideMark/>
          </w:tcPr>
          <w:p w14:paraId="58276370"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275</w:t>
            </w:r>
          </w:p>
        </w:tc>
      </w:tr>
      <w:tr w:rsidR="00A22968" w:rsidRPr="00A22968" w14:paraId="4169FC89" w14:textId="77777777" w:rsidTr="00380EA7">
        <w:trPr>
          <w:trHeight w:val="315"/>
        </w:trPr>
        <w:tc>
          <w:tcPr>
            <w:tcW w:w="0" w:type="auto"/>
            <w:tcMar>
              <w:top w:w="40" w:type="dxa"/>
              <w:left w:w="40" w:type="dxa"/>
              <w:bottom w:w="40" w:type="dxa"/>
              <w:right w:w="40" w:type="dxa"/>
            </w:tcMar>
            <w:vAlign w:val="bottom"/>
            <w:hideMark/>
          </w:tcPr>
          <w:p w14:paraId="060DFE06"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Host species</w:t>
            </w:r>
          </w:p>
        </w:tc>
        <w:tc>
          <w:tcPr>
            <w:tcW w:w="1483" w:type="dxa"/>
            <w:tcMar>
              <w:top w:w="40" w:type="dxa"/>
              <w:left w:w="40" w:type="dxa"/>
              <w:bottom w:w="40" w:type="dxa"/>
              <w:right w:w="40" w:type="dxa"/>
            </w:tcMar>
            <w:vAlign w:val="bottom"/>
            <w:hideMark/>
          </w:tcPr>
          <w:p w14:paraId="61D6ECD7"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23</w:t>
            </w:r>
          </w:p>
        </w:tc>
        <w:tc>
          <w:tcPr>
            <w:tcW w:w="1842" w:type="dxa"/>
            <w:tcMar>
              <w:top w:w="40" w:type="dxa"/>
              <w:left w:w="40" w:type="dxa"/>
              <w:bottom w:w="40" w:type="dxa"/>
              <w:right w:w="40" w:type="dxa"/>
            </w:tcMar>
            <w:vAlign w:val="bottom"/>
            <w:hideMark/>
          </w:tcPr>
          <w:p w14:paraId="0D48EAF2"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213</w:t>
            </w:r>
          </w:p>
        </w:tc>
      </w:tr>
      <w:tr w:rsidR="00A22968" w:rsidRPr="00A22968" w14:paraId="00137AD7" w14:textId="77777777" w:rsidTr="00380EA7">
        <w:trPr>
          <w:trHeight w:val="315"/>
        </w:trPr>
        <w:tc>
          <w:tcPr>
            <w:tcW w:w="0" w:type="auto"/>
            <w:tcMar>
              <w:top w:w="40" w:type="dxa"/>
              <w:left w:w="40" w:type="dxa"/>
              <w:bottom w:w="40" w:type="dxa"/>
              <w:right w:w="40" w:type="dxa"/>
            </w:tcMar>
            <w:vAlign w:val="bottom"/>
            <w:hideMark/>
          </w:tcPr>
          <w:p w14:paraId="1A09FD92"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Genes</w:t>
            </w:r>
          </w:p>
        </w:tc>
        <w:tc>
          <w:tcPr>
            <w:tcW w:w="1483" w:type="dxa"/>
            <w:tcMar>
              <w:top w:w="40" w:type="dxa"/>
              <w:left w:w="40" w:type="dxa"/>
              <w:bottom w:w="40" w:type="dxa"/>
              <w:right w:w="40" w:type="dxa"/>
            </w:tcMar>
            <w:vAlign w:val="bottom"/>
            <w:hideMark/>
          </w:tcPr>
          <w:p w14:paraId="0C518FCD"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168</w:t>
            </w:r>
          </w:p>
        </w:tc>
        <w:tc>
          <w:tcPr>
            <w:tcW w:w="1842" w:type="dxa"/>
            <w:tcMar>
              <w:top w:w="40" w:type="dxa"/>
              <w:left w:w="40" w:type="dxa"/>
              <w:bottom w:w="40" w:type="dxa"/>
              <w:right w:w="40" w:type="dxa"/>
            </w:tcMar>
            <w:vAlign w:val="bottom"/>
            <w:hideMark/>
          </w:tcPr>
          <w:p w14:paraId="30066312"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8,441</w:t>
            </w:r>
          </w:p>
        </w:tc>
      </w:tr>
      <w:tr w:rsidR="00A22968" w:rsidRPr="00A22968" w14:paraId="4D2A903C" w14:textId="77777777" w:rsidTr="00380EA7">
        <w:trPr>
          <w:trHeight w:val="315"/>
        </w:trPr>
        <w:tc>
          <w:tcPr>
            <w:tcW w:w="0" w:type="auto"/>
            <w:tcMar>
              <w:top w:w="40" w:type="dxa"/>
              <w:left w:w="40" w:type="dxa"/>
              <w:bottom w:w="40" w:type="dxa"/>
              <w:right w:w="40" w:type="dxa"/>
            </w:tcMar>
            <w:vAlign w:val="bottom"/>
            <w:hideMark/>
          </w:tcPr>
          <w:p w14:paraId="065C40A8"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Pathogen genes</w:t>
            </w:r>
          </w:p>
        </w:tc>
        <w:tc>
          <w:tcPr>
            <w:tcW w:w="1483" w:type="dxa"/>
            <w:tcMar>
              <w:top w:w="40" w:type="dxa"/>
              <w:left w:w="40" w:type="dxa"/>
              <w:bottom w:w="40" w:type="dxa"/>
              <w:right w:w="40" w:type="dxa"/>
            </w:tcMar>
            <w:vAlign w:val="bottom"/>
            <w:hideMark/>
          </w:tcPr>
          <w:p w14:paraId="1C292981"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118</w:t>
            </w:r>
          </w:p>
        </w:tc>
        <w:tc>
          <w:tcPr>
            <w:tcW w:w="1842" w:type="dxa"/>
            <w:tcMar>
              <w:top w:w="40" w:type="dxa"/>
              <w:left w:w="40" w:type="dxa"/>
              <w:bottom w:w="40" w:type="dxa"/>
              <w:right w:w="40" w:type="dxa"/>
            </w:tcMar>
            <w:vAlign w:val="bottom"/>
            <w:hideMark/>
          </w:tcPr>
          <w:p w14:paraId="7229EB08"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8,417</w:t>
            </w:r>
          </w:p>
        </w:tc>
      </w:tr>
      <w:tr w:rsidR="00A22968" w:rsidRPr="00A22968" w14:paraId="1348337B" w14:textId="77777777" w:rsidTr="00380EA7">
        <w:trPr>
          <w:trHeight w:val="315"/>
        </w:trPr>
        <w:tc>
          <w:tcPr>
            <w:tcW w:w="0" w:type="auto"/>
            <w:tcMar>
              <w:top w:w="40" w:type="dxa"/>
              <w:left w:w="40" w:type="dxa"/>
              <w:bottom w:w="40" w:type="dxa"/>
              <w:right w:w="40" w:type="dxa"/>
            </w:tcMar>
            <w:vAlign w:val="bottom"/>
            <w:hideMark/>
          </w:tcPr>
          <w:p w14:paraId="74EC3139"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Host genes</w:t>
            </w:r>
          </w:p>
        </w:tc>
        <w:tc>
          <w:tcPr>
            <w:tcW w:w="1483" w:type="dxa"/>
            <w:tcMar>
              <w:top w:w="40" w:type="dxa"/>
              <w:left w:w="40" w:type="dxa"/>
              <w:bottom w:w="40" w:type="dxa"/>
              <w:right w:w="40" w:type="dxa"/>
            </w:tcMar>
            <w:vAlign w:val="bottom"/>
            <w:hideMark/>
          </w:tcPr>
          <w:p w14:paraId="24295956"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50</w:t>
            </w:r>
          </w:p>
        </w:tc>
        <w:tc>
          <w:tcPr>
            <w:tcW w:w="1842" w:type="dxa"/>
            <w:tcMar>
              <w:top w:w="40" w:type="dxa"/>
              <w:left w:w="40" w:type="dxa"/>
              <w:bottom w:w="40" w:type="dxa"/>
              <w:right w:w="40" w:type="dxa"/>
            </w:tcMar>
            <w:vAlign w:val="bottom"/>
            <w:hideMark/>
          </w:tcPr>
          <w:p w14:paraId="6154F502"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r w:rsidR="00A22968" w:rsidRPr="00A22968" w14:paraId="56ADB6BF" w14:textId="77777777" w:rsidTr="00380EA7">
        <w:trPr>
          <w:trHeight w:val="315"/>
        </w:trPr>
        <w:tc>
          <w:tcPr>
            <w:tcW w:w="0" w:type="auto"/>
            <w:tcMar>
              <w:top w:w="40" w:type="dxa"/>
              <w:left w:w="40" w:type="dxa"/>
              <w:bottom w:w="40" w:type="dxa"/>
              <w:right w:w="40" w:type="dxa"/>
            </w:tcMar>
            <w:vAlign w:val="bottom"/>
            <w:hideMark/>
          </w:tcPr>
          <w:p w14:paraId="53EBC2C9"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Interactions (Metagenotypes)</w:t>
            </w:r>
          </w:p>
        </w:tc>
        <w:tc>
          <w:tcPr>
            <w:tcW w:w="1483" w:type="dxa"/>
            <w:tcMar>
              <w:top w:w="40" w:type="dxa"/>
              <w:left w:w="40" w:type="dxa"/>
              <w:bottom w:w="40" w:type="dxa"/>
              <w:right w:w="40" w:type="dxa"/>
            </w:tcMar>
            <w:vAlign w:val="bottom"/>
            <w:hideMark/>
          </w:tcPr>
          <w:p w14:paraId="169C6F57"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374</w:t>
            </w:r>
          </w:p>
        </w:tc>
        <w:tc>
          <w:tcPr>
            <w:tcW w:w="1842" w:type="dxa"/>
            <w:tcMar>
              <w:top w:w="40" w:type="dxa"/>
              <w:left w:w="40" w:type="dxa"/>
              <w:bottom w:w="40" w:type="dxa"/>
              <w:right w:w="40" w:type="dxa"/>
            </w:tcMar>
            <w:vAlign w:val="bottom"/>
            <w:hideMark/>
          </w:tcPr>
          <w:p w14:paraId="0A6819AD"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27,600</w:t>
            </w:r>
          </w:p>
        </w:tc>
      </w:tr>
      <w:tr w:rsidR="00A22968" w:rsidRPr="00A22968" w14:paraId="61E9B878" w14:textId="77777777" w:rsidTr="00380EA7">
        <w:trPr>
          <w:trHeight w:val="315"/>
        </w:trPr>
        <w:tc>
          <w:tcPr>
            <w:tcW w:w="0" w:type="auto"/>
            <w:tcMar>
              <w:top w:w="40" w:type="dxa"/>
              <w:left w:w="40" w:type="dxa"/>
              <w:bottom w:w="40" w:type="dxa"/>
              <w:right w:w="40" w:type="dxa"/>
            </w:tcMar>
            <w:vAlign w:val="bottom"/>
            <w:hideMark/>
          </w:tcPr>
          <w:p w14:paraId="6148A05E"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Publications</w:t>
            </w:r>
          </w:p>
        </w:tc>
        <w:tc>
          <w:tcPr>
            <w:tcW w:w="1483" w:type="dxa"/>
            <w:tcMar>
              <w:top w:w="40" w:type="dxa"/>
              <w:left w:w="40" w:type="dxa"/>
              <w:bottom w:w="40" w:type="dxa"/>
              <w:right w:w="40" w:type="dxa"/>
            </w:tcMar>
            <w:vAlign w:val="bottom"/>
            <w:hideMark/>
          </w:tcPr>
          <w:p w14:paraId="3A3D0DF7"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81</w:t>
            </w:r>
          </w:p>
        </w:tc>
        <w:tc>
          <w:tcPr>
            <w:tcW w:w="1842" w:type="dxa"/>
            <w:tcMar>
              <w:top w:w="40" w:type="dxa"/>
              <w:left w:w="40" w:type="dxa"/>
              <w:bottom w:w="40" w:type="dxa"/>
              <w:right w:w="40" w:type="dxa"/>
            </w:tcMar>
            <w:vAlign w:val="bottom"/>
            <w:hideMark/>
          </w:tcPr>
          <w:p w14:paraId="534D9213"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4,686</w:t>
            </w:r>
          </w:p>
        </w:tc>
      </w:tr>
      <w:tr w:rsidR="00A22968" w:rsidRPr="00A22968" w14:paraId="6807E3C8" w14:textId="77777777" w:rsidTr="00380EA7">
        <w:trPr>
          <w:trHeight w:val="315"/>
        </w:trPr>
        <w:tc>
          <w:tcPr>
            <w:tcW w:w="0" w:type="auto"/>
            <w:tcMar>
              <w:top w:w="40" w:type="dxa"/>
              <w:left w:w="40" w:type="dxa"/>
              <w:bottom w:w="40" w:type="dxa"/>
              <w:right w:w="40" w:type="dxa"/>
            </w:tcMar>
            <w:vAlign w:val="bottom"/>
            <w:hideMark/>
          </w:tcPr>
          <w:p w14:paraId="5E56BE11" w14:textId="77777777" w:rsidR="00A22968" w:rsidRPr="00115B03" w:rsidRDefault="00A22968">
            <w:pPr>
              <w:pStyle w:val="NormalWeb"/>
              <w:spacing w:before="0" w:beforeAutospacing="0" w:after="0" w:afterAutospacing="0"/>
              <w:ind w:right="6"/>
              <w:rPr>
                <w:rFonts w:asciiTheme="minorHAnsi" w:hAnsiTheme="minorHAnsi" w:cstheme="minorHAnsi"/>
                <w:sz w:val="22"/>
                <w:szCs w:val="22"/>
              </w:rPr>
            </w:pPr>
            <w:r w:rsidRPr="00115B03">
              <w:rPr>
                <w:rFonts w:asciiTheme="minorHAnsi" w:hAnsiTheme="minorHAnsi" w:cstheme="minorHAnsi"/>
                <w:color w:val="000000"/>
                <w:sz w:val="22"/>
                <w:szCs w:val="22"/>
              </w:rPr>
              <w:t>Annotations</w:t>
            </w:r>
          </w:p>
        </w:tc>
        <w:tc>
          <w:tcPr>
            <w:tcW w:w="1483" w:type="dxa"/>
            <w:tcMar>
              <w:top w:w="40" w:type="dxa"/>
              <w:left w:w="40" w:type="dxa"/>
              <w:bottom w:w="40" w:type="dxa"/>
              <w:right w:w="40" w:type="dxa"/>
            </w:tcMar>
            <w:vAlign w:val="bottom"/>
            <w:hideMark/>
          </w:tcPr>
          <w:p w14:paraId="40C67049" w14:textId="77777777" w:rsidR="00A22968" w:rsidRPr="00115B03"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115B03">
              <w:rPr>
                <w:rFonts w:asciiTheme="minorHAnsi" w:hAnsiTheme="minorHAnsi" w:cstheme="minorHAnsi"/>
                <w:color w:val="000000"/>
                <w:sz w:val="22"/>
                <w:szCs w:val="22"/>
              </w:rPr>
              <w:t>1,576</w:t>
            </w:r>
          </w:p>
        </w:tc>
        <w:tc>
          <w:tcPr>
            <w:tcW w:w="1842" w:type="dxa"/>
            <w:tcMar>
              <w:top w:w="40" w:type="dxa"/>
              <w:left w:w="40" w:type="dxa"/>
              <w:bottom w:w="40" w:type="dxa"/>
              <w:right w:w="40" w:type="dxa"/>
            </w:tcMar>
            <w:vAlign w:val="bottom"/>
            <w:hideMark/>
          </w:tcPr>
          <w:p w14:paraId="17CE7FC2" w14:textId="77777777" w:rsidR="00A22968" w:rsidRPr="00115B03"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115B03">
              <w:rPr>
                <w:rFonts w:asciiTheme="minorHAnsi" w:hAnsiTheme="minorHAnsi" w:cstheme="minorHAnsi"/>
                <w:color w:val="000000"/>
                <w:sz w:val="22"/>
                <w:szCs w:val="22"/>
              </w:rPr>
              <w:t>38,671</w:t>
            </w:r>
          </w:p>
        </w:tc>
      </w:tr>
      <w:tr w:rsidR="00A22968" w:rsidRPr="00A22968" w14:paraId="6CA99D70" w14:textId="77777777" w:rsidTr="00380EA7">
        <w:trPr>
          <w:trHeight w:val="315"/>
        </w:trPr>
        <w:tc>
          <w:tcPr>
            <w:tcW w:w="0" w:type="auto"/>
            <w:tcMar>
              <w:top w:w="40" w:type="dxa"/>
              <w:left w:w="40" w:type="dxa"/>
              <w:bottom w:w="40" w:type="dxa"/>
              <w:right w:w="40" w:type="dxa"/>
            </w:tcMar>
            <w:vAlign w:val="bottom"/>
            <w:hideMark/>
          </w:tcPr>
          <w:p w14:paraId="11BA533D"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Pathogen-host interaction phenotype</w:t>
            </w:r>
          </w:p>
        </w:tc>
        <w:tc>
          <w:tcPr>
            <w:tcW w:w="1483" w:type="dxa"/>
            <w:tcMar>
              <w:top w:w="40" w:type="dxa"/>
              <w:left w:w="40" w:type="dxa"/>
              <w:bottom w:w="40" w:type="dxa"/>
              <w:right w:w="40" w:type="dxa"/>
            </w:tcMar>
            <w:vAlign w:val="bottom"/>
            <w:hideMark/>
          </w:tcPr>
          <w:p w14:paraId="34180DFF"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594</w:t>
            </w:r>
          </w:p>
        </w:tc>
        <w:tc>
          <w:tcPr>
            <w:tcW w:w="1842" w:type="dxa"/>
            <w:tcMar>
              <w:top w:w="40" w:type="dxa"/>
              <w:left w:w="40" w:type="dxa"/>
              <w:bottom w:w="40" w:type="dxa"/>
              <w:right w:w="40" w:type="dxa"/>
            </w:tcMar>
            <w:vAlign w:val="bottom"/>
            <w:hideMark/>
          </w:tcPr>
          <w:p w14:paraId="19DDCA61"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15,942</w:t>
            </w:r>
          </w:p>
        </w:tc>
      </w:tr>
      <w:tr w:rsidR="00A22968" w:rsidRPr="00A22968" w14:paraId="6DA29FB7" w14:textId="77777777" w:rsidTr="00380EA7">
        <w:trPr>
          <w:trHeight w:val="315"/>
        </w:trPr>
        <w:tc>
          <w:tcPr>
            <w:tcW w:w="0" w:type="auto"/>
            <w:tcMar>
              <w:top w:w="40" w:type="dxa"/>
              <w:left w:w="40" w:type="dxa"/>
              <w:bottom w:w="40" w:type="dxa"/>
              <w:right w:w="40" w:type="dxa"/>
            </w:tcMar>
            <w:vAlign w:val="bottom"/>
            <w:hideMark/>
          </w:tcPr>
          <w:p w14:paraId="4209C65A"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Gene-for-gene phenotype</w:t>
            </w:r>
          </w:p>
        </w:tc>
        <w:tc>
          <w:tcPr>
            <w:tcW w:w="1483" w:type="dxa"/>
            <w:tcMar>
              <w:top w:w="40" w:type="dxa"/>
              <w:left w:w="40" w:type="dxa"/>
              <w:bottom w:w="40" w:type="dxa"/>
              <w:right w:w="40" w:type="dxa"/>
            </w:tcMar>
            <w:vAlign w:val="bottom"/>
            <w:hideMark/>
          </w:tcPr>
          <w:p w14:paraId="0C0B3D7F"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108</w:t>
            </w:r>
          </w:p>
        </w:tc>
        <w:tc>
          <w:tcPr>
            <w:tcW w:w="1842" w:type="dxa"/>
            <w:tcMar>
              <w:top w:w="40" w:type="dxa"/>
              <w:left w:w="40" w:type="dxa"/>
              <w:bottom w:w="40" w:type="dxa"/>
              <w:right w:w="40" w:type="dxa"/>
            </w:tcMar>
            <w:vAlign w:val="bottom"/>
            <w:hideMark/>
          </w:tcPr>
          <w:p w14:paraId="2642D99A"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r w:rsidR="00A22968" w:rsidRPr="00A22968" w14:paraId="72B74EE2" w14:textId="77777777" w:rsidTr="00380EA7">
        <w:trPr>
          <w:trHeight w:val="315"/>
        </w:trPr>
        <w:tc>
          <w:tcPr>
            <w:tcW w:w="0" w:type="auto"/>
            <w:tcMar>
              <w:top w:w="40" w:type="dxa"/>
              <w:left w:w="40" w:type="dxa"/>
              <w:bottom w:w="40" w:type="dxa"/>
              <w:right w:w="40" w:type="dxa"/>
            </w:tcMar>
            <w:vAlign w:val="bottom"/>
            <w:hideMark/>
          </w:tcPr>
          <w:p w14:paraId="12D62738"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Pathogen phenotype</w:t>
            </w:r>
          </w:p>
        </w:tc>
        <w:tc>
          <w:tcPr>
            <w:tcW w:w="1483" w:type="dxa"/>
            <w:tcMar>
              <w:top w:w="40" w:type="dxa"/>
              <w:left w:w="40" w:type="dxa"/>
              <w:bottom w:w="40" w:type="dxa"/>
              <w:right w:w="40" w:type="dxa"/>
            </w:tcMar>
            <w:vAlign w:val="bottom"/>
            <w:hideMark/>
          </w:tcPr>
          <w:p w14:paraId="3CAB4D03"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569</w:t>
            </w:r>
          </w:p>
        </w:tc>
        <w:tc>
          <w:tcPr>
            <w:tcW w:w="1842" w:type="dxa"/>
            <w:tcMar>
              <w:top w:w="40" w:type="dxa"/>
              <w:left w:w="40" w:type="dxa"/>
              <w:bottom w:w="40" w:type="dxa"/>
              <w:right w:w="40" w:type="dxa"/>
            </w:tcMar>
            <w:vAlign w:val="bottom"/>
            <w:hideMark/>
          </w:tcPr>
          <w:p w14:paraId="12B63260"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7,432</w:t>
            </w:r>
          </w:p>
        </w:tc>
      </w:tr>
      <w:tr w:rsidR="00A22968" w:rsidRPr="00A22968" w14:paraId="30FA23A2" w14:textId="77777777" w:rsidTr="00380EA7">
        <w:trPr>
          <w:trHeight w:val="315"/>
        </w:trPr>
        <w:tc>
          <w:tcPr>
            <w:tcW w:w="0" w:type="auto"/>
            <w:tcMar>
              <w:top w:w="40" w:type="dxa"/>
              <w:left w:w="40" w:type="dxa"/>
              <w:bottom w:w="40" w:type="dxa"/>
              <w:right w:w="40" w:type="dxa"/>
            </w:tcMar>
            <w:vAlign w:val="bottom"/>
            <w:hideMark/>
          </w:tcPr>
          <w:p w14:paraId="7D5A3546"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Host phenotype</w:t>
            </w:r>
          </w:p>
        </w:tc>
        <w:tc>
          <w:tcPr>
            <w:tcW w:w="1483" w:type="dxa"/>
            <w:tcMar>
              <w:top w:w="40" w:type="dxa"/>
              <w:left w:w="40" w:type="dxa"/>
              <w:bottom w:w="40" w:type="dxa"/>
              <w:right w:w="40" w:type="dxa"/>
            </w:tcMar>
            <w:vAlign w:val="bottom"/>
            <w:hideMark/>
          </w:tcPr>
          <w:p w14:paraId="08BAC455"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10</w:t>
            </w:r>
          </w:p>
        </w:tc>
        <w:tc>
          <w:tcPr>
            <w:tcW w:w="1842" w:type="dxa"/>
            <w:tcMar>
              <w:top w:w="40" w:type="dxa"/>
              <w:left w:w="40" w:type="dxa"/>
              <w:bottom w:w="40" w:type="dxa"/>
              <w:right w:w="40" w:type="dxa"/>
            </w:tcMar>
            <w:vAlign w:val="bottom"/>
            <w:hideMark/>
          </w:tcPr>
          <w:p w14:paraId="000A94C6"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r w:rsidR="00A22968" w:rsidRPr="00A22968" w14:paraId="1BBBDCD0" w14:textId="77777777" w:rsidTr="00380EA7">
        <w:trPr>
          <w:trHeight w:val="315"/>
        </w:trPr>
        <w:tc>
          <w:tcPr>
            <w:tcW w:w="0" w:type="auto"/>
            <w:tcMar>
              <w:top w:w="40" w:type="dxa"/>
              <w:left w:w="40" w:type="dxa"/>
              <w:bottom w:w="40" w:type="dxa"/>
              <w:right w:w="40" w:type="dxa"/>
            </w:tcMar>
            <w:vAlign w:val="bottom"/>
            <w:hideMark/>
          </w:tcPr>
          <w:p w14:paraId="0735BE12"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Disease name</w:t>
            </w:r>
          </w:p>
        </w:tc>
        <w:tc>
          <w:tcPr>
            <w:tcW w:w="1483" w:type="dxa"/>
            <w:tcMar>
              <w:top w:w="40" w:type="dxa"/>
              <w:left w:w="40" w:type="dxa"/>
              <w:bottom w:w="40" w:type="dxa"/>
              <w:right w:w="40" w:type="dxa"/>
            </w:tcMar>
            <w:vAlign w:val="bottom"/>
            <w:hideMark/>
          </w:tcPr>
          <w:p w14:paraId="33C96CD7"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64</w:t>
            </w:r>
          </w:p>
        </w:tc>
        <w:tc>
          <w:tcPr>
            <w:tcW w:w="1842" w:type="dxa"/>
            <w:tcMar>
              <w:top w:w="40" w:type="dxa"/>
              <w:left w:w="40" w:type="dxa"/>
              <w:bottom w:w="40" w:type="dxa"/>
              <w:right w:w="40" w:type="dxa"/>
            </w:tcMar>
            <w:vAlign w:val="bottom"/>
            <w:hideMark/>
          </w:tcPr>
          <w:p w14:paraId="516145B4"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14,244</w:t>
            </w:r>
          </w:p>
        </w:tc>
      </w:tr>
      <w:tr w:rsidR="00A22968" w:rsidRPr="00A22968" w14:paraId="7A3A1655" w14:textId="77777777" w:rsidTr="00380EA7">
        <w:trPr>
          <w:trHeight w:val="315"/>
        </w:trPr>
        <w:tc>
          <w:tcPr>
            <w:tcW w:w="0" w:type="auto"/>
            <w:tcMar>
              <w:top w:w="40" w:type="dxa"/>
              <w:left w:w="40" w:type="dxa"/>
              <w:bottom w:w="40" w:type="dxa"/>
              <w:right w:w="40" w:type="dxa"/>
            </w:tcMar>
            <w:vAlign w:val="bottom"/>
            <w:hideMark/>
          </w:tcPr>
          <w:p w14:paraId="1112E9E9"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GO biological process</w:t>
            </w:r>
          </w:p>
        </w:tc>
        <w:tc>
          <w:tcPr>
            <w:tcW w:w="1483" w:type="dxa"/>
            <w:tcMar>
              <w:top w:w="40" w:type="dxa"/>
              <w:left w:w="40" w:type="dxa"/>
              <w:bottom w:w="40" w:type="dxa"/>
              <w:right w:w="40" w:type="dxa"/>
            </w:tcMar>
            <w:vAlign w:val="bottom"/>
            <w:hideMark/>
          </w:tcPr>
          <w:p w14:paraId="1DA45B06"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79</w:t>
            </w:r>
          </w:p>
        </w:tc>
        <w:tc>
          <w:tcPr>
            <w:tcW w:w="1842" w:type="dxa"/>
            <w:tcMar>
              <w:top w:w="40" w:type="dxa"/>
              <w:left w:w="40" w:type="dxa"/>
              <w:bottom w:w="40" w:type="dxa"/>
              <w:right w:w="40" w:type="dxa"/>
            </w:tcMar>
            <w:vAlign w:val="bottom"/>
            <w:hideMark/>
          </w:tcPr>
          <w:p w14:paraId="4544C4AE"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1,053</w:t>
            </w:r>
          </w:p>
        </w:tc>
      </w:tr>
      <w:tr w:rsidR="00A22968" w:rsidRPr="00A22968" w14:paraId="67A3A16F" w14:textId="77777777" w:rsidTr="00380EA7">
        <w:trPr>
          <w:trHeight w:val="315"/>
        </w:trPr>
        <w:tc>
          <w:tcPr>
            <w:tcW w:w="0" w:type="auto"/>
            <w:tcMar>
              <w:top w:w="40" w:type="dxa"/>
              <w:left w:w="40" w:type="dxa"/>
              <w:bottom w:w="40" w:type="dxa"/>
              <w:right w:w="40" w:type="dxa"/>
            </w:tcMar>
            <w:vAlign w:val="bottom"/>
            <w:hideMark/>
          </w:tcPr>
          <w:p w14:paraId="2177B3E4"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GO Cellular component</w:t>
            </w:r>
          </w:p>
        </w:tc>
        <w:tc>
          <w:tcPr>
            <w:tcW w:w="1483" w:type="dxa"/>
            <w:tcMar>
              <w:top w:w="40" w:type="dxa"/>
              <w:left w:w="40" w:type="dxa"/>
              <w:bottom w:w="40" w:type="dxa"/>
              <w:right w:w="40" w:type="dxa"/>
            </w:tcMar>
            <w:vAlign w:val="bottom"/>
            <w:hideMark/>
          </w:tcPr>
          <w:p w14:paraId="083CF2CB"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29</w:t>
            </w:r>
          </w:p>
        </w:tc>
        <w:tc>
          <w:tcPr>
            <w:tcW w:w="1842" w:type="dxa"/>
            <w:tcMar>
              <w:top w:w="40" w:type="dxa"/>
              <w:left w:w="40" w:type="dxa"/>
              <w:bottom w:w="40" w:type="dxa"/>
              <w:right w:w="40" w:type="dxa"/>
            </w:tcMar>
            <w:vAlign w:val="bottom"/>
            <w:hideMark/>
          </w:tcPr>
          <w:p w14:paraId="253B1BBB"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r w:rsidR="00A22968" w:rsidRPr="00A22968" w14:paraId="4831E8AA" w14:textId="77777777" w:rsidTr="00380EA7">
        <w:trPr>
          <w:trHeight w:val="315"/>
        </w:trPr>
        <w:tc>
          <w:tcPr>
            <w:tcW w:w="0" w:type="auto"/>
            <w:tcMar>
              <w:top w:w="40" w:type="dxa"/>
              <w:left w:w="40" w:type="dxa"/>
              <w:bottom w:w="40" w:type="dxa"/>
              <w:right w:w="40" w:type="dxa"/>
            </w:tcMar>
            <w:vAlign w:val="bottom"/>
            <w:hideMark/>
          </w:tcPr>
          <w:p w14:paraId="0B750AA0"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GO Molecular function</w:t>
            </w:r>
          </w:p>
        </w:tc>
        <w:tc>
          <w:tcPr>
            <w:tcW w:w="1483" w:type="dxa"/>
            <w:tcMar>
              <w:top w:w="40" w:type="dxa"/>
              <w:left w:w="40" w:type="dxa"/>
              <w:bottom w:w="40" w:type="dxa"/>
              <w:right w:w="40" w:type="dxa"/>
            </w:tcMar>
            <w:vAlign w:val="bottom"/>
            <w:hideMark/>
          </w:tcPr>
          <w:p w14:paraId="242553CC"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77</w:t>
            </w:r>
          </w:p>
        </w:tc>
        <w:tc>
          <w:tcPr>
            <w:tcW w:w="1842" w:type="dxa"/>
            <w:tcMar>
              <w:top w:w="40" w:type="dxa"/>
              <w:left w:w="40" w:type="dxa"/>
              <w:bottom w:w="40" w:type="dxa"/>
              <w:right w:w="40" w:type="dxa"/>
            </w:tcMar>
            <w:vAlign w:val="bottom"/>
            <w:hideMark/>
          </w:tcPr>
          <w:p w14:paraId="470C9160"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r w:rsidR="00A22968" w:rsidRPr="00A22968" w14:paraId="03B0F6F0" w14:textId="77777777" w:rsidTr="00380EA7">
        <w:trPr>
          <w:trHeight w:val="315"/>
        </w:trPr>
        <w:tc>
          <w:tcPr>
            <w:tcW w:w="0" w:type="auto"/>
            <w:tcMar>
              <w:top w:w="40" w:type="dxa"/>
              <w:left w:w="40" w:type="dxa"/>
              <w:bottom w:w="40" w:type="dxa"/>
              <w:right w:w="40" w:type="dxa"/>
            </w:tcMar>
            <w:vAlign w:val="bottom"/>
            <w:hideMark/>
          </w:tcPr>
          <w:p w14:paraId="3DB7A4F7"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Physical interaction</w:t>
            </w:r>
          </w:p>
        </w:tc>
        <w:tc>
          <w:tcPr>
            <w:tcW w:w="1483" w:type="dxa"/>
            <w:tcMar>
              <w:top w:w="40" w:type="dxa"/>
              <w:left w:w="40" w:type="dxa"/>
              <w:bottom w:w="40" w:type="dxa"/>
              <w:right w:w="40" w:type="dxa"/>
            </w:tcMar>
            <w:vAlign w:val="bottom"/>
            <w:hideMark/>
          </w:tcPr>
          <w:p w14:paraId="49405E17"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13</w:t>
            </w:r>
          </w:p>
        </w:tc>
        <w:tc>
          <w:tcPr>
            <w:tcW w:w="1842" w:type="dxa"/>
            <w:tcMar>
              <w:top w:w="40" w:type="dxa"/>
              <w:left w:w="40" w:type="dxa"/>
              <w:bottom w:w="40" w:type="dxa"/>
              <w:right w:w="40" w:type="dxa"/>
            </w:tcMar>
            <w:vAlign w:val="bottom"/>
            <w:hideMark/>
          </w:tcPr>
          <w:p w14:paraId="45666156"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r w:rsidR="00A22968" w:rsidRPr="00A22968" w14:paraId="072B9759" w14:textId="77777777" w:rsidTr="00380EA7">
        <w:trPr>
          <w:trHeight w:val="315"/>
        </w:trPr>
        <w:tc>
          <w:tcPr>
            <w:tcW w:w="0" w:type="auto"/>
            <w:tcMar>
              <w:top w:w="40" w:type="dxa"/>
              <w:left w:w="40" w:type="dxa"/>
              <w:bottom w:w="40" w:type="dxa"/>
              <w:right w:w="40" w:type="dxa"/>
            </w:tcMar>
            <w:vAlign w:val="bottom"/>
            <w:hideMark/>
          </w:tcPr>
          <w:p w14:paraId="36FE0EBC"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Post-translational modification</w:t>
            </w:r>
          </w:p>
        </w:tc>
        <w:tc>
          <w:tcPr>
            <w:tcW w:w="1483" w:type="dxa"/>
            <w:tcMar>
              <w:top w:w="40" w:type="dxa"/>
              <w:left w:w="40" w:type="dxa"/>
              <w:bottom w:w="40" w:type="dxa"/>
              <w:right w:w="40" w:type="dxa"/>
            </w:tcMar>
            <w:vAlign w:val="bottom"/>
            <w:hideMark/>
          </w:tcPr>
          <w:p w14:paraId="4B8808F4"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4</w:t>
            </w:r>
          </w:p>
        </w:tc>
        <w:tc>
          <w:tcPr>
            <w:tcW w:w="1842" w:type="dxa"/>
            <w:tcMar>
              <w:top w:w="40" w:type="dxa"/>
              <w:left w:w="40" w:type="dxa"/>
              <w:bottom w:w="40" w:type="dxa"/>
              <w:right w:w="40" w:type="dxa"/>
            </w:tcMar>
            <w:vAlign w:val="bottom"/>
            <w:hideMark/>
          </w:tcPr>
          <w:p w14:paraId="3CCC5D7F"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r w:rsidR="00A22968" w:rsidRPr="00A22968" w14:paraId="10691020" w14:textId="77777777" w:rsidTr="00380EA7">
        <w:trPr>
          <w:trHeight w:val="315"/>
        </w:trPr>
        <w:tc>
          <w:tcPr>
            <w:tcW w:w="0" w:type="auto"/>
            <w:tcMar>
              <w:top w:w="40" w:type="dxa"/>
              <w:left w:w="40" w:type="dxa"/>
              <w:bottom w:w="40" w:type="dxa"/>
              <w:right w:w="40" w:type="dxa"/>
            </w:tcMar>
            <w:vAlign w:val="bottom"/>
            <w:hideMark/>
          </w:tcPr>
          <w:p w14:paraId="2E59EC60"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Wild-type protein expression</w:t>
            </w:r>
          </w:p>
        </w:tc>
        <w:tc>
          <w:tcPr>
            <w:tcW w:w="1483" w:type="dxa"/>
            <w:tcMar>
              <w:top w:w="40" w:type="dxa"/>
              <w:left w:w="40" w:type="dxa"/>
              <w:bottom w:w="40" w:type="dxa"/>
              <w:right w:w="40" w:type="dxa"/>
            </w:tcMar>
            <w:vAlign w:val="bottom"/>
            <w:hideMark/>
          </w:tcPr>
          <w:p w14:paraId="4ACDFDCF"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2</w:t>
            </w:r>
          </w:p>
        </w:tc>
        <w:tc>
          <w:tcPr>
            <w:tcW w:w="1842" w:type="dxa"/>
            <w:tcMar>
              <w:top w:w="40" w:type="dxa"/>
              <w:left w:w="40" w:type="dxa"/>
              <w:bottom w:w="40" w:type="dxa"/>
              <w:right w:w="40" w:type="dxa"/>
            </w:tcMar>
            <w:vAlign w:val="bottom"/>
            <w:hideMark/>
          </w:tcPr>
          <w:p w14:paraId="5B8ECD5B"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r w:rsidR="00A22968" w:rsidRPr="00A22968" w14:paraId="109B0CC6" w14:textId="77777777" w:rsidTr="00380EA7">
        <w:trPr>
          <w:trHeight w:val="315"/>
        </w:trPr>
        <w:tc>
          <w:tcPr>
            <w:tcW w:w="0" w:type="auto"/>
            <w:tcBorders>
              <w:bottom w:val="single" w:sz="4" w:space="0" w:color="auto"/>
            </w:tcBorders>
            <w:tcMar>
              <w:top w:w="40" w:type="dxa"/>
              <w:left w:w="40" w:type="dxa"/>
              <w:bottom w:w="40" w:type="dxa"/>
              <w:right w:w="40" w:type="dxa"/>
            </w:tcMar>
            <w:vAlign w:val="bottom"/>
            <w:hideMark/>
          </w:tcPr>
          <w:p w14:paraId="299C5CF7" w14:textId="77777777" w:rsidR="00A22968" w:rsidRPr="00A22968" w:rsidRDefault="00A22968">
            <w:pPr>
              <w:pStyle w:val="NormalWeb"/>
              <w:spacing w:before="0" w:beforeAutospacing="0" w:after="0" w:afterAutospacing="0"/>
              <w:ind w:right="6"/>
              <w:rPr>
                <w:rFonts w:asciiTheme="minorHAnsi" w:hAnsiTheme="minorHAnsi" w:cstheme="minorHAnsi"/>
                <w:sz w:val="22"/>
                <w:szCs w:val="22"/>
              </w:rPr>
            </w:pPr>
            <w:r w:rsidRPr="00A22968">
              <w:rPr>
                <w:rFonts w:asciiTheme="minorHAnsi" w:hAnsiTheme="minorHAnsi" w:cstheme="minorHAnsi"/>
                <w:color w:val="000000"/>
                <w:sz w:val="22"/>
                <w:szCs w:val="22"/>
              </w:rPr>
              <w:t>Wild-type RNA expression</w:t>
            </w:r>
          </w:p>
        </w:tc>
        <w:tc>
          <w:tcPr>
            <w:tcW w:w="1483" w:type="dxa"/>
            <w:tcBorders>
              <w:bottom w:val="single" w:sz="4" w:space="0" w:color="auto"/>
            </w:tcBorders>
            <w:tcMar>
              <w:top w:w="40" w:type="dxa"/>
              <w:left w:w="40" w:type="dxa"/>
              <w:bottom w:w="40" w:type="dxa"/>
              <w:right w:w="40" w:type="dxa"/>
            </w:tcMar>
            <w:vAlign w:val="bottom"/>
            <w:hideMark/>
          </w:tcPr>
          <w:p w14:paraId="6EA73230"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27</w:t>
            </w:r>
          </w:p>
        </w:tc>
        <w:tc>
          <w:tcPr>
            <w:tcW w:w="1842" w:type="dxa"/>
            <w:tcBorders>
              <w:bottom w:val="single" w:sz="4" w:space="0" w:color="auto"/>
            </w:tcBorders>
            <w:tcMar>
              <w:top w:w="40" w:type="dxa"/>
              <w:left w:w="40" w:type="dxa"/>
              <w:bottom w:w="40" w:type="dxa"/>
              <w:right w:w="40" w:type="dxa"/>
            </w:tcMar>
            <w:vAlign w:val="bottom"/>
            <w:hideMark/>
          </w:tcPr>
          <w:p w14:paraId="1F3D6010" w14:textId="77777777" w:rsidR="00A22968" w:rsidRPr="00A22968" w:rsidRDefault="00A22968" w:rsidP="00A22968">
            <w:pPr>
              <w:pStyle w:val="NormalWeb"/>
              <w:spacing w:before="0" w:beforeAutospacing="0" w:after="0" w:afterAutospacing="0"/>
              <w:ind w:right="6"/>
              <w:jc w:val="center"/>
              <w:rPr>
                <w:rFonts w:asciiTheme="minorHAnsi" w:hAnsiTheme="minorHAnsi" w:cstheme="minorHAnsi"/>
                <w:sz w:val="22"/>
                <w:szCs w:val="22"/>
              </w:rPr>
            </w:pPr>
            <w:r w:rsidRPr="00A22968">
              <w:rPr>
                <w:rFonts w:asciiTheme="minorHAnsi" w:hAnsiTheme="minorHAnsi" w:cstheme="minorHAnsi"/>
                <w:color w:val="000000"/>
                <w:sz w:val="22"/>
                <w:szCs w:val="22"/>
              </w:rPr>
              <w:t>0</w:t>
            </w:r>
          </w:p>
        </w:tc>
      </w:tr>
    </w:tbl>
    <w:p w14:paraId="1F0232D8" w14:textId="77777777" w:rsidR="00A22968" w:rsidRPr="00A22968" w:rsidRDefault="00A22968">
      <w:pPr>
        <w:rPr>
          <w:rFonts w:asciiTheme="minorHAnsi" w:hAnsiTheme="minorHAnsi" w:cstheme="minorHAnsi"/>
        </w:rPr>
      </w:pPr>
    </w:p>
    <w:sectPr w:rsidR="00A22968" w:rsidRPr="00A22968" w:rsidSect="00411166">
      <w:pgSz w:w="12240" w:h="15840"/>
      <w:pgMar w:top="567" w:right="1185"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E9pHVkEZ" int2:invalidationBookmarkName="" int2:hashCode="WS3Xe6xuuXceRs" int2:id="89fgT12T">
      <int2:state int2:value="Rejected" int2:type="AugLoop_Text_Critique"/>
    </int2:bookmark>
    <int2:bookmark int2:bookmarkName="_Int_0PdahOFW" int2:invalidationBookmarkName="" int2:hashCode="4K3yvqQA3zcrl6" int2:id="PzK4dqoE">
      <int2:state int2:value="Rejected" int2:type="AugLoop_Text_Critique"/>
    </int2:bookmark>
    <int2:bookmark int2:bookmarkName="_Int_p0wE5MpS" int2:invalidationBookmarkName="" int2:hashCode="GSvE9IRpRQBpTl" int2:id="iD9MQTtN">
      <int2:state int2:value="Rejected" int2:type="AugLoop_Text_Critique"/>
    </int2:bookmark>
    <int2:bookmark int2:bookmarkName="_Int_s8RoOQnx" int2:invalidationBookmarkName="" int2:hashCode="X55YArurxx+Sdf" int2:id="xGFPSuaA">
      <int2:state int2:value="Rejected" int2:type="AugLoop_Text_Critique"/>
    </int2:bookmark>
    <int2:bookmark int2:bookmarkName="_Int_D8QAz1QW" int2:invalidationBookmarkName="" int2:hashCode="E1+Tt6RJBbZOzq" int2:id="zCqwXqp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94987"/>
    <w:multiLevelType w:val="multilevel"/>
    <w:tmpl w:val="29A63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354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11166"/>
    <w:rsid w:val="0000074B"/>
    <w:rsid w:val="00027CBB"/>
    <w:rsid w:val="000B1937"/>
    <w:rsid w:val="000D7954"/>
    <w:rsid w:val="00115B03"/>
    <w:rsid w:val="00127B17"/>
    <w:rsid w:val="001D4F9B"/>
    <w:rsid w:val="00217319"/>
    <w:rsid w:val="00220129"/>
    <w:rsid w:val="0024120C"/>
    <w:rsid w:val="002456A9"/>
    <w:rsid w:val="00245FD4"/>
    <w:rsid w:val="002805D7"/>
    <w:rsid w:val="00337D3D"/>
    <w:rsid w:val="00360132"/>
    <w:rsid w:val="00380EA7"/>
    <w:rsid w:val="003B17A5"/>
    <w:rsid w:val="003B55E5"/>
    <w:rsid w:val="003C1E60"/>
    <w:rsid w:val="003D538E"/>
    <w:rsid w:val="00411166"/>
    <w:rsid w:val="0041647B"/>
    <w:rsid w:val="00444C0A"/>
    <w:rsid w:val="005617B3"/>
    <w:rsid w:val="00571F14"/>
    <w:rsid w:val="005A2A76"/>
    <w:rsid w:val="005C7641"/>
    <w:rsid w:val="00620CEF"/>
    <w:rsid w:val="00621544"/>
    <w:rsid w:val="00627A85"/>
    <w:rsid w:val="0064542E"/>
    <w:rsid w:val="00674A6C"/>
    <w:rsid w:val="006A01B2"/>
    <w:rsid w:val="006B4B67"/>
    <w:rsid w:val="006C3E08"/>
    <w:rsid w:val="007524C5"/>
    <w:rsid w:val="007A3A6F"/>
    <w:rsid w:val="007C7D13"/>
    <w:rsid w:val="00804EC7"/>
    <w:rsid w:val="00823C4A"/>
    <w:rsid w:val="00857667"/>
    <w:rsid w:val="00866C66"/>
    <w:rsid w:val="008836F8"/>
    <w:rsid w:val="008B2E4D"/>
    <w:rsid w:val="008D676E"/>
    <w:rsid w:val="008F01C7"/>
    <w:rsid w:val="008F1C7E"/>
    <w:rsid w:val="0090554F"/>
    <w:rsid w:val="00921576"/>
    <w:rsid w:val="00924DB2"/>
    <w:rsid w:val="009652F6"/>
    <w:rsid w:val="00971163"/>
    <w:rsid w:val="00972B2F"/>
    <w:rsid w:val="00A22968"/>
    <w:rsid w:val="00A4382A"/>
    <w:rsid w:val="00AA2BAE"/>
    <w:rsid w:val="00AA603A"/>
    <w:rsid w:val="00AB01A6"/>
    <w:rsid w:val="00AB4B0F"/>
    <w:rsid w:val="00AC048E"/>
    <w:rsid w:val="00AE3BE9"/>
    <w:rsid w:val="00B12556"/>
    <w:rsid w:val="00B16BB5"/>
    <w:rsid w:val="00B40D72"/>
    <w:rsid w:val="00BA04AE"/>
    <w:rsid w:val="00BA41C8"/>
    <w:rsid w:val="00BB4861"/>
    <w:rsid w:val="00BC2B12"/>
    <w:rsid w:val="00C012AE"/>
    <w:rsid w:val="00C34D6E"/>
    <w:rsid w:val="00CA224C"/>
    <w:rsid w:val="00CB16DD"/>
    <w:rsid w:val="00CE72D0"/>
    <w:rsid w:val="00D35404"/>
    <w:rsid w:val="00D731DD"/>
    <w:rsid w:val="00DA4C11"/>
    <w:rsid w:val="00DB03B0"/>
    <w:rsid w:val="00DD0EC4"/>
    <w:rsid w:val="00DD2548"/>
    <w:rsid w:val="00DF0502"/>
    <w:rsid w:val="00DF5D9B"/>
    <w:rsid w:val="00DF7C81"/>
    <w:rsid w:val="00E04A55"/>
    <w:rsid w:val="00E058E2"/>
    <w:rsid w:val="00E06808"/>
    <w:rsid w:val="00E11EEA"/>
    <w:rsid w:val="00E5657D"/>
    <w:rsid w:val="00E70036"/>
    <w:rsid w:val="00E80B1D"/>
    <w:rsid w:val="00EF4283"/>
    <w:rsid w:val="00F10930"/>
    <w:rsid w:val="00F1284A"/>
    <w:rsid w:val="00F7217C"/>
    <w:rsid w:val="00FD2A2A"/>
    <w:rsid w:val="0157354F"/>
    <w:rsid w:val="028FBF46"/>
    <w:rsid w:val="029E27B3"/>
    <w:rsid w:val="032318BE"/>
    <w:rsid w:val="05BAF422"/>
    <w:rsid w:val="05DFAA2A"/>
    <w:rsid w:val="0921B5BB"/>
    <w:rsid w:val="09FAFF4A"/>
    <w:rsid w:val="0ADC0AD6"/>
    <w:rsid w:val="0BA92922"/>
    <w:rsid w:val="0E7A31D5"/>
    <w:rsid w:val="0EBA53E6"/>
    <w:rsid w:val="13447B7D"/>
    <w:rsid w:val="1452A913"/>
    <w:rsid w:val="14F17E72"/>
    <w:rsid w:val="1547612E"/>
    <w:rsid w:val="158B02F4"/>
    <w:rsid w:val="1C10C154"/>
    <w:rsid w:val="1E1B6676"/>
    <w:rsid w:val="1E987B74"/>
    <w:rsid w:val="1F8538E2"/>
    <w:rsid w:val="23FD4DA0"/>
    <w:rsid w:val="2A0A3662"/>
    <w:rsid w:val="2BEE4EAB"/>
    <w:rsid w:val="2D2F5D19"/>
    <w:rsid w:val="30DBF025"/>
    <w:rsid w:val="340EFFED"/>
    <w:rsid w:val="35F481C5"/>
    <w:rsid w:val="37A6FCBF"/>
    <w:rsid w:val="39125630"/>
    <w:rsid w:val="396754C6"/>
    <w:rsid w:val="3BAA0A1F"/>
    <w:rsid w:val="3BE6AACA"/>
    <w:rsid w:val="3C9A0F98"/>
    <w:rsid w:val="3CE0440A"/>
    <w:rsid w:val="3F86E869"/>
    <w:rsid w:val="4078E585"/>
    <w:rsid w:val="4163C91C"/>
    <w:rsid w:val="41F2937C"/>
    <w:rsid w:val="42E854F4"/>
    <w:rsid w:val="440FC8CE"/>
    <w:rsid w:val="44A7CB22"/>
    <w:rsid w:val="45FF6864"/>
    <w:rsid w:val="4629DC1D"/>
    <w:rsid w:val="477C3B69"/>
    <w:rsid w:val="4894C654"/>
    <w:rsid w:val="4CF5704C"/>
    <w:rsid w:val="501F7613"/>
    <w:rsid w:val="5145DF24"/>
    <w:rsid w:val="548C408A"/>
    <w:rsid w:val="54DE912C"/>
    <w:rsid w:val="5531C365"/>
    <w:rsid w:val="558F92BB"/>
    <w:rsid w:val="598492A3"/>
    <w:rsid w:val="59A5FBC5"/>
    <w:rsid w:val="5B7720DE"/>
    <w:rsid w:val="5FC184E6"/>
    <w:rsid w:val="60EA116E"/>
    <w:rsid w:val="61C0A4C9"/>
    <w:rsid w:val="6210ECA7"/>
    <w:rsid w:val="6211F512"/>
    <w:rsid w:val="627095AF"/>
    <w:rsid w:val="634AFC52"/>
    <w:rsid w:val="66770FC8"/>
    <w:rsid w:val="681571B3"/>
    <w:rsid w:val="6925D88F"/>
    <w:rsid w:val="692906EA"/>
    <w:rsid w:val="6968ABA0"/>
    <w:rsid w:val="69A1164F"/>
    <w:rsid w:val="6A196E03"/>
    <w:rsid w:val="6A1D4EA0"/>
    <w:rsid w:val="6B87F7E8"/>
    <w:rsid w:val="6C393464"/>
    <w:rsid w:val="6C4DC70D"/>
    <w:rsid w:val="6EBBF9B7"/>
    <w:rsid w:val="6F2A33C0"/>
    <w:rsid w:val="705FEBC6"/>
    <w:rsid w:val="71423051"/>
    <w:rsid w:val="7308F284"/>
    <w:rsid w:val="73D189E4"/>
    <w:rsid w:val="743BDF53"/>
    <w:rsid w:val="75D0A13A"/>
    <w:rsid w:val="7607206D"/>
    <w:rsid w:val="762F4679"/>
    <w:rsid w:val="76A655B5"/>
    <w:rsid w:val="77422E7C"/>
    <w:rsid w:val="78155D39"/>
    <w:rsid w:val="79646C3F"/>
    <w:rsid w:val="7A105C9A"/>
    <w:rsid w:val="7A91D806"/>
    <w:rsid w:val="7AAD7EAB"/>
    <w:rsid w:val="7E0ABCB5"/>
    <w:rsid w:val="7FCEAD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3180"/>
  <w15:chartTrackingRefBased/>
  <w15:docId w15:val="{96A9422B-CC93-4B7B-8BEB-DE61826A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66"/>
    <w:pPr>
      <w:spacing w:after="200" w:line="276" w:lineRule="auto"/>
      <w:ind w:right="1273"/>
    </w:pPr>
    <w:rPr>
      <w:rFonts w:ascii="Arial" w:eastAsia="Arial" w:hAnsi="Arial" w:cs="Arial"/>
      <w:kern w:val="0"/>
      <w:lang w:val="en-GB"/>
    </w:rPr>
  </w:style>
  <w:style w:type="paragraph" w:styleId="Heading1">
    <w:name w:val="heading 1"/>
    <w:basedOn w:val="Normal"/>
    <w:next w:val="Normal"/>
    <w:link w:val="Heading1Char"/>
    <w:uiPriority w:val="9"/>
    <w:qFormat/>
    <w:rsid w:val="00411166"/>
    <w:pPr>
      <w:keepNext/>
      <w:keepLines/>
      <w:spacing w:before="400" w:after="120"/>
      <w:outlineLvl w:val="0"/>
    </w:pPr>
    <w:rPr>
      <w:sz w:val="32"/>
      <w:szCs w:val="40"/>
    </w:rPr>
  </w:style>
  <w:style w:type="paragraph" w:styleId="Heading2">
    <w:name w:val="heading 2"/>
    <w:basedOn w:val="Normal"/>
    <w:next w:val="Normal"/>
    <w:link w:val="Heading2Char"/>
    <w:uiPriority w:val="9"/>
    <w:unhideWhenUsed/>
    <w:qFormat/>
    <w:rsid w:val="00411166"/>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411166"/>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411166"/>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411166"/>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41116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166"/>
    <w:rPr>
      <w:rFonts w:ascii="Arial" w:eastAsia="Arial" w:hAnsi="Arial" w:cs="Arial"/>
      <w:kern w:val="0"/>
      <w:sz w:val="32"/>
      <w:szCs w:val="40"/>
      <w:lang w:val="en-GB"/>
    </w:rPr>
  </w:style>
  <w:style w:type="character" w:customStyle="1" w:styleId="Heading2Char">
    <w:name w:val="Heading 2 Char"/>
    <w:basedOn w:val="DefaultParagraphFont"/>
    <w:link w:val="Heading2"/>
    <w:uiPriority w:val="9"/>
    <w:rsid w:val="00411166"/>
    <w:rPr>
      <w:rFonts w:ascii="Arial" w:eastAsia="Arial" w:hAnsi="Arial" w:cs="Arial"/>
      <w:kern w:val="0"/>
      <w:sz w:val="32"/>
      <w:szCs w:val="32"/>
      <w:lang w:val="en-GB"/>
    </w:rPr>
  </w:style>
  <w:style w:type="character" w:customStyle="1" w:styleId="Heading3Char">
    <w:name w:val="Heading 3 Char"/>
    <w:basedOn w:val="DefaultParagraphFont"/>
    <w:link w:val="Heading3"/>
    <w:uiPriority w:val="9"/>
    <w:rsid w:val="00411166"/>
    <w:rPr>
      <w:rFonts w:ascii="Arial" w:eastAsia="Arial" w:hAnsi="Arial" w:cs="Arial"/>
      <w:color w:val="434343"/>
      <w:kern w:val="0"/>
      <w:sz w:val="28"/>
      <w:szCs w:val="28"/>
      <w:lang w:val="en-GB"/>
    </w:rPr>
  </w:style>
  <w:style w:type="character" w:customStyle="1" w:styleId="Heading4Char">
    <w:name w:val="Heading 4 Char"/>
    <w:basedOn w:val="DefaultParagraphFont"/>
    <w:link w:val="Heading4"/>
    <w:uiPriority w:val="9"/>
    <w:rsid w:val="00411166"/>
    <w:rPr>
      <w:rFonts w:ascii="Arial" w:eastAsia="Arial" w:hAnsi="Arial" w:cs="Arial"/>
      <w:color w:val="666666"/>
      <w:kern w:val="0"/>
      <w:sz w:val="24"/>
      <w:szCs w:val="24"/>
      <w:lang w:val="en-GB"/>
    </w:rPr>
  </w:style>
  <w:style w:type="character" w:customStyle="1" w:styleId="Heading5Char">
    <w:name w:val="Heading 5 Char"/>
    <w:basedOn w:val="DefaultParagraphFont"/>
    <w:link w:val="Heading5"/>
    <w:uiPriority w:val="9"/>
    <w:semiHidden/>
    <w:rsid w:val="00411166"/>
    <w:rPr>
      <w:rFonts w:ascii="Arial" w:eastAsia="Arial" w:hAnsi="Arial" w:cs="Arial"/>
      <w:color w:val="666666"/>
      <w:kern w:val="0"/>
      <w:lang w:val="en-GB"/>
    </w:rPr>
  </w:style>
  <w:style w:type="character" w:customStyle="1" w:styleId="Heading6Char">
    <w:name w:val="Heading 6 Char"/>
    <w:basedOn w:val="DefaultParagraphFont"/>
    <w:link w:val="Heading6"/>
    <w:uiPriority w:val="9"/>
    <w:semiHidden/>
    <w:rsid w:val="00411166"/>
    <w:rPr>
      <w:rFonts w:ascii="Arial" w:eastAsia="Arial" w:hAnsi="Arial" w:cs="Arial"/>
      <w:i/>
      <w:color w:val="666666"/>
      <w:kern w:val="0"/>
      <w:lang w:val="en-GB"/>
    </w:rPr>
  </w:style>
  <w:style w:type="paragraph" w:styleId="Title">
    <w:name w:val="Title"/>
    <w:basedOn w:val="Normal"/>
    <w:next w:val="Normal"/>
    <w:link w:val="TitleChar"/>
    <w:uiPriority w:val="10"/>
    <w:qFormat/>
    <w:rsid w:val="00411166"/>
    <w:pPr>
      <w:keepNext/>
      <w:keepLines/>
      <w:spacing w:after="60"/>
    </w:pPr>
    <w:rPr>
      <w:sz w:val="52"/>
      <w:szCs w:val="52"/>
    </w:rPr>
  </w:style>
  <w:style w:type="character" w:customStyle="1" w:styleId="TitleChar">
    <w:name w:val="Title Char"/>
    <w:basedOn w:val="DefaultParagraphFont"/>
    <w:link w:val="Title"/>
    <w:uiPriority w:val="10"/>
    <w:rsid w:val="00411166"/>
    <w:rPr>
      <w:rFonts w:ascii="Arial" w:eastAsia="Arial" w:hAnsi="Arial" w:cs="Arial"/>
      <w:kern w:val="0"/>
      <w:sz w:val="52"/>
      <w:szCs w:val="52"/>
      <w:lang w:val="en-GB"/>
    </w:rPr>
  </w:style>
  <w:style w:type="paragraph" w:styleId="Subtitle">
    <w:name w:val="Subtitle"/>
    <w:basedOn w:val="Normal"/>
    <w:next w:val="Normal"/>
    <w:link w:val="SubtitleChar"/>
    <w:uiPriority w:val="11"/>
    <w:qFormat/>
    <w:rsid w:val="00411166"/>
    <w:pPr>
      <w:keepNext/>
      <w:keepLines/>
      <w:spacing w:after="320"/>
    </w:pPr>
    <w:rPr>
      <w:color w:val="666666"/>
      <w:sz w:val="30"/>
      <w:szCs w:val="30"/>
    </w:rPr>
  </w:style>
  <w:style w:type="character" w:customStyle="1" w:styleId="SubtitleChar">
    <w:name w:val="Subtitle Char"/>
    <w:basedOn w:val="DefaultParagraphFont"/>
    <w:link w:val="Subtitle"/>
    <w:uiPriority w:val="11"/>
    <w:rsid w:val="00411166"/>
    <w:rPr>
      <w:rFonts w:ascii="Arial" w:eastAsia="Arial" w:hAnsi="Arial" w:cs="Arial"/>
      <w:color w:val="666666"/>
      <w:kern w:val="0"/>
      <w:sz w:val="30"/>
      <w:szCs w:val="30"/>
      <w:lang w:val="en-GB"/>
    </w:rPr>
  </w:style>
  <w:style w:type="paragraph" w:styleId="CommentText">
    <w:name w:val="annotation text"/>
    <w:basedOn w:val="Normal"/>
    <w:link w:val="CommentTextChar"/>
    <w:uiPriority w:val="99"/>
    <w:unhideWhenUsed/>
    <w:rsid w:val="00411166"/>
    <w:pPr>
      <w:spacing w:line="240" w:lineRule="auto"/>
    </w:pPr>
    <w:rPr>
      <w:sz w:val="20"/>
      <w:szCs w:val="20"/>
    </w:rPr>
  </w:style>
  <w:style w:type="character" w:customStyle="1" w:styleId="CommentTextChar">
    <w:name w:val="Comment Text Char"/>
    <w:basedOn w:val="DefaultParagraphFont"/>
    <w:link w:val="CommentText"/>
    <w:uiPriority w:val="99"/>
    <w:rsid w:val="00411166"/>
    <w:rPr>
      <w:rFonts w:ascii="Arial" w:eastAsia="Arial" w:hAnsi="Arial" w:cs="Arial"/>
      <w:kern w:val="0"/>
      <w:sz w:val="20"/>
      <w:szCs w:val="20"/>
      <w:lang w:val="en-GB"/>
    </w:rPr>
  </w:style>
  <w:style w:type="character" w:styleId="CommentReference">
    <w:name w:val="annotation reference"/>
    <w:basedOn w:val="DefaultParagraphFont"/>
    <w:uiPriority w:val="99"/>
    <w:semiHidden/>
    <w:unhideWhenUsed/>
    <w:rsid w:val="00411166"/>
    <w:rPr>
      <w:sz w:val="16"/>
      <w:szCs w:val="16"/>
    </w:rPr>
  </w:style>
  <w:style w:type="paragraph" w:customStyle="1" w:styleId="EndNoteBibliographyTitle">
    <w:name w:val="EndNote Bibliography Title"/>
    <w:basedOn w:val="Normal"/>
    <w:link w:val="EndNoteBibliographyTitleChar"/>
    <w:rsid w:val="0041116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411166"/>
    <w:rPr>
      <w:rFonts w:ascii="Arial" w:eastAsia="Arial" w:hAnsi="Arial" w:cs="Arial"/>
      <w:noProof/>
      <w:kern w:val="0"/>
    </w:rPr>
  </w:style>
  <w:style w:type="paragraph" w:customStyle="1" w:styleId="EndNoteBibliography">
    <w:name w:val="EndNote Bibliography"/>
    <w:basedOn w:val="Normal"/>
    <w:link w:val="EndNoteBibliographyChar"/>
    <w:rsid w:val="00411166"/>
    <w:pPr>
      <w:spacing w:line="240" w:lineRule="auto"/>
    </w:pPr>
    <w:rPr>
      <w:noProof/>
      <w:lang w:val="en-US"/>
    </w:rPr>
  </w:style>
  <w:style w:type="character" w:customStyle="1" w:styleId="EndNoteBibliographyChar">
    <w:name w:val="EndNote Bibliography Char"/>
    <w:basedOn w:val="DefaultParagraphFont"/>
    <w:link w:val="EndNoteBibliography"/>
    <w:rsid w:val="00411166"/>
    <w:rPr>
      <w:rFonts w:ascii="Arial" w:eastAsia="Arial" w:hAnsi="Arial" w:cs="Arial"/>
      <w:noProof/>
      <w:kern w:val="0"/>
    </w:rPr>
  </w:style>
  <w:style w:type="character" w:styleId="Hyperlink">
    <w:name w:val="Hyperlink"/>
    <w:basedOn w:val="DefaultParagraphFont"/>
    <w:uiPriority w:val="99"/>
    <w:unhideWhenUsed/>
    <w:rsid w:val="00411166"/>
    <w:rPr>
      <w:color w:val="0563C1" w:themeColor="hyperlink"/>
      <w:u w:val="single"/>
    </w:rPr>
  </w:style>
  <w:style w:type="character" w:styleId="UnresolvedMention">
    <w:name w:val="Unresolved Mention"/>
    <w:basedOn w:val="DefaultParagraphFont"/>
    <w:uiPriority w:val="99"/>
    <w:semiHidden/>
    <w:unhideWhenUsed/>
    <w:rsid w:val="00411166"/>
    <w:rPr>
      <w:color w:val="605E5C"/>
      <w:shd w:val="clear" w:color="auto" w:fill="E1DFDD"/>
    </w:rPr>
  </w:style>
  <w:style w:type="character" w:styleId="FollowedHyperlink">
    <w:name w:val="FollowedHyperlink"/>
    <w:basedOn w:val="DefaultParagraphFont"/>
    <w:uiPriority w:val="99"/>
    <w:semiHidden/>
    <w:unhideWhenUsed/>
    <w:rsid w:val="00411166"/>
    <w:rPr>
      <w:color w:val="954F72" w:themeColor="followedHyperlink"/>
      <w:u w:val="single"/>
    </w:rPr>
  </w:style>
  <w:style w:type="paragraph" w:styleId="NormalWeb">
    <w:name w:val="Normal (Web)"/>
    <w:basedOn w:val="Normal"/>
    <w:uiPriority w:val="99"/>
    <w:semiHidden/>
    <w:unhideWhenUsed/>
    <w:rsid w:val="00411166"/>
    <w:pPr>
      <w:spacing w:before="100" w:beforeAutospacing="1" w:after="100" w:afterAutospacing="1" w:line="240" w:lineRule="auto"/>
      <w:ind w:right="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1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166"/>
    <w:rPr>
      <w:rFonts w:ascii="Arial" w:eastAsia="Arial" w:hAnsi="Arial" w:cs="Arial"/>
      <w:kern w:val="0"/>
      <w:lang w:val="en-GB"/>
    </w:rPr>
  </w:style>
  <w:style w:type="paragraph" w:styleId="Footer">
    <w:name w:val="footer"/>
    <w:basedOn w:val="Normal"/>
    <w:link w:val="FooterChar"/>
    <w:uiPriority w:val="99"/>
    <w:unhideWhenUsed/>
    <w:rsid w:val="0041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166"/>
    <w:rPr>
      <w:rFonts w:ascii="Arial" w:eastAsia="Arial" w:hAnsi="Arial" w:cs="Arial"/>
      <w:kern w:val="0"/>
      <w:lang w:val="en-GB"/>
    </w:rPr>
  </w:style>
  <w:style w:type="paragraph" w:styleId="Revision">
    <w:name w:val="Revision"/>
    <w:hidden/>
    <w:uiPriority w:val="99"/>
    <w:semiHidden/>
    <w:rsid w:val="000D7954"/>
    <w:pPr>
      <w:spacing w:after="0" w:line="240" w:lineRule="auto"/>
    </w:pPr>
    <w:rPr>
      <w:rFonts w:ascii="Arial" w:eastAsia="Arial" w:hAnsi="Arial" w:cs="Arial"/>
      <w:kern w:val="0"/>
      <w:lang w:val="en-GB"/>
    </w:rPr>
  </w:style>
  <w:style w:type="paragraph" w:styleId="CommentSubject">
    <w:name w:val="annotation subject"/>
    <w:basedOn w:val="CommentText"/>
    <w:next w:val="CommentText"/>
    <w:link w:val="CommentSubjectChar"/>
    <w:uiPriority w:val="99"/>
    <w:semiHidden/>
    <w:unhideWhenUsed/>
    <w:rsid w:val="00E5657D"/>
    <w:rPr>
      <w:b/>
      <w:bCs/>
    </w:rPr>
  </w:style>
  <w:style w:type="character" w:customStyle="1" w:styleId="CommentSubjectChar">
    <w:name w:val="Comment Subject Char"/>
    <w:basedOn w:val="CommentTextChar"/>
    <w:link w:val="CommentSubject"/>
    <w:uiPriority w:val="99"/>
    <w:semiHidden/>
    <w:rsid w:val="00E5657D"/>
    <w:rPr>
      <w:rFonts w:ascii="Arial" w:eastAsia="Arial" w:hAnsi="Arial" w:cs="Arial"/>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base.org" TargetMode="External"/><Relationship Id="rId13" Type="http://schemas.openxmlformats.org/officeDocument/2006/relationships/hyperlink" Target="https://zenodo.org/" TargetMode="External"/><Relationship Id="rId18" Type="http://schemas.openxmlformats.org/officeDocument/2006/relationships/hyperlink" Target="https://doi.org/10.5281/zenodo.5356870" TargetMode="External"/><Relationship Id="rId26" Type="http://schemas.openxmlformats.org/officeDocument/2006/relationships/hyperlink" Target="https://fungidb.org/fungidb/app" TargetMode="External"/><Relationship Id="rId3" Type="http://schemas.openxmlformats.org/officeDocument/2006/relationships/settings" Target="settings.xml"/><Relationship Id="rId21" Type="http://schemas.openxmlformats.org/officeDocument/2006/relationships/hyperlink" Target="http://phi-blast.phi-base.org" TargetMode="External"/><Relationship Id="rId34" Type="http://schemas.openxmlformats.org/officeDocument/2006/relationships/theme" Target="theme/theme1.xml"/><Relationship Id="rId7" Type="http://schemas.openxmlformats.org/officeDocument/2006/relationships/hyperlink" Target="https://phi5.phi-base.org/" TargetMode="External"/><Relationship Id="rId12" Type="http://schemas.openxmlformats.org/officeDocument/2006/relationships/hyperlink" Target="https://phi5.phi-base.org/" TargetMode="External"/><Relationship Id="rId17" Type="http://schemas.openxmlformats.org/officeDocument/2006/relationships/hyperlink" Target="http://www.phi-base.org" TargetMode="External"/><Relationship Id="rId25" Type="http://schemas.openxmlformats.org/officeDocument/2006/relationships/hyperlink" Target="https://knetminer.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hi5.phi-base.org" TargetMode="External"/><Relationship Id="rId20" Type="http://schemas.openxmlformats.org/officeDocument/2006/relationships/hyperlink" Target="https://doi.org/10.5281/zenodo.10722192" TargetMode="External"/><Relationship Id="rId29" Type="http://schemas.openxmlformats.org/officeDocument/2006/relationships/hyperlink" Target="https://github.com/PHI-base/FunCat" TargetMode="External"/><Relationship Id="rId1" Type="http://schemas.openxmlformats.org/officeDocument/2006/relationships/numbering" Target="numbering.xml"/><Relationship Id="rId6" Type="http://schemas.openxmlformats.org/officeDocument/2006/relationships/hyperlink" Target="http://www.phi-base.org" TargetMode="External"/><Relationship Id="rId11" Type="http://schemas.openxmlformats.org/officeDocument/2006/relationships/hyperlink" Target="https://canto.phi-base.org" TargetMode="External"/><Relationship Id="rId24" Type="http://schemas.openxmlformats.org/officeDocument/2006/relationships/hyperlink" Target="https://ensemblgenomes.org" TargetMode="External"/><Relationship Id="rId32" Type="http://schemas.openxmlformats.org/officeDocument/2006/relationships/image" Target="media/image2.tiff"/><Relationship Id="rId5" Type="http://schemas.openxmlformats.org/officeDocument/2006/relationships/hyperlink" Target="mailto:Kim.Hammond-Kosack@rothamsted.ac.uk" TargetMode="External"/><Relationship Id="rId15" Type="http://schemas.openxmlformats.org/officeDocument/2006/relationships/hyperlink" Target="http://www.phi-base.org" TargetMode="External"/><Relationship Id="rId23" Type="http://schemas.openxmlformats.org/officeDocument/2006/relationships/hyperlink" Target="https://obofoundry.org/ontology/phipo.html" TargetMode="External"/><Relationship Id="rId28" Type="http://schemas.openxmlformats.org/officeDocument/2006/relationships/hyperlink" Target="https://github.com/PHI-base" TargetMode="External"/><Relationship Id="rId10" Type="http://schemas.openxmlformats.org/officeDocument/2006/relationships/hyperlink" Target="http://www.frac.info/" TargetMode="External"/><Relationship Id="rId19" Type="http://schemas.openxmlformats.org/officeDocument/2006/relationships/hyperlink" Target="https://phi5.phi-base.org"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phi-blast.phi-base.org" TargetMode="External"/><Relationship Id="rId14" Type="http://schemas.openxmlformats.org/officeDocument/2006/relationships/hyperlink" Target="https://frictionlessdata.io/" TargetMode="External"/><Relationship Id="rId22" Type="http://schemas.openxmlformats.org/officeDocument/2006/relationships/hyperlink" Target="https://canto.phi-base.org" TargetMode="External"/><Relationship Id="rId27" Type="http://schemas.openxmlformats.org/officeDocument/2006/relationships/hyperlink" Target="https://www.uniprot.org" TargetMode="External"/><Relationship Id="rId30" Type="http://schemas.openxmlformats.org/officeDocument/2006/relationships/hyperlink" Target="https://doi.org/10.5281/zenodo.13960009" TargetMode="External"/><Relationship Id="rId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10171</Words>
  <Characters>57978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Urban</dc:creator>
  <cp:keywords/>
  <dc:description/>
  <cp:lastModifiedBy>Martin Urban</cp:lastModifiedBy>
  <cp:revision>6</cp:revision>
  <cp:lastPrinted>2024-09-19T10:17:00Z</cp:lastPrinted>
  <dcterms:created xsi:type="dcterms:W3CDTF">2024-10-21T15:21:00Z</dcterms:created>
  <dcterms:modified xsi:type="dcterms:W3CDTF">2024-10-21T15:36:00Z</dcterms:modified>
</cp:coreProperties>
</file>