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D9" w:rsidRDefault="00C011D9" w:rsidP="00C011D9">
      <w:pPr>
        <w:pStyle w:val="Heading1"/>
      </w:pPr>
      <w:r>
        <w:t>Derivation of the mortality rate for two insecticides</w:t>
      </w:r>
    </w:p>
    <w:p w:rsidR="00C011D9" w:rsidRDefault="00C011D9" w:rsidP="00C011D9">
      <w:pPr>
        <w:pStyle w:val="NoSpacing"/>
      </w:pPr>
      <w:r>
        <w:t xml:space="preserve">Experimental insecticide literature typically specifies the efficacy of an insecticide as an </w:t>
      </w:r>
      <m:oMath>
        <m:r>
          <w:rPr>
            <w:rFonts w:ascii="Cambria Math" w:hAnsi="Cambria Math"/>
          </w:rPr>
          <m:t>L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50</m:t>
            </m:r>
          </m:sub>
        </m:sSub>
      </m:oMath>
      <w:r>
        <w:t xml:space="preserve"> (the dose of insecticide that results in 50% mortality within a given time period) and gradient, describing the linear response between the log of the dose of insecticide applied and the logit of mortality.</w:t>
      </w:r>
    </w:p>
    <w:p w:rsidR="00C011D9" w:rsidRDefault="00C011D9" w:rsidP="00C011D9">
      <w:pPr>
        <w:pStyle w:val="NoSpacing"/>
      </w:pPr>
      <w:r>
        <w:t>We previously showed how to translate the linear relationship between log-dose and logit-mortality into a per-capita mortality rate</w:t>
      </w:r>
      <w:r w:rsidR="00DC12F7">
        <w:t xml:space="preserve"> </w:t>
      </w:r>
      <w:r w:rsidR="00DC12F7">
        <w:fldChar w:fldCharType="begin"/>
      </w:r>
      <w:r w:rsidR="00DC12F7">
        <w:instrText xml:space="preserve"> ADDIN EN.CITE &lt;EndNote&gt;&lt;Cite&gt;&lt;Author&gt;Helps&lt;/Author&gt;&lt;Year&gt;2017&lt;/Year&gt;&lt;RecNum&gt;1301&lt;/RecNum&gt;&lt;DisplayText&gt;(Helps et al., 2017)&lt;/DisplayText&gt;&lt;record&gt;&lt;rec-number&gt;1301&lt;/rec-number&gt;&lt;foreign-keys&gt;&lt;key app="EN" db-id="9xv5f9ezmzzrrie9vv05zxtmfv5dpzsa9szr" timestamp="1530614677"&gt;1301&lt;/key&gt;&lt;/foreign-keys&gt;&lt;ref-type name="Journal Article"&gt;17&lt;/ref-type&gt;&lt;contributors&gt;&lt;authors&gt;&lt;author&gt;Helps, J. C.&lt;/author&gt;&lt;author&gt;Paveley, N. D.&lt;/author&gt;&lt;author&gt;van den Bosch, F.&lt;/author&gt;&lt;/authors&gt;&lt;/contributors&gt;&lt;titles&gt;&lt;title&gt;Identifying circumstances under which high insecticide dose increases or decreases resistance selection&lt;/title&gt;&lt;secondary-title&gt;Journal of Theoretical Biology&lt;/secondary-title&gt;&lt;/titles&gt;&lt;periodical&gt;&lt;full-title&gt;Journal of Theoretical Biology&lt;/full-title&gt;&lt;abbr-1&gt;J. Theor. Biol.&lt;/abbr-1&gt;&lt;/periodical&gt;&lt;pages&gt;153-167&lt;/pages&gt;&lt;volume&gt;428&lt;/volume&gt;&lt;number&gt;Supplement C&lt;/number&gt;&lt;keywords&gt;&lt;keyword&gt;Insecticide resistance&lt;/keyword&gt;&lt;keyword&gt;Modelling&lt;/keyword&gt;&lt;keyword&gt;Simulation model&lt;/keyword&gt;&lt;keyword&gt;Dosimetry&lt;/keyword&gt;&lt;keyword&gt;Target-site&lt;/keyword&gt;&lt;/keywords&gt;&lt;dates&gt;&lt;year&gt;2017&lt;/year&gt;&lt;pub-dates&gt;&lt;date&gt;2017/09/07/&lt;/date&gt;&lt;/pub-dates&gt;&lt;/dates&gt;&lt;isbn&gt;0022-5193&lt;/isbn&gt;&lt;urls&gt;&lt;related-urls&gt;&lt;url&gt;http://www.sciencedirect.com/science/article/pii/S0022519317302783&lt;/url&gt;&lt;/related-urls&gt;&lt;/urls&gt;&lt;electronic-resource-num&gt;https://doi.org/10.1016/j.jtbi.2017.06.007&lt;/electronic-resource-num&gt;&lt;/record&gt;&lt;/Cite&gt;&lt;/EndNote&gt;</w:instrText>
      </w:r>
      <w:r w:rsidR="00DC12F7">
        <w:fldChar w:fldCharType="separate"/>
      </w:r>
      <w:r w:rsidR="00DC12F7">
        <w:rPr>
          <w:noProof/>
        </w:rPr>
        <w:t>(Helps et al., 2017)</w:t>
      </w:r>
      <w:r w:rsidR="00DC12F7">
        <w:fldChar w:fldCharType="end"/>
      </w:r>
      <w:r>
        <w:t>. Here we extend this to multiple independent insecticides.</w:t>
      </w:r>
    </w:p>
    <w:p w:rsidR="00C011D9" w:rsidRDefault="00C011D9" w:rsidP="00C011D9">
      <w:pPr>
        <w:pStyle w:val="NoSpacing"/>
      </w:pPr>
      <w:r>
        <w:t>Recapping briefly, with a single insecticide, as the logit of mortality is linear with the logit-mortality we can write:</w:t>
      </w:r>
    </w:p>
    <w:p w:rsidR="00C011D9" w:rsidRPr="00884B64" w:rsidRDefault="002E22F0" w:rsidP="00C011D9">
      <w:pPr>
        <w:pStyle w:val="NoSpacing"/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/>
                </w:rPr>
                <m:t>logit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d>
              <m:r>
                <w:rPr>
                  <w:rFonts w:ascii="Cambria Math" w:hAnsi="Cambria Math"/>
                </w:rPr>
                <m:t>=a+b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</m:eqArr>
        </m:oMath>
      </m:oMathPara>
    </w:p>
    <w:p w:rsidR="00C011D9" w:rsidRPr="00884B64" w:rsidRDefault="00C011D9" w:rsidP="00C011D9">
      <w:pPr>
        <w:pStyle w:val="NoSpacing"/>
      </w:pPr>
    </w:p>
    <w:p w:rsidR="00C011D9" w:rsidRDefault="00C011D9" w:rsidP="00C011D9">
      <w:pPr>
        <w:pStyle w:val="NoSpacing"/>
      </w:pPr>
      <w:r>
        <w:t xml:space="preserve">where </w:t>
      </w:r>
      <m:oMath>
        <m:r>
          <w:rPr>
            <w:rFonts w:ascii="Cambria Math" w:hAnsi="Cambria Math"/>
          </w:rPr>
          <m:t>m</m:t>
        </m:r>
      </m:oMath>
      <w:r>
        <w:t xml:space="preserve"> is the mortality within a given time period, and </w:t>
      </w:r>
      <m:oMath>
        <m:r>
          <w:rPr>
            <w:rFonts w:ascii="Cambria Math" w:hAnsi="Cambria Math"/>
          </w:rPr>
          <m:t>D</m:t>
        </m:r>
      </m:oMath>
      <w:r>
        <w:t xml:space="preserve"> the applied insecticide dose, and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 are the intercept and gradient of the logit-mortality ~ log-dose relationship. We showed previously that this rearranges to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</m:oMath>
      <w:r>
        <w:t>.</w:t>
      </w:r>
    </w:p>
    <w:p w:rsidR="00C011D9" w:rsidRDefault="00C011D9" w:rsidP="00C011D9">
      <w:pPr>
        <w:pStyle w:val="NoSpacing"/>
      </w:pPr>
      <w:r>
        <w:t xml:space="preserve">Equating this with the proportion of individuals surviving after one day from a population model with starting density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and mortality rate </w:t>
      </w:r>
      <m:oMath>
        <m:r>
          <w:rPr>
            <w:rFonts w:ascii="Cambria Math" w:hAnsi="Cambria Math"/>
          </w:rPr>
          <m:t>δ</m:t>
        </m:r>
      </m:oMath>
      <w:r>
        <w:t>, we have:</w:t>
      </w:r>
    </w:p>
    <w:p w:rsidR="00C011D9" w:rsidRDefault="002E22F0" w:rsidP="00C011D9">
      <w:pPr>
        <w:pStyle w:val="NoSpacing"/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w:rPr>
                  <w:rFonts w:ascii="Cambria Math" w:hAnsi="Cambria Math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a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a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-δt</m:t>
                  </m:r>
                </m:sup>
              </m:sSup>
              <m:r>
                <w:rPr>
                  <w:rFonts w:ascii="Cambria Math" w:hAnsi="Cambria Math"/>
                </w:rPr>
                <m:t>#</m:t>
              </m:r>
            </m:e>
          </m:eqAr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</m:oMath>
      </m:oMathPara>
    </w:p>
    <w:p w:rsidR="00C011D9" w:rsidRDefault="00C011D9" w:rsidP="00C011D9">
      <w:pPr>
        <w:pStyle w:val="NoSpacing"/>
      </w:pPr>
      <w:r>
        <w:t xml:space="preserve">which can be rearranged for </w:t>
      </w:r>
      <m:oMath>
        <m:r>
          <w:rPr>
            <w:rFonts w:ascii="Cambria Math" w:hAnsi="Cambria Math"/>
          </w:rPr>
          <m:t>δ=-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(1-m)</m:t>
        </m:r>
      </m:oMath>
      <w:r>
        <w:t xml:space="preserve">, and </w:t>
      </w:r>
      <w:r w:rsidR="007E1F83">
        <w:t>since we are looking for the rate</w:t>
      </w:r>
      <w:r w:rsidR="00D141E1">
        <w:t xml:space="preserve"> of mortality</w:t>
      </w:r>
      <w:r w:rsidR="007E1F83">
        <w:t xml:space="preserve"> per </w:t>
      </w:r>
      <w:r w:rsidR="002E22F0">
        <w:t xml:space="preserve">unit </w:t>
      </w:r>
      <w:bookmarkStart w:id="0" w:name="_GoBack"/>
      <w:bookmarkEnd w:id="0"/>
      <w:r w:rsidR="007E1F83">
        <w:t xml:space="preserve">day, the </w:t>
      </w:r>
      <w:r>
        <w:t>time is removed from the equation.</w:t>
      </w:r>
    </w:p>
    <w:p w:rsidR="00C011D9" w:rsidRDefault="00C011D9" w:rsidP="00C011D9">
      <w:pPr>
        <w:pStyle w:val="NoSpacing"/>
      </w:pPr>
      <w:r>
        <w:t xml:space="preserve">With two independent insecticides, we have two (potentially different) logit-dose lines, together with their intercepts and gradient, which we denote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for each insecticide. Similarly,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denote the mortality and dose for each insecticide respectively.</w:t>
      </w:r>
    </w:p>
    <w:p w:rsidR="00C011D9" w:rsidRDefault="00C011D9" w:rsidP="00C011D9">
      <w:pPr>
        <w:pStyle w:val="NoSpacing"/>
      </w:pPr>
      <w:r>
        <w:t>The proportion of survivors (</w:t>
      </w:r>
      <m:oMath>
        <m:r>
          <w:rPr>
            <w:rFonts w:ascii="Cambria Math" w:hAnsi="Cambria Math"/>
          </w:rPr>
          <m:t>s=1-m</m:t>
        </m:r>
      </m:oMath>
      <w:r>
        <w:t xml:space="preserve">) resulting from two independent mortalities is the product of the survivorship: </w:t>
      </w:r>
      <m:oMath>
        <m:r>
          <w:rPr>
            <w:rFonts w:ascii="Cambria Math" w:hAnsi="Cambria Math"/>
          </w:rPr>
          <m:t>s=(1-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. Therefore, </w:t>
      </w:r>
      <m:oMath>
        <m:r>
          <w:rPr>
            <w:rFonts w:ascii="Cambria Math" w:hAnsi="Cambria Math"/>
          </w:rPr>
          <m:t>m=1-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t>.</w:t>
      </w:r>
    </w:p>
    <w:p w:rsidR="00C011D9" w:rsidRDefault="00C011D9" w:rsidP="00C011D9">
      <w:pPr>
        <w:pStyle w:val="NoSpacing"/>
      </w:pPr>
      <w:r>
        <w:t>Combining this with Equation 2 gives:</w:t>
      </w:r>
    </w:p>
    <w:p w:rsidR="00C011D9" w:rsidRDefault="00C011D9" w:rsidP="00C011D9">
      <w:pPr>
        <w:pStyle w:val="NoSpacing"/>
      </w:pPr>
      <m:oMathPara>
        <m:oMath>
          <m:r>
            <w:rPr>
              <w:rFonts w:ascii="Cambria Math" w:hAnsi="Cambria Math"/>
            </w:rPr>
            <m:t>δ=-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e>
          </m:func>
        </m:oMath>
      </m:oMathPara>
    </w:p>
    <w:p w:rsidR="00C011D9" w:rsidRDefault="00C011D9" w:rsidP="00C011D9">
      <w:pPr>
        <w:pStyle w:val="NoSpacing"/>
      </w:pPr>
      <w:r>
        <w:t>which simplifies to:</w:t>
      </w:r>
    </w:p>
    <w:p w:rsidR="00DC12F7" w:rsidRDefault="00C011D9" w:rsidP="00C011D9">
      <w:pPr>
        <w:pStyle w:val="NoSpacing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δ=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sup>
                      </m:s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sup>
                      </m:sSubSup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sup>
                      </m:s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sup>
                      </m:sSubSup>
                    </m:e>
                  </m:d>
                </m:e>
              </m:d>
            </m:e>
          </m:func>
        </m:oMath>
      </m:oMathPara>
    </w:p>
    <w:p w:rsidR="00DC12F7" w:rsidRDefault="00DC12F7" w:rsidP="00C011D9">
      <w:pPr>
        <w:pStyle w:val="NoSpacing"/>
        <w:rPr>
          <w:rFonts w:ascii="Cambria Math" w:hAnsi="Cambria Math"/>
          <w:oMath/>
        </w:rPr>
      </w:pPr>
    </w:p>
    <w:p w:rsidR="00B0326C" w:rsidRPr="00B0326C" w:rsidRDefault="00270C16" w:rsidP="00270C16">
      <w:pPr>
        <w:pStyle w:val="Heading2"/>
      </w:pPr>
      <w:r>
        <w:t>References</w:t>
      </w:r>
    </w:p>
    <w:p w:rsidR="00DC12F7" w:rsidRPr="00DC12F7" w:rsidRDefault="00DC12F7" w:rsidP="00DC12F7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DC12F7">
        <w:t>Helps, J. C., Paveley, N. D., van den Bosch, F., 2017. Identifying circumstances under which high insecticide dose increases or decreases resistance selection. Journal of Theoretical Biology 428, 153-167, doi:</w:t>
      </w:r>
      <w:hyperlink r:id="rId5" w:history="1">
        <w:r w:rsidRPr="00DC12F7">
          <w:rPr>
            <w:rStyle w:val="Hyperlink"/>
          </w:rPr>
          <w:t>https://doi.org/10.1016/j.jtbi.2017.06.007</w:t>
        </w:r>
      </w:hyperlink>
      <w:r w:rsidRPr="00DC12F7">
        <w:t>.</w:t>
      </w:r>
    </w:p>
    <w:p w:rsidR="00C011D9" w:rsidRPr="006D36AE" w:rsidRDefault="00DC12F7" w:rsidP="00C011D9">
      <w:pPr>
        <w:pStyle w:val="NoSpacing"/>
      </w:pPr>
      <w:r>
        <w:fldChar w:fldCharType="end"/>
      </w:r>
    </w:p>
    <w:sectPr w:rsidR="00C011D9" w:rsidRPr="006D3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358"/>
    <w:multiLevelType w:val="hybridMultilevel"/>
    <w:tmpl w:val="E7D69CC6"/>
    <w:lvl w:ilvl="0" w:tplc="46B62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467"/>
    <w:multiLevelType w:val="hybridMultilevel"/>
    <w:tmpl w:val="DEDA0434"/>
    <w:lvl w:ilvl="0" w:tplc="FE06C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89A"/>
    <w:multiLevelType w:val="hybridMultilevel"/>
    <w:tmpl w:val="6CA2040C"/>
    <w:lvl w:ilvl="0" w:tplc="F5F66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C4F"/>
    <w:multiLevelType w:val="hybridMultilevel"/>
    <w:tmpl w:val="57E8B64A"/>
    <w:lvl w:ilvl="0" w:tplc="800CB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35AE"/>
    <w:multiLevelType w:val="hybridMultilevel"/>
    <w:tmpl w:val="F9FCE7C2"/>
    <w:lvl w:ilvl="0" w:tplc="638E9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052A"/>
    <w:multiLevelType w:val="hybridMultilevel"/>
    <w:tmpl w:val="75162CEC"/>
    <w:lvl w:ilvl="0" w:tplc="A7E0D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1950"/>
    <w:multiLevelType w:val="hybridMultilevel"/>
    <w:tmpl w:val="13422844"/>
    <w:lvl w:ilvl="0" w:tplc="A5A42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65746"/>
    <w:multiLevelType w:val="hybridMultilevel"/>
    <w:tmpl w:val="22325AF4"/>
    <w:lvl w:ilvl="0" w:tplc="CE621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42B40"/>
    <w:multiLevelType w:val="hybridMultilevel"/>
    <w:tmpl w:val="B248225E"/>
    <w:lvl w:ilvl="0" w:tplc="ED102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384F"/>
    <w:multiLevelType w:val="hybridMultilevel"/>
    <w:tmpl w:val="B79A0F44"/>
    <w:lvl w:ilvl="0" w:tplc="448ABC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474264EB"/>
    <w:multiLevelType w:val="hybridMultilevel"/>
    <w:tmpl w:val="C444F5A2"/>
    <w:lvl w:ilvl="0" w:tplc="7004B8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63E"/>
    <w:multiLevelType w:val="hybridMultilevel"/>
    <w:tmpl w:val="A874E3B0"/>
    <w:lvl w:ilvl="0" w:tplc="D4BCC7D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D1AFE"/>
    <w:multiLevelType w:val="hybridMultilevel"/>
    <w:tmpl w:val="81CE5364"/>
    <w:lvl w:ilvl="0" w:tplc="AEAA4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256F4"/>
    <w:multiLevelType w:val="hybridMultilevel"/>
    <w:tmpl w:val="C538A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A1F20"/>
    <w:multiLevelType w:val="hybridMultilevel"/>
    <w:tmpl w:val="D26C076A"/>
    <w:lvl w:ilvl="0" w:tplc="0234E7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17547"/>
    <w:multiLevelType w:val="hybridMultilevel"/>
    <w:tmpl w:val="CB4242B4"/>
    <w:lvl w:ilvl="0" w:tplc="63E4BF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9425F"/>
    <w:multiLevelType w:val="hybridMultilevel"/>
    <w:tmpl w:val="F8322342"/>
    <w:lvl w:ilvl="0" w:tplc="835CF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E09"/>
    <w:multiLevelType w:val="hybridMultilevel"/>
    <w:tmpl w:val="0E08A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D5DDF"/>
    <w:multiLevelType w:val="hybridMultilevel"/>
    <w:tmpl w:val="24AE9C4C"/>
    <w:lvl w:ilvl="0" w:tplc="A13AAD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47B25"/>
    <w:multiLevelType w:val="hybridMultilevel"/>
    <w:tmpl w:val="FC644016"/>
    <w:lvl w:ilvl="0" w:tplc="52ECC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70C58"/>
    <w:multiLevelType w:val="hybridMultilevel"/>
    <w:tmpl w:val="9EA83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E2710"/>
    <w:multiLevelType w:val="hybridMultilevel"/>
    <w:tmpl w:val="9F702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3CC0"/>
    <w:multiLevelType w:val="hybridMultilevel"/>
    <w:tmpl w:val="A7ECA240"/>
    <w:lvl w:ilvl="0" w:tplc="DC8CA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71A59"/>
    <w:multiLevelType w:val="hybridMultilevel"/>
    <w:tmpl w:val="E7FEB2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6A7B"/>
    <w:multiLevelType w:val="hybridMultilevel"/>
    <w:tmpl w:val="DC8A2B44"/>
    <w:lvl w:ilvl="0" w:tplc="ED047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E5D28"/>
    <w:multiLevelType w:val="hybridMultilevel"/>
    <w:tmpl w:val="EB7A4AA6"/>
    <w:lvl w:ilvl="0" w:tplc="735C2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83A7D"/>
    <w:multiLevelType w:val="hybridMultilevel"/>
    <w:tmpl w:val="70A6316A"/>
    <w:lvl w:ilvl="0" w:tplc="CCFC5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C4140"/>
    <w:multiLevelType w:val="hybridMultilevel"/>
    <w:tmpl w:val="F216B820"/>
    <w:lvl w:ilvl="0" w:tplc="9F38C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E636B"/>
    <w:multiLevelType w:val="hybridMultilevel"/>
    <w:tmpl w:val="631C9920"/>
    <w:lvl w:ilvl="0" w:tplc="41860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B49F2"/>
    <w:multiLevelType w:val="hybridMultilevel"/>
    <w:tmpl w:val="77E4DF7C"/>
    <w:lvl w:ilvl="0" w:tplc="F1B40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206E1"/>
    <w:multiLevelType w:val="hybridMultilevel"/>
    <w:tmpl w:val="273C6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5"/>
  </w:num>
  <w:num w:numId="5">
    <w:abstractNumId w:val="25"/>
  </w:num>
  <w:num w:numId="6">
    <w:abstractNumId w:val="3"/>
  </w:num>
  <w:num w:numId="7">
    <w:abstractNumId w:val="24"/>
  </w:num>
  <w:num w:numId="8">
    <w:abstractNumId w:val="2"/>
  </w:num>
  <w:num w:numId="9">
    <w:abstractNumId w:val="28"/>
  </w:num>
  <w:num w:numId="10">
    <w:abstractNumId w:val="16"/>
  </w:num>
  <w:num w:numId="11">
    <w:abstractNumId w:val="30"/>
  </w:num>
  <w:num w:numId="12">
    <w:abstractNumId w:val="18"/>
  </w:num>
  <w:num w:numId="13">
    <w:abstractNumId w:val="10"/>
  </w:num>
  <w:num w:numId="14">
    <w:abstractNumId w:val="4"/>
  </w:num>
  <w:num w:numId="15">
    <w:abstractNumId w:val="15"/>
  </w:num>
  <w:num w:numId="16">
    <w:abstractNumId w:val="8"/>
  </w:num>
  <w:num w:numId="17">
    <w:abstractNumId w:val="29"/>
  </w:num>
  <w:num w:numId="18">
    <w:abstractNumId w:val="20"/>
  </w:num>
  <w:num w:numId="19">
    <w:abstractNumId w:val="22"/>
  </w:num>
  <w:num w:numId="20">
    <w:abstractNumId w:val="21"/>
  </w:num>
  <w:num w:numId="21">
    <w:abstractNumId w:val="6"/>
  </w:num>
  <w:num w:numId="22">
    <w:abstractNumId w:val="17"/>
  </w:num>
  <w:num w:numId="23">
    <w:abstractNumId w:val="27"/>
  </w:num>
  <w:num w:numId="24">
    <w:abstractNumId w:val="7"/>
  </w:num>
  <w:num w:numId="25">
    <w:abstractNumId w:val="13"/>
  </w:num>
  <w:num w:numId="26">
    <w:abstractNumId w:val="23"/>
  </w:num>
  <w:num w:numId="27">
    <w:abstractNumId w:val="1"/>
  </w:num>
  <w:num w:numId="28">
    <w:abstractNumId w:val="0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Theoretical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v5f9ezmzzrrie9vv05zxtmfv5dpzsa9szr&quot;&gt;My EndNote Library&lt;record-ids&gt;&lt;item&gt;1301&lt;/item&gt;&lt;/record-ids&gt;&lt;/item&gt;&lt;/Libraries&gt;"/>
  </w:docVars>
  <w:rsids>
    <w:rsidRoot w:val="00C011D9"/>
    <w:rsid w:val="00270C16"/>
    <w:rsid w:val="002E22F0"/>
    <w:rsid w:val="006D36AE"/>
    <w:rsid w:val="007E1F83"/>
    <w:rsid w:val="00B0326C"/>
    <w:rsid w:val="00C011D9"/>
    <w:rsid w:val="00D141E1"/>
    <w:rsid w:val="00D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D22B"/>
  <w15:chartTrackingRefBased/>
  <w15:docId w15:val="{435D050B-36A4-42BC-A25D-243E5F46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1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1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1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1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11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011D9"/>
    <w:pPr>
      <w:ind w:left="720"/>
      <w:contextualSpacing/>
    </w:pPr>
  </w:style>
  <w:style w:type="table" w:styleId="TableGrid">
    <w:name w:val="Table Grid"/>
    <w:basedOn w:val="TableNormal"/>
    <w:uiPriority w:val="59"/>
    <w:rsid w:val="00C0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011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D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011D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11D9"/>
  </w:style>
  <w:style w:type="character" w:customStyle="1" w:styleId="EndNoteBibliographyTitleChar">
    <w:name w:val="EndNote Bibliography Title Char"/>
    <w:basedOn w:val="ListParagraphChar"/>
    <w:link w:val="EndNoteBibliographyTitle"/>
    <w:rsid w:val="00C011D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11D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C011D9"/>
    <w:rPr>
      <w:rFonts w:ascii="Calibri" w:hAnsi="Calibri" w:cs="Calibri"/>
      <w:noProof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011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C011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D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011D9"/>
    <w:rPr>
      <w:color w:val="808080"/>
    </w:rPr>
  </w:style>
  <w:style w:type="table" w:styleId="MediumList2">
    <w:name w:val="Medium List 2"/>
    <w:basedOn w:val="TableNormal"/>
    <w:uiPriority w:val="66"/>
    <w:rsid w:val="00C01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C011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011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C011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011D9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GridTable5Dark">
    <w:name w:val="Grid Table 5 Dark"/>
    <w:basedOn w:val="TableNormal"/>
    <w:uiPriority w:val="50"/>
    <w:rsid w:val="00C011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11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3">
    <w:name w:val="Grid Table 3"/>
    <w:basedOn w:val="TableNormal"/>
    <w:uiPriority w:val="48"/>
    <w:rsid w:val="00C011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C011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C011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2-Accent1">
    <w:name w:val="Medium List 2 Accent 1"/>
    <w:basedOn w:val="TableNormal"/>
    <w:uiPriority w:val="66"/>
    <w:rsid w:val="00C01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1Light">
    <w:name w:val="Grid Table 1 Light"/>
    <w:basedOn w:val="TableNormal"/>
    <w:uiPriority w:val="46"/>
    <w:rsid w:val="00C011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">
    <w:name w:val="Grid Table 7 Colorful"/>
    <w:basedOn w:val="TableNormal"/>
    <w:uiPriority w:val="52"/>
    <w:rsid w:val="00C01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D9"/>
  </w:style>
  <w:style w:type="paragraph" w:styleId="Footer">
    <w:name w:val="footer"/>
    <w:basedOn w:val="Normal"/>
    <w:link w:val="FooterChar"/>
    <w:uiPriority w:val="99"/>
    <w:unhideWhenUsed/>
    <w:rsid w:val="00C0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D9"/>
  </w:style>
  <w:style w:type="table" w:styleId="PlainTable2">
    <w:name w:val="Plain Table 2"/>
    <w:basedOn w:val="TableNormal"/>
    <w:uiPriority w:val="42"/>
    <w:rsid w:val="00C011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C011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C011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jtbi.2017.06.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Helps</dc:creator>
  <cp:keywords/>
  <dc:description/>
  <cp:lastModifiedBy>Joe Helps</cp:lastModifiedBy>
  <cp:revision>8</cp:revision>
  <dcterms:created xsi:type="dcterms:W3CDTF">2019-02-15T11:17:00Z</dcterms:created>
  <dcterms:modified xsi:type="dcterms:W3CDTF">2019-08-01T12:25:00Z</dcterms:modified>
</cp:coreProperties>
</file>