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EE0459" w14:textId="508EFB78" w:rsidR="00D503A3" w:rsidRPr="005629D6" w:rsidRDefault="00AA74DF" w:rsidP="00E57BEB">
      <w:pPr>
        <w:suppressLineNumbers/>
        <w:jc w:val="left"/>
        <w:rPr>
          <w:rFonts w:eastAsiaTheme="majorEastAsia" w:cstheme="minorHAnsi"/>
          <w:b/>
          <w:bCs/>
          <w:spacing w:val="-10"/>
          <w:kern w:val="28"/>
          <w:sz w:val="32"/>
          <w:szCs w:val="32"/>
        </w:rPr>
      </w:pPr>
      <w:bookmarkStart w:id="0" w:name="_Hlk37669164"/>
      <w:bookmarkEnd w:id="0"/>
      <w:r w:rsidRPr="005629D6">
        <w:rPr>
          <w:rStyle w:val="TitleChar"/>
          <w:rFonts w:asciiTheme="minorHAnsi" w:hAnsiTheme="minorHAnsi" w:cstheme="minorHAnsi"/>
          <w:b/>
          <w:bCs/>
          <w:sz w:val="32"/>
          <w:szCs w:val="32"/>
        </w:rPr>
        <w:t>Computational investigation of aphid odorant receptor structure and binding function</w:t>
      </w:r>
    </w:p>
    <w:p w14:paraId="05299603" w14:textId="47121C4E" w:rsidR="00D503A3" w:rsidRPr="005629D6" w:rsidRDefault="00D503A3" w:rsidP="00050FB1">
      <w:pPr>
        <w:suppressLineNumbers/>
        <w:rPr>
          <w:sz w:val="22"/>
        </w:rPr>
      </w:pPr>
      <w:r w:rsidRPr="005629D6">
        <w:rPr>
          <w:sz w:val="22"/>
        </w:rPr>
        <w:t>Cassie Sims</w:t>
      </w:r>
      <w:r w:rsidRPr="005629D6">
        <w:rPr>
          <w:sz w:val="22"/>
          <w:vertAlign w:val="superscript"/>
        </w:rPr>
        <w:t>1,2</w:t>
      </w:r>
      <w:r w:rsidRPr="005629D6">
        <w:rPr>
          <w:sz w:val="22"/>
        </w:rPr>
        <w:t>, David Withall</w:t>
      </w:r>
      <w:r w:rsidRPr="005629D6">
        <w:rPr>
          <w:sz w:val="22"/>
          <w:vertAlign w:val="superscript"/>
        </w:rPr>
        <w:t>1</w:t>
      </w:r>
      <w:r w:rsidR="00AC3B23" w:rsidRPr="005629D6">
        <w:rPr>
          <w:sz w:val="22"/>
          <w:vertAlign w:val="superscript"/>
        </w:rPr>
        <w:t>*</w:t>
      </w:r>
      <w:r w:rsidRPr="005629D6">
        <w:rPr>
          <w:sz w:val="22"/>
        </w:rPr>
        <w:t>, Neil Oldham</w:t>
      </w:r>
      <w:r w:rsidRPr="005629D6">
        <w:rPr>
          <w:sz w:val="22"/>
          <w:vertAlign w:val="superscript"/>
        </w:rPr>
        <w:t>2</w:t>
      </w:r>
      <w:r w:rsidRPr="005629D6">
        <w:rPr>
          <w:sz w:val="22"/>
        </w:rPr>
        <w:t>, Robert Stockman</w:t>
      </w:r>
      <w:r w:rsidRPr="005629D6">
        <w:rPr>
          <w:sz w:val="22"/>
          <w:vertAlign w:val="superscript"/>
        </w:rPr>
        <w:t>2</w:t>
      </w:r>
      <w:r w:rsidRPr="005629D6">
        <w:rPr>
          <w:sz w:val="22"/>
        </w:rPr>
        <w:t>, Michael Birkett</w:t>
      </w:r>
      <w:r w:rsidRPr="005629D6">
        <w:rPr>
          <w:sz w:val="22"/>
          <w:vertAlign w:val="superscript"/>
        </w:rPr>
        <w:t>1</w:t>
      </w:r>
    </w:p>
    <w:p w14:paraId="276CB61A" w14:textId="77777777" w:rsidR="00D503A3" w:rsidRPr="005629D6" w:rsidRDefault="00D503A3" w:rsidP="00050FB1">
      <w:pPr>
        <w:pStyle w:val="ListParagraph"/>
        <w:numPr>
          <w:ilvl w:val="0"/>
          <w:numId w:val="3"/>
        </w:numPr>
        <w:suppressLineNumbers/>
        <w:spacing w:line="259" w:lineRule="auto"/>
        <w:jc w:val="left"/>
        <w:rPr>
          <w:sz w:val="22"/>
        </w:rPr>
      </w:pPr>
      <w:r w:rsidRPr="005629D6">
        <w:rPr>
          <w:sz w:val="22"/>
        </w:rPr>
        <w:t>Biointeractions and Crop Protection Department, Rothamsted Research, Harpenden, Hertfordshire, AL5 2JQ, UK</w:t>
      </w:r>
    </w:p>
    <w:p w14:paraId="1092C217" w14:textId="4C654353" w:rsidR="00D503A3" w:rsidRPr="005629D6" w:rsidRDefault="00D503A3" w:rsidP="00050FB1">
      <w:pPr>
        <w:pStyle w:val="ListParagraph"/>
        <w:numPr>
          <w:ilvl w:val="0"/>
          <w:numId w:val="3"/>
        </w:numPr>
        <w:suppressLineNumbers/>
        <w:spacing w:line="259" w:lineRule="auto"/>
        <w:jc w:val="left"/>
        <w:rPr>
          <w:sz w:val="22"/>
        </w:rPr>
      </w:pPr>
      <w:r w:rsidRPr="005629D6">
        <w:rPr>
          <w:sz w:val="22"/>
        </w:rPr>
        <w:t>School of Chemistry, University of Nottingham, NG2 2</w:t>
      </w:r>
      <w:r w:rsidR="00652902" w:rsidRPr="005629D6">
        <w:rPr>
          <w:sz w:val="22"/>
        </w:rPr>
        <w:t>RD</w:t>
      </w:r>
      <w:r w:rsidRPr="005629D6">
        <w:rPr>
          <w:sz w:val="22"/>
        </w:rPr>
        <w:t>, UK</w:t>
      </w:r>
    </w:p>
    <w:p w14:paraId="692C9A22" w14:textId="39948DD2" w:rsidR="00D503A3" w:rsidRPr="005629D6" w:rsidRDefault="00E57BEB" w:rsidP="00050FB1">
      <w:pPr>
        <w:suppressLineNumbers/>
        <w:rPr>
          <w:rStyle w:val="Hyperlink"/>
          <w:sz w:val="22"/>
        </w:rPr>
      </w:pPr>
      <w:r w:rsidRPr="005629D6">
        <w:rPr>
          <w:sz w:val="22"/>
        </w:rPr>
        <w:t>*</w:t>
      </w:r>
      <w:r w:rsidR="00D503A3" w:rsidRPr="005629D6">
        <w:rPr>
          <w:sz w:val="22"/>
        </w:rPr>
        <w:t xml:space="preserve">Correspondence: </w:t>
      </w:r>
      <w:hyperlink r:id="rId11" w:history="1">
        <w:r w:rsidR="00AC3B23" w:rsidRPr="005629D6">
          <w:rPr>
            <w:rStyle w:val="Hyperlink"/>
            <w:sz w:val="22"/>
          </w:rPr>
          <w:t>david.withall@rothamsted.ac.uk</w:t>
        </w:r>
      </w:hyperlink>
      <w:r w:rsidR="00AC3B23" w:rsidRPr="005629D6">
        <w:rPr>
          <w:sz w:val="22"/>
        </w:rPr>
        <w:t xml:space="preserve"> </w:t>
      </w:r>
    </w:p>
    <w:p w14:paraId="2D7021EB" w14:textId="41D2000D" w:rsidR="008A48D4" w:rsidRPr="005629D6" w:rsidRDefault="008A48D4" w:rsidP="00050FB1">
      <w:pPr>
        <w:suppressLineNumbers/>
        <w:rPr>
          <w:rStyle w:val="Hyperlink"/>
        </w:rPr>
      </w:pPr>
    </w:p>
    <w:p w14:paraId="3058B7BC" w14:textId="568D65F0" w:rsidR="008A48D4" w:rsidRPr="005629D6" w:rsidRDefault="008A48D4" w:rsidP="00050FB1">
      <w:pPr>
        <w:suppressLineNumbers/>
        <w:rPr>
          <w:rStyle w:val="Hyperlink"/>
        </w:rPr>
      </w:pPr>
    </w:p>
    <w:p w14:paraId="098C7C56" w14:textId="6D8AA20B" w:rsidR="008A48D4" w:rsidRPr="005629D6" w:rsidRDefault="008A48D4" w:rsidP="00050FB1">
      <w:pPr>
        <w:suppressLineNumbers/>
        <w:rPr>
          <w:rStyle w:val="Hyperlink"/>
        </w:rPr>
      </w:pPr>
    </w:p>
    <w:p w14:paraId="7A775FAD" w14:textId="509E6E67" w:rsidR="008A48D4" w:rsidRPr="005629D6" w:rsidRDefault="008A48D4" w:rsidP="00050FB1">
      <w:pPr>
        <w:suppressLineNumbers/>
        <w:rPr>
          <w:rStyle w:val="Hyperlink"/>
        </w:rPr>
      </w:pPr>
    </w:p>
    <w:p w14:paraId="68FE3750" w14:textId="7B9CE65B" w:rsidR="008A48D4" w:rsidRPr="005629D6" w:rsidRDefault="008A48D4" w:rsidP="00050FB1">
      <w:pPr>
        <w:suppressLineNumbers/>
        <w:rPr>
          <w:rStyle w:val="Hyperlink"/>
        </w:rPr>
      </w:pPr>
    </w:p>
    <w:p w14:paraId="4D3E1949" w14:textId="625CD278" w:rsidR="008A48D4" w:rsidRPr="005629D6" w:rsidRDefault="008A48D4" w:rsidP="00050FB1">
      <w:pPr>
        <w:suppressLineNumbers/>
        <w:rPr>
          <w:rStyle w:val="Hyperlink"/>
        </w:rPr>
      </w:pPr>
    </w:p>
    <w:p w14:paraId="1E033457" w14:textId="7BFBB2E9" w:rsidR="008A48D4" w:rsidRPr="005629D6" w:rsidRDefault="008A48D4" w:rsidP="00050FB1">
      <w:pPr>
        <w:suppressLineNumbers/>
        <w:rPr>
          <w:rStyle w:val="Hyperlink"/>
        </w:rPr>
      </w:pPr>
    </w:p>
    <w:p w14:paraId="020B9586" w14:textId="1173F958" w:rsidR="008A48D4" w:rsidRPr="005629D6" w:rsidRDefault="008A48D4" w:rsidP="00050FB1">
      <w:pPr>
        <w:suppressLineNumbers/>
        <w:rPr>
          <w:rStyle w:val="Hyperlink"/>
        </w:rPr>
      </w:pPr>
    </w:p>
    <w:p w14:paraId="29315946" w14:textId="653A94AA" w:rsidR="008A48D4" w:rsidRPr="005629D6" w:rsidRDefault="008A48D4" w:rsidP="00050FB1">
      <w:pPr>
        <w:suppressLineNumbers/>
        <w:rPr>
          <w:rStyle w:val="Hyperlink"/>
        </w:rPr>
      </w:pPr>
    </w:p>
    <w:p w14:paraId="13662D7B" w14:textId="51EB747D" w:rsidR="008A48D4" w:rsidRPr="005629D6" w:rsidRDefault="008A48D4" w:rsidP="00050FB1">
      <w:pPr>
        <w:suppressLineNumbers/>
        <w:rPr>
          <w:rStyle w:val="Hyperlink"/>
        </w:rPr>
      </w:pPr>
    </w:p>
    <w:p w14:paraId="50E0D113" w14:textId="5BC1B4CB" w:rsidR="008A48D4" w:rsidRPr="005629D6" w:rsidRDefault="008A48D4" w:rsidP="00050FB1">
      <w:pPr>
        <w:suppressLineNumbers/>
        <w:rPr>
          <w:rStyle w:val="Hyperlink"/>
        </w:rPr>
      </w:pPr>
    </w:p>
    <w:p w14:paraId="3141C95B" w14:textId="43D67A54" w:rsidR="008A48D4" w:rsidRPr="005629D6" w:rsidRDefault="008A48D4" w:rsidP="00050FB1">
      <w:pPr>
        <w:suppressLineNumbers/>
        <w:rPr>
          <w:rStyle w:val="Hyperlink"/>
        </w:rPr>
      </w:pPr>
    </w:p>
    <w:p w14:paraId="161FD34B" w14:textId="5DF99180" w:rsidR="008A48D4" w:rsidRPr="005629D6" w:rsidRDefault="008A48D4" w:rsidP="00050FB1">
      <w:pPr>
        <w:suppressLineNumbers/>
        <w:rPr>
          <w:rStyle w:val="Hyperlink"/>
        </w:rPr>
      </w:pPr>
    </w:p>
    <w:p w14:paraId="4A4FD09D" w14:textId="7302ED33" w:rsidR="008A48D4" w:rsidRPr="005629D6" w:rsidRDefault="008A48D4" w:rsidP="00050FB1">
      <w:pPr>
        <w:suppressLineNumbers/>
        <w:rPr>
          <w:rStyle w:val="Hyperlink"/>
        </w:rPr>
      </w:pPr>
    </w:p>
    <w:p w14:paraId="5252B962" w14:textId="4A9EC82E" w:rsidR="008A48D4" w:rsidRPr="005629D6" w:rsidRDefault="008A48D4" w:rsidP="00050FB1">
      <w:pPr>
        <w:suppressLineNumbers/>
        <w:rPr>
          <w:rStyle w:val="Hyperlink"/>
        </w:rPr>
      </w:pPr>
    </w:p>
    <w:p w14:paraId="487275E9" w14:textId="6A224661" w:rsidR="008A48D4" w:rsidRPr="005629D6" w:rsidRDefault="008A48D4" w:rsidP="00050FB1">
      <w:pPr>
        <w:suppressLineNumbers/>
        <w:rPr>
          <w:rStyle w:val="Hyperlink"/>
        </w:rPr>
      </w:pPr>
    </w:p>
    <w:p w14:paraId="3FF2F62B" w14:textId="745B7C16" w:rsidR="008A48D4" w:rsidRPr="005629D6" w:rsidRDefault="008A48D4" w:rsidP="00050FB1">
      <w:pPr>
        <w:suppressLineNumbers/>
        <w:rPr>
          <w:rStyle w:val="Hyperlink"/>
        </w:rPr>
      </w:pPr>
    </w:p>
    <w:p w14:paraId="74B45F62" w14:textId="77777777" w:rsidR="009C013F" w:rsidRPr="005629D6" w:rsidRDefault="009C013F" w:rsidP="00050FB1">
      <w:pPr>
        <w:suppressLineNumbers/>
        <w:rPr>
          <w:rStyle w:val="Hyperlink"/>
        </w:rPr>
      </w:pPr>
    </w:p>
    <w:p w14:paraId="6BE93974" w14:textId="77777777" w:rsidR="008A48D4" w:rsidRPr="005629D6" w:rsidRDefault="008A48D4" w:rsidP="00050FB1">
      <w:pPr>
        <w:suppressLineNumbers/>
      </w:pPr>
    </w:p>
    <w:p w14:paraId="3CA13816" w14:textId="77777777" w:rsidR="00C267C5" w:rsidRPr="005629D6" w:rsidRDefault="00C267C5" w:rsidP="00050FB1">
      <w:pPr>
        <w:suppressLineNumbers/>
        <w:spacing w:line="259" w:lineRule="auto"/>
        <w:jc w:val="left"/>
      </w:pPr>
    </w:p>
    <w:p w14:paraId="6F534E1B" w14:textId="12699CED" w:rsidR="00D41764" w:rsidRPr="005629D6" w:rsidRDefault="00AA74DF" w:rsidP="00925076">
      <w:pPr>
        <w:rPr>
          <w:rFonts w:asciiTheme="majorHAnsi" w:eastAsiaTheme="majorEastAsia" w:hAnsiTheme="majorHAnsi" w:cstheme="majorBidi"/>
          <w:spacing w:val="-10"/>
          <w:kern w:val="28"/>
          <w:sz w:val="56"/>
          <w:szCs w:val="56"/>
        </w:rPr>
      </w:pPr>
      <w:r w:rsidRPr="005629D6">
        <w:rPr>
          <w:rStyle w:val="Heading1Char"/>
        </w:rPr>
        <w:lastRenderedPageBreak/>
        <w:t>Abstract</w:t>
      </w:r>
    </w:p>
    <w:p w14:paraId="60F45919" w14:textId="1D2D9A94" w:rsidR="00690A5E" w:rsidRPr="005629D6" w:rsidRDefault="00737BEF" w:rsidP="00B27778">
      <w:pPr>
        <w:rPr>
          <w:color w:val="000000" w:themeColor="text1"/>
        </w:rPr>
      </w:pPr>
      <w:r w:rsidRPr="005629D6">
        <w:rPr>
          <w:color w:val="000000" w:themeColor="text1"/>
        </w:rPr>
        <w:t>Odorant receptors</w:t>
      </w:r>
      <w:r w:rsidR="00690A5E" w:rsidRPr="005629D6">
        <w:rPr>
          <w:color w:val="000000" w:themeColor="text1"/>
        </w:rPr>
        <w:t xml:space="preserve"> (OR) play a critical role in signal transduction and olfactory recognition in insects. </w:t>
      </w:r>
      <w:r w:rsidR="0093403C" w:rsidRPr="005629D6">
        <w:rPr>
          <w:color w:val="000000" w:themeColor="text1"/>
        </w:rPr>
        <w:t xml:space="preserve">Unfortunately, </w:t>
      </w:r>
      <w:r w:rsidR="00D62B17" w:rsidRPr="005629D6">
        <w:rPr>
          <w:color w:val="000000" w:themeColor="text1"/>
        </w:rPr>
        <w:t xml:space="preserve">insect </w:t>
      </w:r>
      <w:r w:rsidR="0093403C" w:rsidRPr="005629D6">
        <w:rPr>
          <w:color w:val="000000" w:themeColor="text1"/>
        </w:rPr>
        <w:t xml:space="preserve">ORs are difficult to express and purify, and limited structural data is available. </w:t>
      </w:r>
      <w:r w:rsidR="00452B4D" w:rsidRPr="005629D6">
        <w:rPr>
          <w:color w:val="000000" w:themeColor="text1"/>
        </w:rPr>
        <w:t>Computational methods were used</w:t>
      </w:r>
      <w:r w:rsidR="00EF4E98" w:rsidRPr="005629D6">
        <w:rPr>
          <w:color w:val="000000" w:themeColor="text1"/>
        </w:rPr>
        <w:t xml:space="preserve"> to predict</w:t>
      </w:r>
      <w:r w:rsidR="00E15DB2" w:rsidRPr="005629D6">
        <w:rPr>
          <w:color w:val="000000" w:themeColor="text1"/>
        </w:rPr>
        <w:t xml:space="preserve"> models for aphid odorant receptors, and binding interactions </w:t>
      </w:r>
      <w:r w:rsidR="00652902" w:rsidRPr="005629D6">
        <w:rPr>
          <w:color w:val="000000" w:themeColor="text1"/>
        </w:rPr>
        <w:t xml:space="preserve">with aphid pheromones and other </w:t>
      </w:r>
      <w:proofErr w:type="spellStart"/>
      <w:r w:rsidR="00652902" w:rsidRPr="005629D6">
        <w:rPr>
          <w:color w:val="000000" w:themeColor="text1"/>
        </w:rPr>
        <w:t>semiochemicals</w:t>
      </w:r>
      <w:proofErr w:type="spellEnd"/>
      <w:r w:rsidR="00652902" w:rsidRPr="005629D6">
        <w:rPr>
          <w:color w:val="000000" w:themeColor="text1"/>
        </w:rPr>
        <w:t xml:space="preserve"> </w:t>
      </w:r>
      <w:r w:rsidR="00E15DB2" w:rsidRPr="005629D6">
        <w:rPr>
          <w:color w:val="000000" w:themeColor="text1"/>
        </w:rPr>
        <w:t xml:space="preserve">were investigated. </w:t>
      </w:r>
      <w:r w:rsidR="005076A7" w:rsidRPr="005629D6">
        <w:rPr>
          <w:color w:val="000000" w:themeColor="text1"/>
        </w:rPr>
        <w:t>Previously</w:t>
      </w:r>
      <w:r w:rsidR="0093403C" w:rsidRPr="005629D6">
        <w:rPr>
          <w:color w:val="000000" w:themeColor="text1"/>
        </w:rPr>
        <w:t xml:space="preserve"> functionally characterised </w:t>
      </w:r>
      <w:r w:rsidR="00712B68" w:rsidRPr="005629D6">
        <w:rPr>
          <w:color w:val="000000" w:themeColor="text1"/>
        </w:rPr>
        <w:t>ORs from the pea aphid,</w:t>
      </w:r>
      <w:r w:rsidR="00712B68" w:rsidRPr="005629D6">
        <w:rPr>
          <w:i/>
          <w:iCs/>
          <w:color w:val="000000" w:themeColor="text1"/>
        </w:rPr>
        <w:t xml:space="preserve"> </w:t>
      </w:r>
      <w:proofErr w:type="spellStart"/>
      <w:r w:rsidR="00712B68" w:rsidRPr="005629D6">
        <w:rPr>
          <w:i/>
          <w:iCs/>
          <w:color w:val="000000" w:themeColor="text1"/>
        </w:rPr>
        <w:t>Acyrthos</w:t>
      </w:r>
      <w:r w:rsidR="004A57BE" w:rsidRPr="005629D6">
        <w:rPr>
          <w:i/>
          <w:iCs/>
          <w:color w:val="000000" w:themeColor="text1"/>
        </w:rPr>
        <w:t>ip</w:t>
      </w:r>
      <w:r w:rsidR="00712B68" w:rsidRPr="005629D6">
        <w:rPr>
          <w:i/>
          <w:iCs/>
          <w:color w:val="000000" w:themeColor="text1"/>
        </w:rPr>
        <w:t>hon</w:t>
      </w:r>
      <w:proofErr w:type="spellEnd"/>
      <w:r w:rsidR="00712B68" w:rsidRPr="005629D6">
        <w:rPr>
          <w:i/>
          <w:iCs/>
          <w:color w:val="000000" w:themeColor="text1"/>
        </w:rPr>
        <w:t xml:space="preserve"> </w:t>
      </w:r>
      <w:proofErr w:type="spellStart"/>
      <w:r w:rsidR="0093403C" w:rsidRPr="005629D6">
        <w:rPr>
          <w:i/>
          <w:iCs/>
          <w:color w:val="000000" w:themeColor="text1"/>
        </w:rPr>
        <w:t>pisum</w:t>
      </w:r>
      <w:proofErr w:type="spellEnd"/>
      <w:r w:rsidR="00712B68" w:rsidRPr="005629D6">
        <w:rPr>
          <w:color w:val="000000" w:themeColor="text1"/>
        </w:rPr>
        <w:t xml:space="preserve">, </w:t>
      </w:r>
      <w:r w:rsidR="004A57BE" w:rsidRPr="005629D6">
        <w:rPr>
          <w:color w:val="000000" w:themeColor="text1"/>
        </w:rPr>
        <w:t>Apis</w:t>
      </w:r>
      <w:r w:rsidR="0093403C" w:rsidRPr="005629D6">
        <w:rPr>
          <w:color w:val="000000" w:themeColor="text1"/>
        </w:rPr>
        <w:t xml:space="preserve">OR4 and </w:t>
      </w:r>
      <w:r w:rsidR="004A57BE" w:rsidRPr="005629D6">
        <w:rPr>
          <w:color w:val="000000" w:themeColor="text1"/>
        </w:rPr>
        <w:t>Apis</w:t>
      </w:r>
      <w:r w:rsidR="0093403C" w:rsidRPr="005629D6">
        <w:rPr>
          <w:color w:val="000000" w:themeColor="text1"/>
        </w:rPr>
        <w:t>OR5, were</w:t>
      </w:r>
      <w:r w:rsidR="00E66700" w:rsidRPr="005629D6">
        <w:rPr>
          <w:color w:val="000000" w:themeColor="text1"/>
        </w:rPr>
        <w:t xml:space="preserve"> screened against functional ligands.</w:t>
      </w:r>
      <w:r w:rsidR="00E66700" w:rsidRPr="005629D6">
        <w:rPr>
          <w:i/>
          <w:iCs/>
          <w:color w:val="000000" w:themeColor="text1"/>
        </w:rPr>
        <w:t xml:space="preserve"> </w:t>
      </w:r>
      <w:r w:rsidR="004A57BE" w:rsidRPr="005629D6">
        <w:rPr>
          <w:color w:val="000000" w:themeColor="text1"/>
        </w:rPr>
        <w:t>Apis</w:t>
      </w:r>
      <w:r w:rsidR="00E66700" w:rsidRPr="005629D6">
        <w:rPr>
          <w:color w:val="000000" w:themeColor="text1"/>
        </w:rPr>
        <w:t xml:space="preserve">OR5 had a </w:t>
      </w:r>
      <w:r w:rsidR="009B5334" w:rsidRPr="005629D6">
        <w:rPr>
          <w:color w:val="000000" w:themeColor="text1"/>
        </w:rPr>
        <w:t>defined</w:t>
      </w:r>
      <w:r w:rsidR="001F3AA1" w:rsidRPr="005629D6">
        <w:rPr>
          <w:color w:val="000000" w:themeColor="text1"/>
        </w:rPr>
        <w:t xml:space="preserve"> </w:t>
      </w:r>
      <w:r w:rsidR="00524E50" w:rsidRPr="005629D6">
        <w:rPr>
          <w:color w:val="000000" w:themeColor="text1"/>
        </w:rPr>
        <w:t>binding</w:t>
      </w:r>
      <w:r w:rsidR="001F3AA1" w:rsidRPr="005629D6">
        <w:rPr>
          <w:color w:val="000000" w:themeColor="text1"/>
        </w:rPr>
        <w:t xml:space="preserve"> site, and</w:t>
      </w:r>
      <w:r w:rsidR="00D62B17" w:rsidRPr="005629D6">
        <w:rPr>
          <w:color w:val="000000" w:themeColor="text1"/>
        </w:rPr>
        <w:t xml:space="preserve"> had predicted</w:t>
      </w:r>
      <w:r w:rsidR="001F3AA1" w:rsidRPr="005629D6">
        <w:rPr>
          <w:color w:val="000000" w:themeColor="text1"/>
        </w:rPr>
        <w:t xml:space="preserve"> </w:t>
      </w:r>
      <w:r w:rsidR="00712B68" w:rsidRPr="005629D6">
        <w:rPr>
          <w:color w:val="000000" w:themeColor="text1"/>
        </w:rPr>
        <w:t>interact</w:t>
      </w:r>
      <w:r w:rsidR="00D62B17" w:rsidRPr="005629D6">
        <w:rPr>
          <w:color w:val="000000" w:themeColor="text1"/>
        </w:rPr>
        <w:t>ions</w:t>
      </w:r>
      <w:r w:rsidR="00712B68" w:rsidRPr="005629D6">
        <w:rPr>
          <w:color w:val="000000" w:themeColor="text1"/>
        </w:rPr>
        <w:t xml:space="preserve"> </w:t>
      </w:r>
      <w:r w:rsidR="001F3AA1" w:rsidRPr="005629D6">
        <w:rPr>
          <w:color w:val="000000" w:themeColor="text1"/>
        </w:rPr>
        <w:t xml:space="preserve">with </w:t>
      </w:r>
      <w:r w:rsidR="00524E50" w:rsidRPr="005629D6">
        <w:rPr>
          <w:color w:val="000000" w:themeColor="text1"/>
        </w:rPr>
        <w:t xml:space="preserve">the aphid </w:t>
      </w:r>
      <w:r w:rsidR="005076A7" w:rsidRPr="005629D6">
        <w:rPr>
          <w:color w:val="000000" w:themeColor="text1"/>
        </w:rPr>
        <w:t>alarm</w:t>
      </w:r>
      <w:r w:rsidR="00524E50" w:rsidRPr="005629D6">
        <w:rPr>
          <w:color w:val="000000" w:themeColor="text1"/>
        </w:rPr>
        <w:t xml:space="preserve"> pheromone, (</w:t>
      </w:r>
      <w:r w:rsidR="00524E50" w:rsidRPr="005629D6">
        <w:rPr>
          <w:i/>
          <w:iCs/>
          <w:color w:val="000000" w:themeColor="text1"/>
        </w:rPr>
        <w:t>E)-</w:t>
      </w:r>
      <w:r w:rsidR="00524E50" w:rsidRPr="005629D6">
        <w:rPr>
          <w:rFonts w:cstheme="minorHAnsi"/>
          <w:color w:val="000000" w:themeColor="text1"/>
        </w:rPr>
        <w:t>β</w:t>
      </w:r>
      <w:r w:rsidR="00524E50" w:rsidRPr="005629D6">
        <w:rPr>
          <w:i/>
          <w:iCs/>
          <w:color w:val="000000" w:themeColor="text1"/>
        </w:rPr>
        <w:t>-</w:t>
      </w:r>
      <w:proofErr w:type="spellStart"/>
      <w:r w:rsidR="00524E50" w:rsidRPr="005629D6">
        <w:rPr>
          <w:color w:val="000000" w:themeColor="text1"/>
        </w:rPr>
        <w:t>farnesene</w:t>
      </w:r>
      <w:proofErr w:type="spellEnd"/>
      <w:r w:rsidR="009B5334" w:rsidRPr="005629D6">
        <w:rPr>
          <w:color w:val="000000" w:themeColor="text1"/>
        </w:rPr>
        <w:t xml:space="preserve">. </w:t>
      </w:r>
      <w:r w:rsidR="004A57BE" w:rsidRPr="005629D6">
        <w:rPr>
          <w:color w:val="000000" w:themeColor="text1"/>
        </w:rPr>
        <w:t>Apis</w:t>
      </w:r>
      <w:r w:rsidR="009B5334" w:rsidRPr="005629D6">
        <w:rPr>
          <w:color w:val="000000" w:themeColor="text1"/>
        </w:rPr>
        <w:t xml:space="preserve">OR4 had </w:t>
      </w:r>
      <w:r w:rsidR="00D84B36" w:rsidRPr="005629D6">
        <w:rPr>
          <w:color w:val="000000" w:themeColor="text1"/>
        </w:rPr>
        <w:t>multiple</w:t>
      </w:r>
      <w:r w:rsidR="009B5334" w:rsidRPr="005629D6">
        <w:rPr>
          <w:color w:val="000000" w:themeColor="text1"/>
        </w:rPr>
        <w:t xml:space="preserve"> distinct</w:t>
      </w:r>
      <w:r w:rsidR="00524E50" w:rsidRPr="005629D6">
        <w:rPr>
          <w:color w:val="000000" w:themeColor="text1"/>
        </w:rPr>
        <w:t xml:space="preserve"> </w:t>
      </w:r>
      <w:r w:rsidR="009B5334" w:rsidRPr="005629D6">
        <w:rPr>
          <w:color w:val="000000" w:themeColor="text1"/>
        </w:rPr>
        <w:t>binding sites</w:t>
      </w:r>
      <w:r w:rsidR="00CC66E1" w:rsidRPr="005629D6">
        <w:rPr>
          <w:color w:val="000000" w:themeColor="text1"/>
        </w:rPr>
        <w:t xml:space="preserve"> and showed broad tuning to multiple odorants.</w:t>
      </w:r>
      <w:r w:rsidR="00D84B36" w:rsidRPr="005629D6">
        <w:rPr>
          <w:color w:val="000000" w:themeColor="text1"/>
        </w:rPr>
        <w:t xml:space="preserve"> Screening of six other highly conserved ORs showed some interactions</w:t>
      </w:r>
      <w:r w:rsidR="00F12EBE" w:rsidRPr="005629D6">
        <w:rPr>
          <w:color w:val="000000" w:themeColor="text1"/>
        </w:rPr>
        <w:t xml:space="preserve"> and potential enantiomeric discrimination</w:t>
      </w:r>
      <w:r w:rsidR="00D84B36" w:rsidRPr="005629D6">
        <w:rPr>
          <w:color w:val="000000" w:themeColor="text1"/>
        </w:rPr>
        <w:t xml:space="preserve"> </w:t>
      </w:r>
      <w:r w:rsidR="00712B68" w:rsidRPr="005629D6">
        <w:rPr>
          <w:color w:val="000000" w:themeColor="text1"/>
        </w:rPr>
        <w:t xml:space="preserve">between </w:t>
      </w:r>
      <w:r w:rsidR="00D84B36" w:rsidRPr="005629D6">
        <w:rPr>
          <w:color w:val="000000" w:themeColor="text1"/>
        </w:rPr>
        <w:t xml:space="preserve">the </w:t>
      </w:r>
      <w:r w:rsidR="00712B68" w:rsidRPr="005629D6">
        <w:rPr>
          <w:color w:val="000000" w:themeColor="text1"/>
        </w:rPr>
        <w:t xml:space="preserve">aphid </w:t>
      </w:r>
      <w:r w:rsidR="00F12EBE" w:rsidRPr="005629D6">
        <w:rPr>
          <w:color w:val="000000" w:themeColor="text1"/>
        </w:rPr>
        <w:t>sex</w:t>
      </w:r>
      <w:r w:rsidR="00CC66E1" w:rsidRPr="005629D6">
        <w:rPr>
          <w:color w:val="000000" w:themeColor="text1"/>
        </w:rPr>
        <w:t xml:space="preserve"> </w:t>
      </w:r>
      <w:r w:rsidR="00F12EBE" w:rsidRPr="005629D6">
        <w:rPr>
          <w:color w:val="000000" w:themeColor="text1"/>
        </w:rPr>
        <w:t xml:space="preserve">pheromone components </w:t>
      </w:r>
      <w:r w:rsidR="00BF0356" w:rsidRPr="005629D6">
        <w:rPr>
          <w:color w:val="000000" w:themeColor="text1"/>
        </w:rPr>
        <w:t>(4a</w:t>
      </w:r>
      <w:r w:rsidR="00BF0356" w:rsidRPr="005629D6">
        <w:rPr>
          <w:i/>
          <w:iCs/>
          <w:color w:val="000000" w:themeColor="text1"/>
        </w:rPr>
        <w:t>S</w:t>
      </w:r>
      <w:r w:rsidR="00BF0356" w:rsidRPr="005629D6">
        <w:rPr>
          <w:color w:val="000000" w:themeColor="text1"/>
        </w:rPr>
        <w:t>,7</w:t>
      </w:r>
      <w:r w:rsidR="00BF0356" w:rsidRPr="005629D6">
        <w:rPr>
          <w:i/>
          <w:iCs/>
          <w:color w:val="000000" w:themeColor="text1"/>
        </w:rPr>
        <w:t>S</w:t>
      </w:r>
      <w:r w:rsidR="00BF0356" w:rsidRPr="005629D6">
        <w:rPr>
          <w:color w:val="000000" w:themeColor="text1"/>
        </w:rPr>
        <w:t>,7a</w:t>
      </w:r>
      <w:r w:rsidR="00BF0356" w:rsidRPr="005629D6">
        <w:rPr>
          <w:i/>
          <w:iCs/>
          <w:color w:val="000000" w:themeColor="text1"/>
        </w:rPr>
        <w:t>R</w:t>
      </w:r>
      <w:r w:rsidR="00BF0356" w:rsidRPr="005629D6">
        <w:rPr>
          <w:color w:val="000000" w:themeColor="text1"/>
        </w:rPr>
        <w:t>)-nepetalactone and (1</w:t>
      </w:r>
      <w:r w:rsidR="00BF0356" w:rsidRPr="005629D6">
        <w:rPr>
          <w:i/>
          <w:iCs/>
          <w:color w:val="000000" w:themeColor="text1"/>
        </w:rPr>
        <w:t>R</w:t>
      </w:r>
      <w:r w:rsidR="00BF0356" w:rsidRPr="005629D6">
        <w:rPr>
          <w:color w:val="000000" w:themeColor="text1"/>
        </w:rPr>
        <w:t>,4a</w:t>
      </w:r>
      <w:r w:rsidR="00BF0356" w:rsidRPr="005629D6">
        <w:rPr>
          <w:i/>
          <w:iCs/>
          <w:color w:val="000000" w:themeColor="text1"/>
        </w:rPr>
        <w:t>S</w:t>
      </w:r>
      <w:r w:rsidR="00BF0356" w:rsidRPr="005629D6">
        <w:rPr>
          <w:color w:val="000000" w:themeColor="text1"/>
        </w:rPr>
        <w:t>,7</w:t>
      </w:r>
      <w:r w:rsidR="00BF0356" w:rsidRPr="005629D6">
        <w:rPr>
          <w:i/>
          <w:iCs/>
          <w:color w:val="000000" w:themeColor="text1"/>
        </w:rPr>
        <w:t>S</w:t>
      </w:r>
      <w:r w:rsidR="00BF0356" w:rsidRPr="005629D6">
        <w:rPr>
          <w:color w:val="000000" w:themeColor="text1"/>
        </w:rPr>
        <w:t>,7a</w:t>
      </w:r>
      <w:r w:rsidR="00BF0356" w:rsidRPr="005629D6">
        <w:rPr>
          <w:i/>
          <w:iCs/>
          <w:color w:val="000000" w:themeColor="text1"/>
        </w:rPr>
        <w:t>R</w:t>
      </w:r>
      <w:r w:rsidR="00BF0356" w:rsidRPr="005629D6">
        <w:rPr>
          <w:color w:val="000000" w:themeColor="text1"/>
        </w:rPr>
        <w:t>)-</w:t>
      </w:r>
      <w:proofErr w:type="spellStart"/>
      <w:r w:rsidR="00BF0356" w:rsidRPr="005629D6">
        <w:rPr>
          <w:color w:val="000000" w:themeColor="text1"/>
        </w:rPr>
        <w:t>nepetalactol</w:t>
      </w:r>
      <w:proofErr w:type="spellEnd"/>
      <w:r w:rsidR="00BF0356" w:rsidRPr="005629D6">
        <w:rPr>
          <w:color w:val="000000" w:themeColor="text1"/>
        </w:rPr>
        <w:t>. These results indicate that specific binding site</w:t>
      </w:r>
      <w:r w:rsidR="00712B68" w:rsidRPr="005629D6">
        <w:rPr>
          <w:color w:val="000000" w:themeColor="text1"/>
        </w:rPr>
        <w:t>s</w:t>
      </w:r>
      <w:r w:rsidR="00BF0356" w:rsidRPr="005629D6">
        <w:rPr>
          <w:color w:val="000000" w:themeColor="text1"/>
        </w:rPr>
        <w:t xml:space="preserve"> may be more</w:t>
      </w:r>
      <w:r w:rsidR="001917BE" w:rsidRPr="005629D6">
        <w:rPr>
          <w:color w:val="000000" w:themeColor="text1"/>
        </w:rPr>
        <w:t xml:space="preserve"> critical to understanding olfactory activity of ligands and </w:t>
      </w:r>
      <w:r w:rsidR="00712B68" w:rsidRPr="005629D6">
        <w:rPr>
          <w:color w:val="000000" w:themeColor="text1"/>
        </w:rPr>
        <w:t>ORs</w:t>
      </w:r>
      <w:r w:rsidR="001917BE" w:rsidRPr="005629D6">
        <w:rPr>
          <w:color w:val="000000" w:themeColor="text1"/>
        </w:rPr>
        <w:t xml:space="preserve"> than kinetic data</w:t>
      </w:r>
      <w:r w:rsidR="00253F57" w:rsidRPr="005629D6">
        <w:rPr>
          <w:color w:val="000000" w:themeColor="text1"/>
        </w:rPr>
        <w:t xml:space="preserve">, and greater knowledge of the </w:t>
      </w:r>
      <w:r w:rsidR="00406D48" w:rsidRPr="005629D6">
        <w:rPr>
          <w:color w:val="000000" w:themeColor="text1"/>
        </w:rPr>
        <w:t xml:space="preserve">method of action of </w:t>
      </w:r>
      <w:r w:rsidR="00712B68" w:rsidRPr="005629D6">
        <w:rPr>
          <w:color w:val="000000" w:themeColor="text1"/>
        </w:rPr>
        <w:t xml:space="preserve">ORs </w:t>
      </w:r>
      <w:r w:rsidR="00406D48" w:rsidRPr="005629D6">
        <w:rPr>
          <w:color w:val="000000" w:themeColor="text1"/>
        </w:rPr>
        <w:t>is required</w:t>
      </w:r>
      <w:r w:rsidR="001917BE" w:rsidRPr="005629D6">
        <w:rPr>
          <w:color w:val="000000" w:themeColor="text1"/>
        </w:rPr>
        <w:t>.</w:t>
      </w:r>
    </w:p>
    <w:p w14:paraId="6C9418EA" w14:textId="737B407F" w:rsidR="0001122E" w:rsidRPr="005629D6" w:rsidRDefault="00AA74DF" w:rsidP="00482428">
      <w:pPr>
        <w:pStyle w:val="Heading1"/>
      </w:pPr>
      <w:r w:rsidRPr="005629D6">
        <w:t>Introduction</w:t>
      </w:r>
    </w:p>
    <w:p w14:paraId="11CFEC47" w14:textId="1D33947D" w:rsidR="00211800" w:rsidRPr="005629D6" w:rsidRDefault="00211800" w:rsidP="00426C97">
      <w:pPr>
        <w:rPr>
          <w:color w:val="FF0000"/>
        </w:rPr>
      </w:pPr>
      <w:r w:rsidRPr="005629D6">
        <w:rPr>
          <w:color w:val="000000" w:themeColor="text1"/>
        </w:rPr>
        <w:t xml:space="preserve">Aphids are </w:t>
      </w:r>
      <w:r w:rsidR="00EE2881" w:rsidRPr="005629D6">
        <w:rPr>
          <w:color w:val="000000" w:themeColor="text1"/>
        </w:rPr>
        <w:t>small, soft-bodied</w:t>
      </w:r>
      <w:r w:rsidR="001B70DF" w:rsidRPr="005629D6">
        <w:rPr>
          <w:color w:val="000000" w:themeColor="text1"/>
        </w:rPr>
        <w:t>, polyphagous insect</w:t>
      </w:r>
      <w:r w:rsidR="001A4F82" w:rsidRPr="005629D6">
        <w:rPr>
          <w:color w:val="000000" w:themeColor="text1"/>
        </w:rPr>
        <w:t>s</w:t>
      </w:r>
      <w:r w:rsidR="001B70DF" w:rsidRPr="005629D6">
        <w:rPr>
          <w:color w:val="000000" w:themeColor="text1"/>
        </w:rPr>
        <w:t xml:space="preserve"> th</w:t>
      </w:r>
      <w:r w:rsidR="001A4F82" w:rsidRPr="005629D6">
        <w:rPr>
          <w:color w:val="000000" w:themeColor="text1"/>
        </w:rPr>
        <w:t>at are</w:t>
      </w:r>
      <w:r w:rsidR="001B70DF" w:rsidRPr="005629D6">
        <w:rPr>
          <w:color w:val="000000" w:themeColor="text1"/>
        </w:rPr>
        <w:t xml:space="preserve"> </w:t>
      </w:r>
      <w:r w:rsidRPr="005629D6">
        <w:rPr>
          <w:color w:val="000000" w:themeColor="text1"/>
        </w:rPr>
        <w:t>pest</w:t>
      </w:r>
      <w:r w:rsidR="00712B68" w:rsidRPr="005629D6">
        <w:rPr>
          <w:color w:val="000000" w:themeColor="text1"/>
        </w:rPr>
        <w:t>s</w:t>
      </w:r>
      <w:r w:rsidRPr="005629D6">
        <w:rPr>
          <w:color w:val="000000" w:themeColor="text1"/>
        </w:rPr>
        <w:t xml:space="preserve"> of crops worldwid</w:t>
      </w:r>
      <w:r w:rsidR="004A57BE" w:rsidRPr="005629D6">
        <w:rPr>
          <w:color w:val="000000" w:themeColor="text1"/>
        </w:rPr>
        <w:t>e.</w:t>
      </w:r>
      <w:r w:rsidR="00061ABE" w:rsidRPr="005629D6">
        <w:rPr>
          <w:color w:val="000000" w:themeColor="text1"/>
        </w:rPr>
        <w:fldChar w:fldCharType="begin" w:fldLock="1"/>
      </w:r>
      <w:r w:rsidR="009119FC" w:rsidRPr="005629D6">
        <w:rPr>
          <w:color w:val="000000" w:themeColor="text1"/>
        </w:rPr>
        <w:instrText>ADDIN CSL_CITATION {"citationItems":[{"id":"ITEM-1","itemData":{"DOI":"doi:10.1079/9780851998190.0115","author":[{"dropping-particle":"","family":"Emden","given":"Helmut F","non-dropping-particle":"Van","parse-names":false,"suffix":""},{"dropping-particle":"","family":"Harrington","given":"Richard","non-dropping-particle":"","parse-names":false,"suffix":""}],"id":"ITEM-1","issued":{"date-parts":[["2007"]]},"title":"Aphids as crop pests","type":"book"},"uris":["http://www.mendeley.com/documents/?uuid=a39a9b43-52ee-4c0b-b285-e0860d66e170"]}],"mendeley":{"formattedCitation":"&lt;sup&gt;1&lt;/sup&gt;","plainTextFormattedCitation":"1","previouslyFormattedCitation":"&lt;sup&gt;1&lt;/sup&gt;"},"properties":{"noteIndex":0},"schema":"https://github.com/citation-style-language/schema/raw/master/csl-citation.json"}</w:instrText>
      </w:r>
      <w:r w:rsidR="00061ABE" w:rsidRPr="005629D6">
        <w:rPr>
          <w:color w:val="000000" w:themeColor="text1"/>
        </w:rPr>
        <w:fldChar w:fldCharType="separate"/>
      </w:r>
      <w:r w:rsidR="00061ABE" w:rsidRPr="005629D6">
        <w:rPr>
          <w:noProof/>
          <w:color w:val="000000" w:themeColor="text1"/>
          <w:vertAlign w:val="superscript"/>
        </w:rPr>
        <w:t>1</w:t>
      </w:r>
      <w:r w:rsidR="00061ABE" w:rsidRPr="005629D6">
        <w:rPr>
          <w:color w:val="000000" w:themeColor="text1"/>
        </w:rPr>
        <w:fldChar w:fldCharType="end"/>
      </w:r>
      <w:r w:rsidR="004A57BE" w:rsidRPr="005629D6">
        <w:rPr>
          <w:color w:val="000000" w:themeColor="text1"/>
        </w:rPr>
        <w:t xml:space="preserve"> They</w:t>
      </w:r>
      <w:r w:rsidR="001B70DF" w:rsidRPr="005629D6">
        <w:rPr>
          <w:color w:val="000000" w:themeColor="text1"/>
        </w:rPr>
        <w:t xml:space="preserve"> </w:t>
      </w:r>
      <w:r w:rsidR="002967D8" w:rsidRPr="005629D6">
        <w:rPr>
          <w:color w:val="000000" w:themeColor="text1"/>
        </w:rPr>
        <w:t>damage</w:t>
      </w:r>
      <w:r w:rsidR="00427F7F" w:rsidRPr="005629D6">
        <w:rPr>
          <w:color w:val="000000" w:themeColor="text1"/>
        </w:rPr>
        <w:t xml:space="preserve"> </w:t>
      </w:r>
      <w:r w:rsidR="00774F9C" w:rsidRPr="005629D6">
        <w:rPr>
          <w:color w:val="000000" w:themeColor="text1"/>
        </w:rPr>
        <w:t>c</w:t>
      </w:r>
      <w:r w:rsidR="00427F7F" w:rsidRPr="005629D6">
        <w:rPr>
          <w:color w:val="000000" w:themeColor="text1"/>
        </w:rPr>
        <w:t>rop plants</w:t>
      </w:r>
      <w:r w:rsidR="001B70DF" w:rsidRPr="005629D6">
        <w:rPr>
          <w:color w:val="000000" w:themeColor="text1"/>
        </w:rPr>
        <w:t xml:space="preserve"> </w:t>
      </w:r>
      <w:r w:rsidR="002967D8" w:rsidRPr="005629D6">
        <w:rPr>
          <w:color w:val="000000" w:themeColor="text1"/>
        </w:rPr>
        <w:t xml:space="preserve">both directly, by </w:t>
      </w:r>
      <w:r w:rsidR="00BA34AA" w:rsidRPr="005629D6">
        <w:rPr>
          <w:color w:val="000000" w:themeColor="text1"/>
        </w:rPr>
        <w:t>feeding on the sap from plant phloem</w:t>
      </w:r>
      <w:r w:rsidR="008E247A" w:rsidRPr="005629D6">
        <w:rPr>
          <w:color w:val="000000" w:themeColor="text1"/>
        </w:rPr>
        <w:t xml:space="preserve">, </w:t>
      </w:r>
      <w:r w:rsidR="002967D8" w:rsidRPr="005629D6">
        <w:rPr>
          <w:color w:val="000000" w:themeColor="text1"/>
        </w:rPr>
        <w:t xml:space="preserve">and indirectly, by </w:t>
      </w:r>
      <w:r w:rsidR="009F4117" w:rsidRPr="005629D6">
        <w:rPr>
          <w:color w:val="000000" w:themeColor="text1"/>
        </w:rPr>
        <w:t>excreting</w:t>
      </w:r>
      <w:r w:rsidR="008E247A" w:rsidRPr="005629D6">
        <w:rPr>
          <w:color w:val="000000" w:themeColor="text1"/>
        </w:rPr>
        <w:t xml:space="preserve"> honeydew which </w:t>
      </w:r>
      <w:r w:rsidR="00B645F3" w:rsidRPr="005629D6">
        <w:rPr>
          <w:color w:val="000000" w:themeColor="text1"/>
        </w:rPr>
        <w:t>allows the growth of</w:t>
      </w:r>
      <w:r w:rsidR="00B3320F" w:rsidRPr="005629D6">
        <w:rPr>
          <w:color w:val="000000" w:themeColor="text1"/>
        </w:rPr>
        <w:t xml:space="preserve"> saprophytic fungi and</w:t>
      </w:r>
      <w:r w:rsidR="002967D8" w:rsidRPr="005629D6">
        <w:rPr>
          <w:color w:val="000000" w:themeColor="text1"/>
        </w:rPr>
        <w:t xml:space="preserve"> </w:t>
      </w:r>
      <w:r w:rsidR="00B3320F" w:rsidRPr="005629D6">
        <w:rPr>
          <w:color w:val="000000" w:themeColor="text1"/>
        </w:rPr>
        <w:t xml:space="preserve">transmitting </w:t>
      </w:r>
      <w:r w:rsidR="007044EA" w:rsidRPr="005629D6">
        <w:rPr>
          <w:color w:val="000000" w:themeColor="text1"/>
        </w:rPr>
        <w:t>detrimental plant viruses, such as the</w:t>
      </w:r>
      <w:r w:rsidR="009F4117" w:rsidRPr="005629D6">
        <w:rPr>
          <w:color w:val="000000" w:themeColor="text1"/>
        </w:rPr>
        <w:t xml:space="preserve"> barley-yellow dwarf virus (BYDV)</w:t>
      </w:r>
      <w:r w:rsidR="00CB4E45" w:rsidRPr="005629D6">
        <w:rPr>
          <w:color w:val="000000" w:themeColor="text1"/>
        </w:rPr>
        <w:t>.</w:t>
      </w:r>
      <w:r w:rsidR="00D01525" w:rsidRPr="005629D6">
        <w:rPr>
          <w:color w:val="000000" w:themeColor="text1"/>
        </w:rPr>
        <w:fldChar w:fldCharType="begin" w:fldLock="1"/>
      </w:r>
      <w:r w:rsidR="009119FC" w:rsidRPr="005629D6">
        <w:rPr>
          <w:color w:val="000000" w:themeColor="text1"/>
        </w:rPr>
        <w:instrText>ADDIN CSL_CITATION {"citationItems":[{"id":"ITEM-1","itemData":{"DOI":"10.1093/jxb/erj067","ISBN":"0022-0957","ISSN":"00220957","PMID":"16449374","abstract":"The incidence of phloem sap feeding by animals appears paradoxical. Although phloem sap is nutrient-rich compared with many other plant products and generally lacking in toxins and feeding deterrents, it is consumed as the dominant or sole diet by a very restricted range of animals, exclusively insects of the order Hemiptera. These insects display two sets of adaptations. First, linked to the high ratio of non-essential:essential amino acids in phloem sap, these insects contain symbiotic micro-organisms which provide them with essential amino acids. For example, bacteria of the genus Buchnera contribute up to 90% of the essential amino acids required by the pea aphid Acyrthosiphon pisum feeding on Vicia faba. Second, the insect tolerance of the very high sugar content and osmotic pressure of phloem sap is promoted by their possession in the gut of sucrase-transglucosidase activity, which transforms excess ingested sugar into long-chain oligosaccharides voided via honeydew. Various other animals consume phloem sap by proxy, through feeding on the honeydew of phloem-feeding hemipterans. Honeydew is physiologically less extreme than phloem sap, with a higher essential:non-essential amino acid ratio and lower osmotic pressure. Even so, ant species strongly dependent on honeydew as food may benefit from nutrients derived from their symbiotic bacteria Blochmannia.","author":[{"dropping-particle":"","family":"Douglas","given":"A. E.","non-dropping-particle":"","parse-names":false,"suffix":""}],"container-title":"Journal of Experimental Botany","id":"ITEM-1","issue":"4","issued":{"date-parts":[["2006"]]},"page":"747-754","title":"Phloem-sap feeding by animals: Problems and solutions","type":"article-journal","volume":"57"},"uris":["http://www.mendeley.com/documents/?uuid=c337e885-bf2c-4f6b-b64f-e73e235c6ddb"]},{"id":"ITEM-2","itemData":{"author":[{"dropping-particle":"","family":"Harris","given":"Kerry F","non-dropping-particle":"","parse-names":false,"suffix":""},{"dropping-particle":"","family":"Maramorosch","given":"Karl","non-dropping-particle":"","parse-names":false,"suffix":""}],"edition":"1st","id":"ITEM-2","issued":{"date-parts":[["1977"]]},"number-of-pages":"435–454","publisher":"Academic, New York","title":"Aphids as Virus Vectors","type":"book"},"uris":["http://www.mendeley.com/documents/?uuid=ddf76922-9177-4d7f-9768-85529d54a381"]}],"mendeley":{"formattedCitation":"&lt;sup&gt;2,3&lt;/sup&gt;","plainTextFormattedCitation":"2,3","previouslyFormattedCitation":"&lt;sup&gt;2,3&lt;/sup&gt;"},"properties":{"noteIndex":0},"schema":"https://github.com/citation-style-language/schema/raw/master/csl-citation.json"}</w:instrText>
      </w:r>
      <w:r w:rsidR="00D01525" w:rsidRPr="005629D6">
        <w:rPr>
          <w:color w:val="000000" w:themeColor="text1"/>
        </w:rPr>
        <w:fldChar w:fldCharType="separate"/>
      </w:r>
      <w:r w:rsidR="00061ABE" w:rsidRPr="005629D6">
        <w:rPr>
          <w:noProof/>
          <w:color w:val="000000" w:themeColor="text1"/>
          <w:vertAlign w:val="superscript"/>
        </w:rPr>
        <w:t>2,3</w:t>
      </w:r>
      <w:r w:rsidR="00D01525" w:rsidRPr="005629D6">
        <w:rPr>
          <w:color w:val="000000" w:themeColor="text1"/>
        </w:rPr>
        <w:fldChar w:fldCharType="end"/>
      </w:r>
      <w:r w:rsidR="005D7BF2" w:rsidRPr="005629D6">
        <w:rPr>
          <w:color w:val="000000" w:themeColor="text1"/>
        </w:rPr>
        <w:t xml:space="preserve"> </w:t>
      </w:r>
      <w:r w:rsidR="00712B68" w:rsidRPr="005629D6">
        <w:rPr>
          <w:color w:val="000000" w:themeColor="text1"/>
        </w:rPr>
        <w:t xml:space="preserve">As for </w:t>
      </w:r>
      <w:r w:rsidR="00C42016" w:rsidRPr="005629D6">
        <w:rPr>
          <w:color w:val="000000" w:themeColor="text1"/>
        </w:rPr>
        <w:t>many insects,</w:t>
      </w:r>
      <w:r w:rsidR="00E5218F" w:rsidRPr="005629D6">
        <w:rPr>
          <w:color w:val="000000" w:themeColor="text1"/>
        </w:rPr>
        <w:t xml:space="preserve"> </w:t>
      </w:r>
      <w:r w:rsidR="004A57BE" w:rsidRPr="005629D6">
        <w:rPr>
          <w:color w:val="000000" w:themeColor="text1"/>
        </w:rPr>
        <w:t xml:space="preserve">pheromones and other </w:t>
      </w:r>
      <w:proofErr w:type="spellStart"/>
      <w:r w:rsidR="004A57BE" w:rsidRPr="005629D6">
        <w:rPr>
          <w:color w:val="000000" w:themeColor="text1"/>
        </w:rPr>
        <w:t>semiochemicals</w:t>
      </w:r>
      <w:proofErr w:type="spellEnd"/>
      <w:r w:rsidR="004A57BE" w:rsidRPr="005629D6">
        <w:rPr>
          <w:color w:val="000000" w:themeColor="text1"/>
        </w:rPr>
        <w:t xml:space="preserve"> f</w:t>
      </w:r>
      <w:r w:rsidR="00712B68" w:rsidRPr="005629D6">
        <w:rPr>
          <w:color w:val="000000" w:themeColor="text1"/>
        </w:rPr>
        <w:t xml:space="preserve">orm a critical part of </w:t>
      </w:r>
      <w:r w:rsidR="004A57BE" w:rsidRPr="005629D6">
        <w:rPr>
          <w:color w:val="000000" w:themeColor="text1"/>
        </w:rPr>
        <w:t xml:space="preserve">the </w:t>
      </w:r>
      <w:r w:rsidR="00712B68" w:rsidRPr="005629D6">
        <w:rPr>
          <w:color w:val="000000" w:themeColor="text1"/>
        </w:rPr>
        <w:t xml:space="preserve">life-cycle for the pea aphid, </w:t>
      </w:r>
      <w:proofErr w:type="spellStart"/>
      <w:r w:rsidR="00712B68" w:rsidRPr="005629D6">
        <w:rPr>
          <w:i/>
          <w:iCs/>
          <w:color w:val="000000" w:themeColor="text1"/>
        </w:rPr>
        <w:t>Acyrthosiphon</w:t>
      </w:r>
      <w:proofErr w:type="spellEnd"/>
      <w:r w:rsidR="00712B68" w:rsidRPr="005629D6">
        <w:rPr>
          <w:i/>
          <w:iCs/>
          <w:color w:val="000000" w:themeColor="text1"/>
        </w:rPr>
        <w:t xml:space="preserve"> </w:t>
      </w:r>
      <w:proofErr w:type="spellStart"/>
      <w:r w:rsidR="00712B68" w:rsidRPr="005629D6">
        <w:rPr>
          <w:i/>
          <w:iCs/>
          <w:color w:val="000000" w:themeColor="text1"/>
        </w:rPr>
        <w:t>pisum</w:t>
      </w:r>
      <w:proofErr w:type="spellEnd"/>
      <w:r w:rsidR="00712B68" w:rsidRPr="005629D6">
        <w:rPr>
          <w:color w:val="000000" w:themeColor="text1"/>
        </w:rPr>
        <w:t xml:space="preserve">. Plant </w:t>
      </w:r>
      <w:r w:rsidR="00FB61E2" w:rsidRPr="005629D6">
        <w:rPr>
          <w:color w:val="000000" w:themeColor="text1"/>
        </w:rPr>
        <w:t>volatile</w:t>
      </w:r>
      <w:r w:rsidR="00712B68" w:rsidRPr="005629D6">
        <w:rPr>
          <w:color w:val="000000" w:themeColor="text1"/>
        </w:rPr>
        <w:t xml:space="preserve"> organic compounds</w:t>
      </w:r>
      <w:r w:rsidR="00FB61E2" w:rsidRPr="005629D6">
        <w:rPr>
          <w:color w:val="000000" w:themeColor="text1"/>
        </w:rPr>
        <w:t xml:space="preserve"> are utilised </w:t>
      </w:r>
      <w:r w:rsidR="00712B68" w:rsidRPr="005629D6">
        <w:rPr>
          <w:color w:val="000000" w:themeColor="text1"/>
        </w:rPr>
        <w:t xml:space="preserve">by aphids </w:t>
      </w:r>
      <w:r w:rsidR="00FB61E2" w:rsidRPr="005629D6">
        <w:rPr>
          <w:color w:val="000000" w:themeColor="text1"/>
        </w:rPr>
        <w:t>to locate host</w:t>
      </w:r>
      <w:r w:rsidR="004A57BE" w:rsidRPr="005629D6">
        <w:rPr>
          <w:color w:val="000000" w:themeColor="text1"/>
        </w:rPr>
        <w:t xml:space="preserve"> plants</w:t>
      </w:r>
      <w:r w:rsidR="00FB61E2" w:rsidRPr="005629D6">
        <w:rPr>
          <w:color w:val="000000" w:themeColor="text1"/>
        </w:rPr>
        <w:t xml:space="preserve">, </w:t>
      </w:r>
      <w:r w:rsidR="004A57BE" w:rsidRPr="005629D6">
        <w:rPr>
          <w:color w:val="000000" w:themeColor="text1"/>
        </w:rPr>
        <w:t>whilst an</w:t>
      </w:r>
      <w:r w:rsidR="00FB61E2" w:rsidRPr="005629D6">
        <w:rPr>
          <w:color w:val="000000" w:themeColor="text1"/>
        </w:rPr>
        <w:t xml:space="preserve"> alarm pheromone, (</w:t>
      </w:r>
      <w:r w:rsidR="00FB61E2" w:rsidRPr="005629D6">
        <w:rPr>
          <w:i/>
          <w:iCs/>
          <w:color w:val="000000" w:themeColor="text1"/>
        </w:rPr>
        <w:t>E</w:t>
      </w:r>
      <w:r w:rsidR="00FB61E2" w:rsidRPr="005629D6">
        <w:rPr>
          <w:color w:val="000000" w:themeColor="text1"/>
        </w:rPr>
        <w:t>)-</w:t>
      </w:r>
      <w:r w:rsidR="00D42B06" w:rsidRPr="005629D6">
        <w:rPr>
          <w:rFonts w:cstheme="minorHAnsi"/>
          <w:color w:val="000000" w:themeColor="text1"/>
        </w:rPr>
        <w:t>β</w:t>
      </w:r>
      <w:r w:rsidR="00FB61E2" w:rsidRPr="005629D6">
        <w:rPr>
          <w:color w:val="000000" w:themeColor="text1"/>
        </w:rPr>
        <w:t>-</w:t>
      </w:r>
      <w:proofErr w:type="spellStart"/>
      <w:r w:rsidR="00FB61E2" w:rsidRPr="005629D6">
        <w:rPr>
          <w:color w:val="000000" w:themeColor="text1"/>
        </w:rPr>
        <w:t>farnesene</w:t>
      </w:r>
      <w:proofErr w:type="spellEnd"/>
      <w:r w:rsidR="00FB61E2" w:rsidRPr="005629D6">
        <w:rPr>
          <w:color w:val="000000" w:themeColor="text1"/>
        </w:rPr>
        <w:t xml:space="preserve">, is </w:t>
      </w:r>
      <w:r w:rsidR="004A57BE" w:rsidRPr="005629D6">
        <w:rPr>
          <w:color w:val="000000" w:themeColor="text1"/>
        </w:rPr>
        <w:t>released by aphids to</w:t>
      </w:r>
      <w:r w:rsidR="009030FF" w:rsidRPr="005629D6">
        <w:rPr>
          <w:color w:val="000000" w:themeColor="text1"/>
        </w:rPr>
        <w:t xml:space="preserve"> warn </w:t>
      </w:r>
      <w:r w:rsidR="00B645F3" w:rsidRPr="005629D6">
        <w:rPr>
          <w:color w:val="000000" w:themeColor="text1"/>
        </w:rPr>
        <w:t>conspecifics</w:t>
      </w:r>
      <w:r w:rsidR="00712B68" w:rsidRPr="005629D6">
        <w:rPr>
          <w:color w:val="000000" w:themeColor="text1"/>
        </w:rPr>
        <w:t xml:space="preserve"> of impending danger from natural enemies</w:t>
      </w:r>
      <w:r w:rsidR="008669B6" w:rsidRPr="005629D6">
        <w:rPr>
          <w:color w:val="000000" w:themeColor="text1"/>
        </w:rPr>
        <w:t xml:space="preserve">, </w:t>
      </w:r>
      <w:r w:rsidR="00B645F3" w:rsidRPr="005629D6">
        <w:rPr>
          <w:color w:val="000000" w:themeColor="text1"/>
        </w:rPr>
        <w:t xml:space="preserve">and </w:t>
      </w:r>
      <w:r w:rsidR="008669B6" w:rsidRPr="005629D6">
        <w:rPr>
          <w:color w:val="000000" w:themeColor="text1"/>
        </w:rPr>
        <w:t>sex pheromone, consisting of (</w:t>
      </w:r>
      <w:r w:rsidR="00D42B06" w:rsidRPr="005629D6">
        <w:rPr>
          <w:color w:val="000000" w:themeColor="text1"/>
        </w:rPr>
        <w:t>4a</w:t>
      </w:r>
      <w:r w:rsidR="00D42B06" w:rsidRPr="005629D6">
        <w:rPr>
          <w:i/>
          <w:iCs/>
          <w:color w:val="000000" w:themeColor="text1"/>
        </w:rPr>
        <w:t>S</w:t>
      </w:r>
      <w:r w:rsidR="00D42B06" w:rsidRPr="005629D6">
        <w:rPr>
          <w:color w:val="000000" w:themeColor="text1"/>
        </w:rPr>
        <w:t>,7</w:t>
      </w:r>
      <w:r w:rsidR="00D42B06" w:rsidRPr="005629D6">
        <w:rPr>
          <w:i/>
          <w:iCs/>
          <w:color w:val="000000" w:themeColor="text1"/>
        </w:rPr>
        <w:t>S</w:t>
      </w:r>
      <w:r w:rsidR="00D42B06" w:rsidRPr="005629D6">
        <w:rPr>
          <w:color w:val="000000" w:themeColor="text1"/>
        </w:rPr>
        <w:t>,7a</w:t>
      </w:r>
      <w:r w:rsidR="00D42B06" w:rsidRPr="005629D6">
        <w:rPr>
          <w:i/>
          <w:iCs/>
          <w:color w:val="000000" w:themeColor="text1"/>
        </w:rPr>
        <w:t>R</w:t>
      </w:r>
      <w:r w:rsidR="00D42B06" w:rsidRPr="005629D6">
        <w:rPr>
          <w:color w:val="000000" w:themeColor="text1"/>
        </w:rPr>
        <w:t>)-nepetalactone and</w:t>
      </w:r>
      <w:r w:rsidR="004A57BE" w:rsidRPr="005629D6">
        <w:rPr>
          <w:color w:val="000000" w:themeColor="text1"/>
        </w:rPr>
        <w:t>/or</w:t>
      </w:r>
      <w:r w:rsidR="00D42B06" w:rsidRPr="005629D6">
        <w:rPr>
          <w:color w:val="000000" w:themeColor="text1"/>
        </w:rPr>
        <w:t xml:space="preserve"> (1</w:t>
      </w:r>
      <w:r w:rsidR="00D42B06" w:rsidRPr="005629D6">
        <w:rPr>
          <w:i/>
          <w:iCs/>
          <w:color w:val="000000" w:themeColor="text1"/>
        </w:rPr>
        <w:t>R</w:t>
      </w:r>
      <w:r w:rsidR="00D42B06" w:rsidRPr="005629D6">
        <w:rPr>
          <w:color w:val="000000" w:themeColor="text1"/>
        </w:rPr>
        <w:t>,4a</w:t>
      </w:r>
      <w:r w:rsidR="00D42B06" w:rsidRPr="005629D6">
        <w:rPr>
          <w:i/>
          <w:iCs/>
          <w:color w:val="000000" w:themeColor="text1"/>
        </w:rPr>
        <w:t>S</w:t>
      </w:r>
      <w:r w:rsidR="00D42B06" w:rsidRPr="005629D6">
        <w:rPr>
          <w:color w:val="000000" w:themeColor="text1"/>
        </w:rPr>
        <w:t>,7</w:t>
      </w:r>
      <w:r w:rsidR="00D42B06" w:rsidRPr="005629D6">
        <w:rPr>
          <w:i/>
          <w:iCs/>
          <w:color w:val="000000" w:themeColor="text1"/>
        </w:rPr>
        <w:t>S</w:t>
      </w:r>
      <w:r w:rsidR="00D42B06" w:rsidRPr="005629D6">
        <w:rPr>
          <w:color w:val="000000" w:themeColor="text1"/>
        </w:rPr>
        <w:t>,7a</w:t>
      </w:r>
      <w:r w:rsidR="00D42B06" w:rsidRPr="005629D6">
        <w:rPr>
          <w:i/>
          <w:iCs/>
          <w:color w:val="000000" w:themeColor="text1"/>
        </w:rPr>
        <w:t>R</w:t>
      </w:r>
      <w:r w:rsidR="00D42B06" w:rsidRPr="005629D6">
        <w:rPr>
          <w:color w:val="000000" w:themeColor="text1"/>
        </w:rPr>
        <w:t>)-</w:t>
      </w:r>
      <w:proofErr w:type="spellStart"/>
      <w:r w:rsidR="00D42B06" w:rsidRPr="005629D6">
        <w:rPr>
          <w:color w:val="000000" w:themeColor="text1"/>
        </w:rPr>
        <w:t>nepetalactol</w:t>
      </w:r>
      <w:proofErr w:type="spellEnd"/>
      <w:r w:rsidR="00D42B06" w:rsidRPr="005629D6">
        <w:rPr>
          <w:color w:val="000000" w:themeColor="text1"/>
        </w:rPr>
        <w:t xml:space="preserve">, is </w:t>
      </w:r>
      <w:r w:rsidR="00CD5D20" w:rsidRPr="005629D6">
        <w:rPr>
          <w:color w:val="000000" w:themeColor="text1"/>
        </w:rPr>
        <w:t>released by sexual females to attract sexual males</w:t>
      </w:r>
      <w:r w:rsidR="00CB4E45" w:rsidRPr="005629D6">
        <w:rPr>
          <w:color w:val="000000" w:themeColor="text1"/>
        </w:rPr>
        <w:t>.</w:t>
      </w:r>
      <w:r w:rsidR="00E86FA3" w:rsidRPr="005629D6">
        <w:rPr>
          <w:color w:val="000000" w:themeColor="text1"/>
        </w:rPr>
        <w:fldChar w:fldCharType="begin" w:fldLock="1"/>
      </w:r>
      <w:r w:rsidR="009119FC" w:rsidRPr="005629D6">
        <w:rPr>
          <w:color w:val="000000" w:themeColor="text1"/>
        </w:rPr>
        <w:instrText>ADDIN CSL_CITATION {"citationItems":[{"id":"ITEM-1","itemData":{"DOI":"10.1007/BF01402913","ISSN":"00980331","abstract":"Analysis of single cornicle droplets from six species of aphid showed the presence of volatile components in addition to (E)-β-farnesene. Compounds identified included ({Z,E)-α-} and ({E,E)-α-farnesene} {forMyzus} persicae and α- and β-pinene {forMegoura} viciae. {WithMegoura} viciae, (−)-α-pinene was most important for alarm activity. The major component of the alarm pheromone {ofPhorodon} humuli was (E)-β-farnesene even though farnesenes are present in the summer {hostHumulus} lupulus.","author":[{"dropping-particle":"","family":"Pickett","given":"J. A.","non-dropping-particle":"","parse-names":false,"suffix":""},{"dropping-particle":"","family":"Griffiths","given":"D. C.","non-dropping-particle":"","parse-names":false,"suffix":""}],"container-title":"Journal of Chemical Ecology","id":"ITEM-1","issue":"2","issued":{"date-parts":[["1980"]]},"page":"349-360","title":"Composition of aphid alarm pheromones","type":"article-journal","volume":"6"},"uris":["http://www.mendeley.com/documents/?uuid=9dc8f3f1-63f3-45eb-a4d3-95c45f939f74"]},{"id":"ITEM-2","itemData":{"DOI":"10.1038/325614a0","ISSN":"00280836","author":[{"dropping-particle":"","family":"Dawson","given":"GW","non-dropping-particle":"","parse-names":false,"suffix":""},{"dropping-particle":"","family":"Griffiths","given":"DC","non-dropping-particle":"","parse-names":false,"suffix":""},{"dropping-particle":"","family":"Janes","given":"NF","non-dropping-particle":"","parse-names":false,"suffix":""}],"container-title":"Nature","id":"ITEM-2","issued":{"date-parts":[["1987"]]},"page":"614-616","title":"Identification of an aphid sex pheromone","type":"article","volume":"325"},"uris":["http://www.mendeley.com/documents/?uuid=9a6d60dc-120f-4ba1-b12f-2faecc1f78cb"]},{"id":"ITEM-3","itemData":{"DOI":"10.1039/c3np70036d","ISBN":"0265-0568","ISSN":"1460-4752","PMID":"24056728","abstract":"Chemical signalling between aphids (small insects that suck plant sap) for mating and avoidance of antagonistic organisms, and between aphids and plants for location of hosts or avoidance of unsuitable plants, employs minute levels of small lipophilic molecules (SLMs), termed “semiochemicals”. These semiochemicals, which include sex and alarm pheromones, although often involving relatively simple volatile compounds to allow aerial transmission, convey highly accurate information, either through the uniqueness of their chemical structure or by acting together in characteristic mixtures. In addition, by chemical instability, they do not remain in the environment after their essential signalling role has occurred. Aphids, as a consequence of direct feeding or virus transmission, are major pests of agriculture and horticulture. Aphid semiochemicals present novel opportunities for management of pest populations, but problems of synthesis costs and delivery need to be overcome. Genes for associated enzymes in aphids and plants offer solutions, either for production and subsequent deployment in agriculture, or for direct biosynthesis by crop plants as a new generation of genetically modified organisms (GMOs). These approaches are currently under active investigation. Semiochemicals released from plants during aphid feeding can also “switch on” defence chemistry-related genes in intact plants under field conditions, and the gene promoter sequences involved could be used to produce novel types of sentinel plants. The molecular recognition mechanisms employed in aphid olfactory systems are being investigated to provide potential tools for recognition of SLMs, and the acceptance of substrate analogues is explored with enzymes synthesising aphid semiochemicals in an attempt to provide more active or stable structural analogues.","author":[{"dropping-particle":"","family":"Pickett","given":"John A","non-dropping-particle":"","parse-names":false,"suffix":""},{"dropping-particle":"","family":"Allemann","given":"Rudolf K","non-dropping-particle":"","parse-names":false,"suffix":""},{"dropping-particle":"","family":"Birkett","given":"Michael A","non-dropping-particle":"","parse-names":false,"suffix":""}],"container-title":"Natural Product Reports","id":"ITEM-3","issue":"10","issued":{"date-parts":[["2013"]]},"page":"1277","title":"The semiochemistry of aphids","type":"article-journal","volume":"30"},"uris":["http://www.mendeley.com/documents/?uuid=892f7d23-b1b2-49b9-aef4-711c0731f56e"]}],"mendeley":{"formattedCitation":"&lt;sup&gt;4–6&lt;/sup&gt;","plainTextFormattedCitation":"4–6","previouslyFormattedCitation":"&lt;sup&gt;4–6&lt;/sup&gt;"},"properties":{"noteIndex":0},"schema":"https://github.com/citation-style-language/schema/raw/master/csl-citation.json"}</w:instrText>
      </w:r>
      <w:r w:rsidR="00E86FA3" w:rsidRPr="005629D6">
        <w:rPr>
          <w:color w:val="000000" w:themeColor="text1"/>
        </w:rPr>
        <w:fldChar w:fldCharType="separate"/>
      </w:r>
      <w:r w:rsidR="00061ABE" w:rsidRPr="005629D6">
        <w:rPr>
          <w:noProof/>
          <w:color w:val="000000" w:themeColor="text1"/>
          <w:vertAlign w:val="superscript"/>
        </w:rPr>
        <w:t>4–6</w:t>
      </w:r>
      <w:r w:rsidR="00E86FA3" w:rsidRPr="005629D6">
        <w:rPr>
          <w:color w:val="000000" w:themeColor="text1"/>
        </w:rPr>
        <w:fldChar w:fldCharType="end"/>
      </w:r>
      <w:r w:rsidR="00F61062" w:rsidRPr="005629D6">
        <w:rPr>
          <w:color w:val="000000" w:themeColor="text1"/>
        </w:rPr>
        <w:t xml:space="preserve"> </w:t>
      </w:r>
    </w:p>
    <w:p w14:paraId="3791FD14" w14:textId="4EFBCA5F" w:rsidR="001D5626" w:rsidRPr="005629D6" w:rsidRDefault="00F00DB6" w:rsidP="00B22FDD">
      <w:pPr>
        <w:rPr>
          <w:color w:val="FF0000"/>
        </w:rPr>
      </w:pPr>
      <w:r w:rsidRPr="005629D6">
        <w:rPr>
          <w:color w:val="000000" w:themeColor="text1"/>
        </w:rPr>
        <w:t xml:space="preserve">Perception of pheromones </w:t>
      </w:r>
      <w:r w:rsidR="004A57BE" w:rsidRPr="005629D6">
        <w:rPr>
          <w:color w:val="000000" w:themeColor="text1"/>
        </w:rPr>
        <w:t xml:space="preserve">and other </w:t>
      </w:r>
      <w:proofErr w:type="spellStart"/>
      <w:r w:rsidR="004A57BE" w:rsidRPr="005629D6">
        <w:rPr>
          <w:color w:val="000000" w:themeColor="text1"/>
        </w:rPr>
        <w:t>semiochemicals</w:t>
      </w:r>
      <w:proofErr w:type="spellEnd"/>
      <w:r w:rsidR="004A57BE" w:rsidRPr="005629D6">
        <w:rPr>
          <w:color w:val="000000" w:themeColor="text1"/>
        </w:rPr>
        <w:t xml:space="preserve"> </w:t>
      </w:r>
      <w:r w:rsidRPr="005629D6">
        <w:rPr>
          <w:color w:val="000000" w:themeColor="text1"/>
        </w:rPr>
        <w:t xml:space="preserve">in insects occurs </w:t>
      </w:r>
      <w:r w:rsidRPr="005629D6">
        <w:rPr>
          <w:i/>
          <w:iCs/>
          <w:color w:val="000000" w:themeColor="text1"/>
        </w:rPr>
        <w:t>via</w:t>
      </w:r>
      <w:r w:rsidRPr="005629D6">
        <w:rPr>
          <w:color w:val="000000" w:themeColor="text1"/>
        </w:rPr>
        <w:t xml:space="preserve"> peripheral olfactory sensilla (</w:t>
      </w:r>
      <w:r w:rsidR="00E429BD" w:rsidRPr="005629D6">
        <w:rPr>
          <w:color w:val="000000" w:themeColor="text1"/>
        </w:rPr>
        <w:t>small hair-like structures</w:t>
      </w:r>
      <w:r w:rsidRPr="005629D6">
        <w:rPr>
          <w:color w:val="000000" w:themeColor="text1"/>
        </w:rPr>
        <w:t>)</w:t>
      </w:r>
      <w:r w:rsidR="00E429BD" w:rsidRPr="005629D6">
        <w:rPr>
          <w:color w:val="000000" w:themeColor="text1"/>
        </w:rPr>
        <w:t xml:space="preserve"> </w:t>
      </w:r>
      <w:r w:rsidRPr="005629D6">
        <w:rPr>
          <w:color w:val="000000" w:themeColor="text1"/>
        </w:rPr>
        <w:t xml:space="preserve">that are located mainly on </w:t>
      </w:r>
      <w:r w:rsidR="00232BF9" w:rsidRPr="005629D6">
        <w:rPr>
          <w:color w:val="000000" w:themeColor="text1"/>
        </w:rPr>
        <w:t>the antennae</w:t>
      </w:r>
      <w:r w:rsidR="00E429BD" w:rsidRPr="005629D6">
        <w:rPr>
          <w:color w:val="000000" w:themeColor="text1"/>
        </w:rPr>
        <w:t>.</w:t>
      </w:r>
      <w:r w:rsidR="009119FC" w:rsidRPr="005629D6">
        <w:rPr>
          <w:color w:val="000000" w:themeColor="text1"/>
        </w:rPr>
        <w:fldChar w:fldCharType="begin" w:fldLock="1"/>
      </w:r>
      <w:r w:rsidR="002F2ECE" w:rsidRPr="005629D6">
        <w:rPr>
          <w:color w:val="000000" w:themeColor="text1"/>
        </w:rPr>
        <w:instrText>ADDIN CSL_CITATION {"citationItems":[{"id":"ITEM-1","itemData":{"DOI":"10.3389/fphys.2018.00777","ISSN":"1664042X","abstract":"Chemoreception in insects is mediated by several components interacting at different levels and including odorant-binding proteins (OBPs). Although recent studies demonstrate that the function of OBPs cannot be restricted to an exclusively olfactory role, and that OBPs have been found also in organs generally not related to chemoreception, their feature of binding molecules remains undisputed. Studying the vetch aphid Megoura viciae (Buckton), we used a transcriptomic approach to identify ten OBPs in the antennae and we examined the ultrastructural morphology of sensilla and their distribution on the antennae, legs, mouthparts and cauda of wingless and winged adults by scanning electron microscopy (SEM). Three types of sensilla, trichoid, coeloconic and placoid, differently localized and distributed on antennae, mouthparts, legs and cauda, were described. The expression analysis of the ten OBPs was performed by RT-qPCR in the antennae and other body parts of the wingless adults and at different developmental stages and morphs. Five of the ten OBPs (MvicOBP1, MvicOBP3, MvicOBP6, MvicOBP7, and MvicOBP8), whose antibodies were already available, were selected for experiments of whole-mount immunolocalization on antennae, mouthparts, cornicles and cauda of adult aphids. Most of the ten OBPs were more expressed in antennae than in other body parts; MvicOBP1, MvicOBP3, MvicOBP6, MvicOBP7 were also immunolocalized in the sensilla on the antennae, suggesting a possible involvement of these proteins in chemoreception. MvicOBP6, MvicOBP7, MvicOBP8, MvicOBP9 were highly expressed in the heads and three of them (MvicOBP6, MvicOBP7, MvicOBP8) were immunolocalized in the sensilla on the mouthparts, supporting the hypothesis that also mouthparts may be involved in chemoreception. MvicOBP2, MvicOBP3, MvicOBP5, MvicOBP8 were highly expressed in the cornicles-cauda and two of them (MvicOBP3, MvicOBP8) were immunolocalized in cornicles and in cauda, suggesting a possible new function not related to chemoreception. Moreover, the response of M. viciae to different components of the alarm pheromone was assessed by behavioral assays on wingless adult morph; (-)-α-pinene and (+)-limonene were found to be the components mainly eliciting an alarm response. Taken together, our results represent a road map for subsequent in-depth analyses of the OBPs involved in several physiological functions in M. viciae, including chemoreception.","author":[{"dropping-particle":"","family":"Bruno","given":"Daniele","non-dropping-particle":"","parse-names":false,"suffix":""},{"dropping-particle":"","family":"Grossi","given":"Gerarda","non-dropping-particle":"","parse-names":false,"suffix":""},{"dropping-particle":"","family":"Salvia","given":"Rosanna","non-dropping-particle":"","parse-names":false,"suffix":""},{"dropping-particle":"","family":"Scala","given":"Andrea","non-dropping-particle":"","parse-names":false,"suffix":""},{"dropping-particle":"","family":"Farina","given":"Donatella","non-dropping-particle":"","parse-names":false,"suffix":""},{"dropping-particle":"","family":"Grimaldi","given":"Annalisa","non-dropping-particle":"","parse-names":false,"suffix":""},{"dropping-particle":"","family":"Zhou","given":"Jing Jiang","non-dropping-particle":"","parse-names":false,"suffix":""},{"dropping-particle":"","family":"Bufo","given":"Sabino A.","non-dropping-particle":"","parse-names":false,"suffix":""},{"dropping-particle":"","family":"Vogel","given":"Heiko","non-dropping-particle":"","parse-names":false,"suffix":""},{"dropping-particle":"","family":"Grosse-Wilde","given":"Ewald","non-dropping-particle":"","parse-names":false,"suffix":""},{"dropping-particle":"","family":"Hansson","given":"Bill S.","non-dropping-particle":"","parse-names":false,"suffix":""},{"dropping-particle":"","family":"Falabella","given":"Patrizia","non-dropping-particle":"","parse-names":false,"suffix":""}],"container-title":"Frontiers in Physiology","id":"ITEM-1","issue":"JUN","issued":{"date-parts":[["2018"]]},"page":"1-19","title":"Sensilla morphology and complex expression pattern of odorant binding proteins in the Vetch Aphid Megoura viciae (Hemiptera: Aphididae)","type":"article-journal","volume":"9"},"uris":["http://www.mendeley.com/documents/?uuid=e4f3aa80-4dd7-4ac3-bc94-860260a0c1bc"]},{"id":"ITEM-2","itemData":{"DOI":"10.1111/1744-7917.12118","ISBN":"1744-7917","ISSN":"1744-7917","PMID":"24591440","abstract":"Odorant-binding proteins (OBPs) are soluble proteins mediating chemoreception in insects. In previous research, we investigated the molecular mechanisms adopted by aphids to detect the alarm pheromone (E)-β-farnesene and we found that the recognition of this and structurally related molecules is mediated by OBP3 and OBP7. Here, we show the differential expression patterns of 5 selected OBPs (OBP1, OBP3, OBP6, OBP7, OBP8) obtained performing quantitative RT-PCR and immunolocalization experiments in different body parts of adults and in the 5 developmental instars, including winged and unwinged morphs, of the pea aphid Acyrthosiphon pisum. The results provide an overall picture that allows us to speculate on the relationship between the differential expression of OBPs and their putative function. The expression of OBP3, OBP6, and OBP7 in the antennal sensilla suggests a chemosensory function for these proteins, whereas the constant expression level of OBP8 in all instars could suggest a conserved role. Moreover, OBP1 and OBP3 are also expressed in nonsensory organs. A light and scanning electron microscopy study of sensilla on different body parts of aphid, in particular antennae, legs, mouthparts, and cornicles-cauda, completes this research providing a guide to facilitate the mapping of OBP expression profiles.","author":[{"dropping-particle":"","family":"Biasio","given":"Filomena","non-dropping-particle":"De","parse-names":false,"suffix":""},{"dropping-particle":"","family":"Riviello","given":"Lea","non-dropping-particle":"","parse-names":false,"suffix":""},{"dropping-particle":"","family":"Bruno","given":"Daniele","non-dropping-particle":"","parse-names":false,"suffix":""},{"dropping-particle":"","family":"Grimaldi","given":"Annalisa","non-dropping-particle":"","parse-names":false,"suffix":""},{"dropping-particle":"","family":"Congiu","given":"Terenzio","non-dropping-particle":"","parse-names":false,"suffix":""},{"dropping-particle":"","family":"Sun","given":"Yu Feng","non-dropping-particle":"","parse-names":false,"suffix":""},{"dropping-particle":"","family":"Falabella","given":"Patrizia","non-dropping-particle":"","parse-names":false,"suffix":""}],"container-title":"Insect science","id":"ITEM-2","issued":{"date-parts":[["2014"]]},"page":"1-15","title":"Expression pattern analysis of odorant-binding proteins in the pea aphid &lt;i&gt;Acyrthosiphon pisum.&lt;/i&gt;","type":"article-journal","volume":"00"},"uris":["http://www.mendeley.com/documents/?uuid=748ac6de-33d5-4390-a125-179cf7217c86"]}],"mendeley":{"formattedCitation":"&lt;sup&gt;7,8&lt;/sup&gt;","plainTextFormattedCitation":"7,8","previouslyFormattedCitation":"&lt;sup&gt;7,8&lt;/sup&gt;"},"properties":{"noteIndex":0},"schema":"https://github.com/citation-style-language/schema/raw/master/csl-citation.json"}</w:instrText>
      </w:r>
      <w:r w:rsidR="009119FC" w:rsidRPr="005629D6">
        <w:rPr>
          <w:color w:val="000000" w:themeColor="text1"/>
        </w:rPr>
        <w:fldChar w:fldCharType="separate"/>
      </w:r>
      <w:r w:rsidR="009119FC" w:rsidRPr="005629D6">
        <w:rPr>
          <w:noProof/>
          <w:color w:val="000000" w:themeColor="text1"/>
          <w:vertAlign w:val="superscript"/>
        </w:rPr>
        <w:t>7,8</w:t>
      </w:r>
      <w:r w:rsidR="009119FC" w:rsidRPr="005629D6">
        <w:rPr>
          <w:color w:val="000000" w:themeColor="text1"/>
        </w:rPr>
        <w:fldChar w:fldCharType="end"/>
      </w:r>
      <w:r w:rsidR="00E429BD" w:rsidRPr="005629D6">
        <w:rPr>
          <w:color w:val="000000" w:themeColor="text1"/>
        </w:rPr>
        <w:t xml:space="preserve"> Within t</w:t>
      </w:r>
      <w:r w:rsidR="00390559" w:rsidRPr="005629D6">
        <w:rPr>
          <w:color w:val="000000" w:themeColor="text1"/>
        </w:rPr>
        <w:t>he</w:t>
      </w:r>
      <w:r w:rsidR="00E429BD" w:rsidRPr="005629D6">
        <w:rPr>
          <w:color w:val="000000" w:themeColor="text1"/>
        </w:rPr>
        <w:t xml:space="preserve"> sensilla, there exists two groups of </w:t>
      </w:r>
      <w:r w:rsidR="001A6E34" w:rsidRPr="005629D6">
        <w:rPr>
          <w:color w:val="000000" w:themeColor="text1"/>
        </w:rPr>
        <w:t xml:space="preserve">olfactory proteins, </w:t>
      </w:r>
      <w:r w:rsidR="00E429BD" w:rsidRPr="005629D6">
        <w:rPr>
          <w:color w:val="000000" w:themeColor="text1"/>
        </w:rPr>
        <w:t>odorant-binding proteins (OBPs) and odorant</w:t>
      </w:r>
      <w:r w:rsidR="00E60A69" w:rsidRPr="005629D6">
        <w:rPr>
          <w:color w:val="000000" w:themeColor="text1"/>
        </w:rPr>
        <w:t xml:space="preserve"> </w:t>
      </w:r>
      <w:r w:rsidR="00E429BD" w:rsidRPr="005629D6">
        <w:rPr>
          <w:color w:val="000000" w:themeColor="text1"/>
        </w:rPr>
        <w:t>receptors (ORs)</w:t>
      </w:r>
      <w:r w:rsidR="00CB4E45" w:rsidRPr="005629D6">
        <w:rPr>
          <w:color w:val="000000" w:themeColor="text1"/>
        </w:rPr>
        <w:t>.</w:t>
      </w:r>
      <w:r w:rsidR="005320CF" w:rsidRPr="005629D6">
        <w:rPr>
          <w:color w:val="000000" w:themeColor="text1"/>
        </w:rPr>
        <w:fldChar w:fldCharType="begin" w:fldLock="1"/>
      </w:r>
      <w:r w:rsidR="002F2ECE" w:rsidRPr="005629D6">
        <w:rPr>
          <w:color w:val="000000" w:themeColor="text1"/>
        </w:rPr>
        <w:instrText>ADDIN CSL_CITATION {"citationItems":[{"id":"ITEM-1","itemData":{"DOI":"10.1007/s00018-005-5607-0","ISBN":"0001800556070","ISSN":"1420682X","PMID":"16786224","abstract":"Our understanding of the biochemical mechanisms that mediate chemoreception in insects has been greatly improved after the discovery of olfactory and taste receptor proteins. However, the presence of soluble polypeptides in high concentration around the dendrites of sensory neurons still poses unanswered questions. More than 2 decades after their discovery and despite the wealth of structural information available, the physiological function of odorant-binding proteins is not well understood. More recently, members of a second family of soluble polypeptides, the chemosensory proteins, were also discovered in the lymph of chemosensilla. Here we review the structural properties of both classes of soluble proteins, their affinity to small ligands, and their expression in the different parts of the insect body and subcellular localisation. Finally, we discuss current ideas and models of the role of such proteins in insect chemoreception.","author":[{"dropping-particle":"","family":"Pelosi","given":"P.","non-dropping-particle":"","parse-names":false,"suffix":""},{"dropping-particle":"","family":"Zhou","given":"J. J.","non-dropping-particle":"","parse-names":false,"suffix":""},{"dropping-particle":"","family":"Ban","given":"L. P.","non-dropping-particle":"","parse-names":false,"suffix":""},{"dropping-particle":"","family":"Calvello","given":"M.","non-dropping-particle":"","parse-names":false,"suffix":""}],"container-title":"Cellular and Molecular Life Sciences","id":"ITEM-1","issue":"14","issued":{"date-parts":[["2006"]]},"page":"1658-1676","title":"Soluble proteins in insect chemical communication","type":"article-journal","volume":"63"},"uris":["http://www.mendeley.com/documents/?uuid=f96a7e3a-84fa-4bfb-aa19-77481ff1e677"]},{"id":"ITEM-2","itemData":{"DOI":"10.1007/s00018-006-6130-7","ISBN":"1420-682X (Print)\\r1420-682X (Linking)","ISSN":"1420682X","PMID":"16786219","abstract":"Olfaction, the sense of smell, depends on large, divergent families of odorant receptors that detect odour stimuli in the nose and transform them into patterns of neuronal activity that are recognised in the brain. The olfactory circuits in mammals and insects display striking similarities in their sensory physiology and neuroanatomy, which has suggested that odours are perceived by a conserved mechanism. Here I review recent revelations of significant structural and functional differences between the Drosophila and mammalian odorant receptor proteins and discuss the implications for our understanding of the evolutionary and molecular biology of the insect odorant receptors.","author":[{"dropping-particle":"","family":"Benton","given":"R.","non-dropping-particle":"","parse-names":false,"suffix":""}],"container-title":"Cellular and Molecular Life Sciences","id":"ITEM-2","issue":"14","issued":{"date-parts":[["2006"]]},"page":"1579-1585","title":"On the ORigin of smell: Odorant receptors in insects","type":"article-journal","volume":"63"},"uris":["http://www.mendeley.com/documents/?uuid=3e1c9e56-31c5-4a95-8795-c16f58e1bf9b"]}],"mendeley":{"formattedCitation":"&lt;sup&gt;9,10&lt;/sup&gt;","plainTextFormattedCitation":"9,10","previouslyFormattedCitation":"&lt;sup&gt;9,10&lt;/sup&gt;"},"properties":{"noteIndex":0},"schema":"https://github.com/citation-style-language/schema/raw/master/csl-citation.json"}</w:instrText>
      </w:r>
      <w:r w:rsidR="005320CF" w:rsidRPr="005629D6">
        <w:rPr>
          <w:color w:val="000000" w:themeColor="text1"/>
        </w:rPr>
        <w:fldChar w:fldCharType="separate"/>
      </w:r>
      <w:r w:rsidR="009119FC" w:rsidRPr="005629D6">
        <w:rPr>
          <w:noProof/>
          <w:color w:val="000000" w:themeColor="text1"/>
          <w:vertAlign w:val="superscript"/>
        </w:rPr>
        <w:t>9,10</w:t>
      </w:r>
      <w:r w:rsidR="005320CF" w:rsidRPr="005629D6">
        <w:rPr>
          <w:color w:val="000000" w:themeColor="text1"/>
        </w:rPr>
        <w:fldChar w:fldCharType="end"/>
      </w:r>
      <w:r w:rsidR="00E429BD" w:rsidRPr="005629D6">
        <w:rPr>
          <w:color w:val="000000" w:themeColor="text1"/>
        </w:rPr>
        <w:t xml:space="preserve"> Both OBPs and ORs have been shown to be critical in </w:t>
      </w:r>
      <w:r w:rsidR="00AF68FA" w:rsidRPr="005629D6">
        <w:rPr>
          <w:color w:val="000000" w:themeColor="text1"/>
        </w:rPr>
        <w:t>olfactory perception in insects, though the role of OBPs is not yet fully understood</w:t>
      </w:r>
      <w:r w:rsidR="00CB4E45" w:rsidRPr="005629D6">
        <w:rPr>
          <w:color w:val="000000" w:themeColor="text1"/>
        </w:rPr>
        <w:t>.</w:t>
      </w:r>
      <w:r w:rsidR="005320CF" w:rsidRPr="005629D6">
        <w:rPr>
          <w:color w:val="000000" w:themeColor="text1"/>
        </w:rPr>
        <w:fldChar w:fldCharType="begin" w:fldLock="1"/>
      </w:r>
      <w:r w:rsidR="002F2ECE" w:rsidRPr="005629D6">
        <w:rPr>
          <w:color w:val="000000" w:themeColor="text1"/>
        </w:rPr>
        <w:instrText>ADDIN CSL_CITATION {"citationItems":[{"id":"ITEM-1","itemData":{"DOI":"10.1007/s00018-005-5607-0","ISBN":"0001800556070","ISSN":"1420682X","PMID":"16786224","abstract":"Our understanding of the biochemical mechanisms that mediate chemoreception in insects has been greatly improved after the discovery of olfactory and taste receptor proteins. However, the presence of soluble polypeptides in high concentration around the dendrites of sensory neurons still poses unanswered questions. More than 2 decades after their discovery and despite the wealth of structural information available, the physiological function of odorant-binding proteins is not well understood. More recently, members of a second family of soluble polypeptides, the chemosensory proteins, were also discovered in the lymph of chemosensilla. Here we review the structural properties of both classes of soluble proteins, their affinity to small ligands, and their expression in the different parts of the insect body and subcellular localisation. Finally, we discuss current ideas and models of the role of such proteins in insect chemoreception.","author":[{"dropping-particle":"","family":"Pelosi","given":"P.","non-dropping-particle":"","parse-names":false,"suffix":""},{"dropping-particle":"","family":"Zhou","given":"J. J.","non-dropping-particle":"","parse-names":false,"suffix":""},{"dropping-particle":"","family":"Ban","given":"L. P.","non-dropping-particle":"","parse-names":false,"suffix":""},{"dropping-particle":"","family":"Calvello","given":"M.","non-dropping-particle":"","parse-names":false,"suffix":""}],"container-title":"Cellular and Molecular Life Sciences","id":"ITEM-1","issue":"14","issued":{"date-parts":[["2006"]]},"page":"1658-1676","title":"Soluble proteins in insect chemical communication","type":"article-journal","volume":"63"},"uris":["http://www.mendeley.com/documents/?uuid=f96a7e3a-84fa-4bfb-aa19-77481ff1e677"]},{"id":"ITEM-2","itemData":{"DOI":"10.7554/eLife.20242","ISSN":"2050-084X","PMID":"27845621","abstract":"Odorant binding proteins (Obps) are remarkable in their number, diversity, and abundance, yet their role in olfactory coding remains unclear. They are widely believed to be required for transporting hydrophobic odorants through an aqueous lymph to odorant receptors. We construct a map of the Drosophila antenna, in which the abundant Obps are mapped to olfactory sensilla with defined functions. The results lay a foundation for an incisive analysis of Obp function. The map identifies a sensillum type that contains a single abundant Obp , Obp28a . Surprisingly, deletion of the sole abundant Obp in these sensilla does not reduce the magnitude of their olfactory responses. The results suggest that this Obp is not required for odorant transport and that this sensillum does not require an abundant Obp. The results further suggest a novel role for this Obp in buffering changes in the odor environment, perhaps providing a molecular form of gain control.","author":[{"dropping-particle":"","family":"Larter","given":"Nikki K","non-dropping-particle":"","parse-names":false,"suffix":""},{"dropping-particle":"","family":"Sun","given":"Jennifer S","non-dropping-particle":"","parse-names":false,"suffix":""},{"dropping-particle":"","family":"Carlson","given":"John R","non-dropping-particle":"","parse-names":false,"suffix":""}],"container-title":"eLife","id":"ITEM-2","issued":{"date-parts":[["2016"]]},"page":"e20242","title":"Organization and function of &lt;i&gt;Drosophila&lt;/i&gt; odorant binding proteins","type":"article-journal","volume":"5"},"uris":["http://www.mendeley.com/documents/?uuid=9cc15faa-59a6-40ec-979a-fb46b539ad8a"]}],"mendeley":{"formattedCitation":"&lt;sup&gt;9,11&lt;/sup&gt;","plainTextFormattedCitation":"9,11","previouslyFormattedCitation":"&lt;sup&gt;9,11&lt;/sup&gt;"},"properties":{"noteIndex":0},"schema":"https://github.com/citation-style-language/schema/raw/master/csl-citation.json"}</w:instrText>
      </w:r>
      <w:r w:rsidR="005320CF" w:rsidRPr="005629D6">
        <w:rPr>
          <w:color w:val="000000" w:themeColor="text1"/>
        </w:rPr>
        <w:fldChar w:fldCharType="separate"/>
      </w:r>
      <w:r w:rsidR="009119FC" w:rsidRPr="005629D6">
        <w:rPr>
          <w:noProof/>
          <w:color w:val="000000" w:themeColor="text1"/>
          <w:vertAlign w:val="superscript"/>
        </w:rPr>
        <w:t>9,11</w:t>
      </w:r>
      <w:r w:rsidR="005320CF" w:rsidRPr="005629D6">
        <w:rPr>
          <w:color w:val="000000" w:themeColor="text1"/>
        </w:rPr>
        <w:fldChar w:fldCharType="end"/>
      </w:r>
      <w:r w:rsidR="007F4EFA" w:rsidRPr="005629D6">
        <w:rPr>
          <w:color w:val="000000" w:themeColor="text1"/>
        </w:rPr>
        <w:t xml:space="preserve"> </w:t>
      </w:r>
      <w:r w:rsidR="00002E66" w:rsidRPr="005629D6">
        <w:rPr>
          <w:color w:val="000000" w:themeColor="text1"/>
        </w:rPr>
        <w:t>O</w:t>
      </w:r>
      <w:r w:rsidR="00A0081B" w:rsidRPr="005629D6">
        <w:rPr>
          <w:color w:val="000000" w:themeColor="text1"/>
        </w:rPr>
        <w:t xml:space="preserve">Rs can be characterised </w:t>
      </w:r>
      <w:proofErr w:type="spellStart"/>
      <w:r w:rsidR="00AA6CA9" w:rsidRPr="005629D6">
        <w:rPr>
          <w:color w:val="000000" w:themeColor="text1"/>
        </w:rPr>
        <w:t>electrophysiologically</w:t>
      </w:r>
      <w:proofErr w:type="spellEnd"/>
      <w:r w:rsidR="00AA6CA9" w:rsidRPr="005629D6">
        <w:rPr>
          <w:color w:val="000000" w:themeColor="text1"/>
        </w:rPr>
        <w:t xml:space="preserve"> </w:t>
      </w:r>
      <w:r w:rsidR="00A0081B" w:rsidRPr="005629D6">
        <w:rPr>
          <w:color w:val="000000" w:themeColor="text1"/>
        </w:rPr>
        <w:t xml:space="preserve">by expressing in </w:t>
      </w:r>
      <w:r w:rsidR="00A0081B" w:rsidRPr="005629D6">
        <w:rPr>
          <w:i/>
          <w:iCs/>
          <w:color w:val="000000" w:themeColor="text1"/>
        </w:rPr>
        <w:t>Xenopus</w:t>
      </w:r>
      <w:r w:rsidR="00A0081B" w:rsidRPr="005629D6">
        <w:rPr>
          <w:color w:val="000000" w:themeColor="text1"/>
        </w:rPr>
        <w:t xml:space="preserve"> oocytes, HEK (human </w:t>
      </w:r>
      <w:r w:rsidR="00B82D62" w:rsidRPr="005629D6">
        <w:rPr>
          <w:color w:val="000000" w:themeColor="text1"/>
        </w:rPr>
        <w:t>embryonic</w:t>
      </w:r>
      <w:r w:rsidR="00A0081B" w:rsidRPr="005629D6">
        <w:rPr>
          <w:color w:val="000000" w:themeColor="text1"/>
        </w:rPr>
        <w:t xml:space="preserve"> kidney) cells</w:t>
      </w:r>
      <w:r w:rsidR="00D2601C" w:rsidRPr="005629D6">
        <w:rPr>
          <w:color w:val="000000" w:themeColor="text1"/>
        </w:rPr>
        <w:t xml:space="preserve"> or </w:t>
      </w:r>
      <w:r w:rsidR="00CB4E45" w:rsidRPr="005629D6">
        <w:rPr>
          <w:color w:val="000000" w:themeColor="text1"/>
        </w:rPr>
        <w:t xml:space="preserve">the </w:t>
      </w:r>
      <w:r w:rsidR="00CB4E45" w:rsidRPr="005629D6">
        <w:rPr>
          <w:i/>
          <w:iCs/>
          <w:color w:val="000000" w:themeColor="text1"/>
        </w:rPr>
        <w:t xml:space="preserve">Drosophila </w:t>
      </w:r>
      <w:r w:rsidR="00CB4E45" w:rsidRPr="005629D6">
        <w:rPr>
          <w:color w:val="000000" w:themeColor="text1"/>
        </w:rPr>
        <w:t>empty neuron system</w:t>
      </w:r>
      <w:r w:rsidR="00E60A69" w:rsidRPr="005629D6">
        <w:rPr>
          <w:color w:val="000000" w:themeColor="text1"/>
        </w:rPr>
        <w:t>,</w:t>
      </w:r>
      <w:r w:rsidR="00F256DA" w:rsidRPr="005629D6">
        <w:rPr>
          <w:color w:val="000000" w:themeColor="text1"/>
        </w:rPr>
        <w:t xml:space="preserve"> </w:t>
      </w:r>
      <w:r w:rsidR="00AA6CA9" w:rsidRPr="005629D6">
        <w:rPr>
          <w:color w:val="000000" w:themeColor="text1"/>
        </w:rPr>
        <w:t>and</w:t>
      </w:r>
      <w:r w:rsidR="002A74A3" w:rsidRPr="005629D6">
        <w:rPr>
          <w:color w:val="000000" w:themeColor="text1"/>
        </w:rPr>
        <w:t xml:space="preserve"> expos</w:t>
      </w:r>
      <w:r w:rsidR="00AA6CA9" w:rsidRPr="005629D6">
        <w:rPr>
          <w:color w:val="000000" w:themeColor="text1"/>
        </w:rPr>
        <w:t>ing</w:t>
      </w:r>
      <w:r w:rsidR="002A74A3" w:rsidRPr="005629D6">
        <w:rPr>
          <w:color w:val="000000" w:themeColor="text1"/>
        </w:rPr>
        <w:t xml:space="preserve"> t</w:t>
      </w:r>
      <w:r w:rsidR="004A57BE" w:rsidRPr="005629D6">
        <w:rPr>
          <w:color w:val="000000" w:themeColor="text1"/>
        </w:rPr>
        <w:t>o</w:t>
      </w:r>
      <w:r w:rsidR="002A74A3" w:rsidRPr="005629D6">
        <w:rPr>
          <w:color w:val="000000" w:themeColor="text1"/>
        </w:rPr>
        <w:t xml:space="preserve"> ligands of interest</w:t>
      </w:r>
      <w:r w:rsidR="00CB4E45" w:rsidRPr="005629D6">
        <w:rPr>
          <w:color w:val="000000" w:themeColor="text1"/>
        </w:rPr>
        <w:t>.</w:t>
      </w:r>
      <w:r w:rsidR="00B82D62" w:rsidRPr="005629D6">
        <w:rPr>
          <w:color w:val="000000" w:themeColor="text1"/>
        </w:rPr>
        <w:fldChar w:fldCharType="begin" w:fldLock="1"/>
      </w:r>
      <w:r w:rsidR="002F2ECE" w:rsidRPr="005629D6">
        <w:rPr>
          <w:color w:val="000000" w:themeColor="text1"/>
        </w:rPr>
        <w:instrText>ADDIN CSL_CITATION {"citationItems":[{"id":"ITEM-1","itemData":{"DOI":"10.1016/j.ibmb.2019.103289","ISSN":"18790240","abstract":"The Xenopus oocyte and the Human Embryonic Kidney (HEK) 293 cell expression systems are frequently used for functional characterization (deorphanization) of insect odorant receptors (ORs). However, the inherent characteristics of these heterologous systems differ in several aspects, which raises the question of whether the two systems provide comparable results, and how well the results correspond to the responses obtained from olfactory sensory neurons in vivo. Five candidate pheromone receptors were previously identified in the primitive moth Eriocrania semipurpurella (Esem) and their responses were characterized in HEK cells. We re-examined the responses of these five EsemORs in Xenopus oocytes. We showed that in both systems, EsemOR1 specifically responded to the plant volatile β-caryophyllene. EsemOR3 responded stronger to the pheromone component (S,Z)-6-nonen-2-ol than to its enantiomer (R,Z)-6-nonen-2-ol, the second pheromone component. However, EsemOR3 also responded secondarily to the plant volatile β-caryophyllene in the oocyte system, but not in the HEK cell system. EsemOR4 was unresponsive in the HEK cells, but responded primarily to (R,Z)-6-nonen-2-ol followed by (S,Z)-6-nonen-2-ol in the oocytes, representing a discovery of a new pheromone receptor in this species. EsemOR5 was broadly tuned in both systems, but the rank order among the most active pheromone compounds and antagonists was different. EsemOR6 showed no response to any compound in either system. We compared the results obtained in the two different heterologous systems with the activity previously recorded in vivo, and performed in situ hybridization to localize the expression of these OR genes in the antennae. In spite of similar results overall, differences in OR responses between heterologous expression systems suggest that conclusions about the function of individual ORs may differ depending on the system used for deorphanization.","author":[{"dropping-particle":"","family":"Hou","given":"Xiaoqing","non-dropping-particle":"","parse-names":false,"suffix":""},{"dropping-particle":"","family":"Zhang","given":"Dan Dan","non-dropping-particle":"","parse-names":false,"suffix":""},{"dropping-particle":"","family":"Yuvaraj","given":"Jothi Kumar","non-dropping-particle":"","parse-names":false,"suffix":""},{"dropping-particle":"","family":"Corcoran","given":"Jacob A.","non-dropping-particle":"","parse-names":false,"suffix":""},{"dropping-particle":"","family":"Andersson","given":"Martin N.","non-dropping-particle":"","parse-names":false,"suffix":""},{"dropping-particle":"","family":"Löfstedt","given":"Christer","non-dropping-particle":"","parse-names":false,"suffix":""}],"container-title":"Insect Biochemistry and Molecular Biology","id":"ITEM-1","issue":"November 2019","issued":{"date-parts":[["2020"]]},"page":"103289","publisher":"Elsevier","title":"Functional characterization of odorant receptors from the moth Eriocrania semipurpurella: A comparison of results in the Xenopus oocyte and HEK cell systems","type":"article-journal","volume":"117"},"uris":["http://www.mendeley.com/documents/?uuid=75abd874-82da-4f47-88d9-29f6d50c1118"]},{"id":"ITEM-2","itemData":{"author":[{"dropping-particle":"","family":"Luetje","given":"Charles W.","non-dropping-particle":"","parse-names":false,"suffix":""},{"dropping-particle":"","family":"Nichols","given":"Andrew S.","non-dropping-particle":"","parse-names":false,"suffix":""},{"dropping-particle":"","family":"Castro","given":"Ana","non-dropping-particle":"","parse-names":false,"suffix":""},{"dropping-particle":"","family":"Sherman","given":"Benjamin","non-dropping-particle":"","parse-names":false,"suffix":""}],"container-title":"Olfactory Receptors","id":"ITEM-2","issued":{"date-parts":[["2013"]]},"page":"187-202","title":"Functional Assay of Mammalian and Insect Olfactory Receptors Using Xenopus Oocytes","type":"chapter"},"uris":["http://www.mendeley.com/documents/?uuid=826f6782-55c2-4af1-ad85-273e6bddb698"]},{"id":"ITEM-3","itemData":{"DOI":"10.1073/pnas.1003881107","ISBN":"0027-8424","ISSN":"0027-8424","PMID":"20439725","abstract":"Male moths are endowed with odorant receptors (ORs) to detect species-specific sex pheromones with remarkable sensitivity and selectivity. We serendipitously discovered that an endogenous OR in the fruit fly, Drosophila melanogaster, is highly sensitive to the sex pheromone of the silkworm moth, bombykol. Intriguingly, the fruit fly detectors are more sensitive than the receptors of the silkworm moth, although its ecological significance is unknown. By expression in the \"empty neuron\" system, we identified the fruit fly bombykol-sensitive OR as DmelOR7a (= DmOR7a). The profiles of this receptor in response to bombykol in the native sensilla (ab4) or expressed in the empty neuron system (ab3 sensilla) are indistinguishable. Both WT and transgenic flies responded with high sensitivity, in a dose-dependent manner, and with rapid signal termination. In contrast, the same empty neuron expressing the moth bombykol receptor, BmorOR1, demonstrated low sensitivity and slow signal inactivation. When expressed in the trichoid sensilla T1 of the fruit fly, the neuron housing BmorOR1 responded with sensitivity comparable to that of the native trichoid sensilla in the silkworm moth. By challenging the native bombykol receptor in the fruit fly with high doses of another odorant to which the receptor responds with the highest sensitivity, we demonstrate that slow signal termination is induced by overdose of a stimulus. As opposed to the empty neuron system in the basiconic sensilla, the structural, biochemical, and/or biophysical features of the sensilla make the T1 trichoid system of the fly a better surrogate for the moth receptor.","author":[{"dropping-particle":"","family":"Syed","given":"Zainulabeuddin","non-dropping-particle":"","parse-names":false,"suffix":""},{"dropping-particle":"","family":"Kopp","given":"Artyom","non-dropping-particle":"","parse-names":false,"suffix":""},{"dropping-particle":"","family":"Kimbrell","given":"Deborah a","non-dropping-particle":"","parse-names":false,"suffix":""},{"dropping-particle":"","family":"Leal","given":"Walter S","non-dropping-particle":"","parse-names":false,"suffix":""}],"container-title":"Proceedings of the National Academy of Sciences of the United States of America","id":"ITEM-3","issue":"20","issued":{"date-parts":[["2010"]]},"page":"9436-9439","title":"Bombykol receptors in the silkworm moth and the fruit fly.","type":"article-journal","volume":"107"},"uris":["http://www.mendeley.com/documents/?uuid=cd9dc06c-e0b6-47b4-acbd-c0ed3a887d0b"]},{"id":"ITEM-4","itemData":{"DOI":"10.1073/pnas.0607874103","ISBN":"0027-8424","ISSN":"0027-8424","PMID":"17060610","abstract":"We have expressed a male-specific, pheromone-sensitive odorant receptor (OR), BmorOR1, from the silkworm moth Bombyx mori in an \"empty neuron\" housed in the ab3 sensilla of a Drosophila Deltahalo mutant. Single-sensillum recordings showed that the BmorOR1-expressing neurons in the transgenic flies responded to the B. mori pheromone bombykol, albeit with low sensitivity. These transgenic flies responded to lower doses of bombykol in an altered stimulation method with direct delivery of pheromone into the sensillum milieu. We also expressed a B. mori pheromone-binding protein, BmorPBP, in the BmorOR1-expressing ab3 sensilla. Despite the low levels of BmorPBP expression, flies carrying both BmorOR1 and BmorPBP showed significantly higher electrophysiological responses than BmorOR1 flies. Both types of BmorOR1-expressing flies responded to bombykol, and to a lesser extent to a second compound, bombykal, even without the addition of organic solvents to the recording electrode buffer. When the semiochemicals were delivered by the conventional puffing of stimulus on the antennae, the receptor responded to bombykol but not to bombykal. The onset of response was remarkably slow, and neural activity extended for an unusually long time (&gt;1 min) after the end of stimulus delivery. We hypothesize that BmorOR1-expressing ab3 sensilla lack a pheromone-degrading enzyme to rapidly inactivate bombykol and terminate the signal. We also found an endogenous receptor in one of the sensillum types on Drosophila antenna that responds to bombykol and bombykal with sensitivity comparable to the pheromone-detecting sensilla on B. mori male antennae.","author":[{"dropping-particle":"","family":"Syed","given":"Zainulabeuddin","non-dropping-particle":"","parse-names":false,"suffix":""},{"dropping-particle":"","family":"Ishida","given":"Yuko","non-dropping-particle":"","parse-names":false,"suffix":""},{"dropping-particle":"","family":"Taylor","given":"Katherine","non-dropping-particle":"","parse-names":false,"suffix":""},{"dropping-particle":"","family":"Kimbrell","given":"Deborah a","non-dropping-particle":"","parse-names":false,"suffix":""},{"dropping-particle":"","family":"Leal","given":"Walter S","non-dropping-particle":"","parse-names":false,"suffix":""}],"container-title":"Proceedings of the National Academy of Sciences of the United States of America","id":"ITEM-4","issue":"44","issued":{"date-parts":[["2006"]]},"page":"16538-16543","title":"Pheromone reception in fruit flies expressing a moth's odorant receptor.","type":"article-journal","volume":"103"},"uris":["http://www.mendeley.com/documents/?uuid=fbe518d9-5ad9-44a5-93f3-749543727117"]}],"mendeley":{"formattedCitation":"&lt;sup&gt;12–15&lt;/sup&gt;","plainTextFormattedCitation":"12–15","previouslyFormattedCitation":"&lt;sup&gt;12–15&lt;/sup&gt;"},"properties":{"noteIndex":0},"schema":"https://github.com/citation-style-language/schema/raw/master/csl-citation.json"}</w:instrText>
      </w:r>
      <w:r w:rsidR="00B82D62" w:rsidRPr="005629D6">
        <w:rPr>
          <w:color w:val="000000" w:themeColor="text1"/>
        </w:rPr>
        <w:fldChar w:fldCharType="separate"/>
      </w:r>
      <w:r w:rsidR="009119FC" w:rsidRPr="005629D6">
        <w:rPr>
          <w:noProof/>
          <w:color w:val="000000" w:themeColor="text1"/>
          <w:vertAlign w:val="superscript"/>
        </w:rPr>
        <w:t>12–15</w:t>
      </w:r>
      <w:r w:rsidR="00B82D62" w:rsidRPr="005629D6">
        <w:rPr>
          <w:color w:val="000000" w:themeColor="text1"/>
        </w:rPr>
        <w:fldChar w:fldCharType="end"/>
      </w:r>
      <w:r w:rsidR="00F1765E" w:rsidRPr="005629D6">
        <w:rPr>
          <w:color w:val="000000" w:themeColor="text1"/>
        </w:rPr>
        <w:t xml:space="preserve"> </w:t>
      </w:r>
      <w:r w:rsidR="00B22FDD" w:rsidRPr="005629D6">
        <w:rPr>
          <w:color w:val="000000" w:themeColor="text1"/>
        </w:rPr>
        <w:t xml:space="preserve">However, understanding the </w:t>
      </w:r>
      <w:r w:rsidR="00B82D62" w:rsidRPr="005629D6">
        <w:rPr>
          <w:color w:val="000000" w:themeColor="text1"/>
        </w:rPr>
        <w:t xml:space="preserve">3-dimensional </w:t>
      </w:r>
      <w:r w:rsidR="00B22FDD" w:rsidRPr="005629D6">
        <w:rPr>
          <w:color w:val="000000" w:themeColor="text1"/>
        </w:rPr>
        <w:t xml:space="preserve">structure and </w:t>
      </w:r>
      <w:r w:rsidR="00B82D62" w:rsidRPr="005629D6">
        <w:rPr>
          <w:color w:val="000000" w:themeColor="text1"/>
        </w:rPr>
        <w:t xml:space="preserve">therefore </w:t>
      </w:r>
      <w:r w:rsidR="00B22FDD" w:rsidRPr="005629D6">
        <w:rPr>
          <w:color w:val="000000" w:themeColor="text1"/>
        </w:rPr>
        <w:t xml:space="preserve">protein-ligand interactions of </w:t>
      </w:r>
      <w:r w:rsidR="00E60A69" w:rsidRPr="005629D6">
        <w:rPr>
          <w:color w:val="000000" w:themeColor="text1"/>
        </w:rPr>
        <w:t>ORs</w:t>
      </w:r>
      <w:r w:rsidR="00B22FDD" w:rsidRPr="005629D6">
        <w:rPr>
          <w:color w:val="000000" w:themeColor="text1"/>
        </w:rPr>
        <w:t xml:space="preserve"> would allow for more efficient screening of potential ligands or </w:t>
      </w:r>
      <w:r w:rsidR="00B82D62" w:rsidRPr="005629D6">
        <w:rPr>
          <w:color w:val="000000" w:themeColor="text1"/>
        </w:rPr>
        <w:t>further understanding of previously</w:t>
      </w:r>
      <w:r w:rsidR="00F256DA" w:rsidRPr="005629D6">
        <w:rPr>
          <w:color w:val="000000" w:themeColor="text1"/>
        </w:rPr>
        <w:t xml:space="preserve"> characterised ligands. </w:t>
      </w:r>
    </w:p>
    <w:p w14:paraId="4CB34327" w14:textId="257B8141" w:rsidR="00E4103B" w:rsidRPr="005629D6" w:rsidRDefault="005361D6" w:rsidP="003A57A7">
      <w:pPr>
        <w:rPr>
          <w:rFonts w:cstheme="minorHAnsi"/>
          <w:color w:val="000000" w:themeColor="text1"/>
          <w:szCs w:val="20"/>
        </w:rPr>
      </w:pPr>
      <w:r w:rsidRPr="005629D6">
        <w:rPr>
          <w:rFonts w:cstheme="minorHAnsi"/>
          <w:color w:val="000000" w:themeColor="text1"/>
          <w:szCs w:val="20"/>
        </w:rPr>
        <w:t>Insect ORs were initially thought to be G-coupled protein receptor</w:t>
      </w:r>
      <w:r w:rsidR="00E60A69" w:rsidRPr="005629D6">
        <w:rPr>
          <w:rFonts w:cstheme="minorHAnsi"/>
          <w:color w:val="000000" w:themeColor="text1"/>
          <w:szCs w:val="20"/>
        </w:rPr>
        <w:t>s</w:t>
      </w:r>
      <w:r w:rsidRPr="005629D6">
        <w:rPr>
          <w:rFonts w:cstheme="minorHAnsi"/>
          <w:color w:val="000000" w:themeColor="text1"/>
          <w:szCs w:val="20"/>
        </w:rPr>
        <w:t xml:space="preserve"> (GPCRs)</w:t>
      </w:r>
      <w:r w:rsidR="00427F7F" w:rsidRPr="005629D6">
        <w:rPr>
          <w:rFonts w:cstheme="minorHAnsi"/>
          <w:color w:val="000000" w:themeColor="text1"/>
          <w:szCs w:val="20"/>
        </w:rPr>
        <w:t>.</w:t>
      </w:r>
      <w:r w:rsidR="002F2ECE"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{"citationItems":[{"id":"ITEM-1","itemData":{"DOI":"10.1038/ncomms7077","ISSN":"20411723","abstract":"Insect odorant receptors (ORs) comprise an enormous protein family that translates environmental chemical signals into neuronal electrical activity. These heptahelical receptors are proposed to function as ligand-gated ion channels and/or to act metabotropically as G protein-coupled receptors (GPCRs). Resolving their signalling mechanism has been hampered by the lack of tertiary structural information and primary sequence similarity to other proteins. We use amino acid evolutionary covariation across these ORs to define restraints on structural proximity of residue pairs, which permit de novo generation of three-dimensional models. The validity of our analysis is supported by the location of functionally important residues in highly constrained regions of the protein. Importantly, insect OR models exhibit a distinct transmembrane domain packing arrangement to that of canonical GPCRs, establishing the structural unrelatedness of these receptor families. The evolutionary couplings and models predict odour binding and ion conduction domains, and provide a template for rationale structure-activity dissection.","author":[{"dropping-particle":"","family":"Hopf","given":"Thomas A.","non-dropping-particle":"","parse-names":false,"suffix":""},{"dropping-particle":"","family":"Morinaga","given":"Satoshi","non-dropping-particle":"","parse-names":false,"suffix":""},{"dropping-particle":"","family":"Ihara","given":"Sayoko","non-dropping-particle":"","parse-names":false,"suffix":""},{"dropping-particle":"","family":"Touhara","given":"Kazushige","non-dropping-particle":"","parse-names":false,"suffix":""},{"dropping-particle":"","family":"Marks","given":"Debora S.","non-dropping-particle":"","parse-names":false,"suffix":""},{"dropping-particle":"","family":"Benton","given":"Richard","non-dropping-particle":"","parse-names":false,"suffix":""}],"container-title":"Nature Communications","id":"ITEM-1","issued":{"date-parts":[["2015"]]},"page":"1-7","publisher":"Nature Publishing Group","title":"Amino acid coevolution reveals three-dimensional structure and functional domains of insect odorant receptors","type":"article-journal","volume":"6"},"uris":["http://www.mendeley.com/documents/?uuid=80367888-72bb-4f8a-8385-99552f9f5667"]}],"mendeley":{"formattedCitation":"&lt;sup&gt;16&lt;/sup&gt;","plainTextFormattedCitation":"16","previouslyFormattedCitation":"&lt;sup&gt;16&lt;/sup&gt;"},"properties":{"noteIndex":0},"schema":"https://github.com/citation-style-language/schema/raw/master/csl-citation.json"}</w:instrText>
      </w:r>
      <w:r w:rsidR="002F2ECE"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16</w:t>
      </w:r>
      <w:r w:rsidR="002F2ECE" w:rsidRPr="005629D6">
        <w:rPr>
          <w:rFonts w:cstheme="minorHAnsi"/>
          <w:color w:val="000000" w:themeColor="text1"/>
          <w:szCs w:val="20"/>
        </w:rPr>
        <w:fldChar w:fldCharType="end"/>
      </w:r>
      <w:r w:rsidR="00D47FC0" w:rsidRPr="005629D6">
        <w:rPr>
          <w:rFonts w:cstheme="minorHAnsi"/>
          <w:color w:val="000000" w:themeColor="text1"/>
          <w:szCs w:val="20"/>
        </w:rPr>
        <w:t xml:space="preserve"> </w:t>
      </w:r>
      <w:r w:rsidR="00427F7F" w:rsidRPr="005629D6">
        <w:rPr>
          <w:rFonts w:cstheme="minorHAnsi"/>
          <w:color w:val="000000" w:themeColor="text1"/>
          <w:szCs w:val="20"/>
        </w:rPr>
        <w:t>Similar to</w:t>
      </w:r>
      <w:r w:rsidRPr="005629D6">
        <w:rPr>
          <w:rFonts w:cstheme="minorHAnsi"/>
          <w:color w:val="000000" w:themeColor="text1"/>
          <w:szCs w:val="20"/>
        </w:rPr>
        <w:t xml:space="preserve"> GPCRs, they possess </w:t>
      </w:r>
      <w:r w:rsidR="00D47FC0" w:rsidRPr="005629D6">
        <w:rPr>
          <w:rFonts w:cstheme="minorHAnsi"/>
          <w:color w:val="000000" w:themeColor="text1"/>
          <w:szCs w:val="20"/>
        </w:rPr>
        <w:t xml:space="preserve">seven </w:t>
      </w:r>
      <w:r w:rsidRPr="005629D6">
        <w:rPr>
          <w:rFonts w:cstheme="minorHAnsi"/>
          <w:color w:val="000000" w:themeColor="text1"/>
          <w:szCs w:val="20"/>
        </w:rPr>
        <w:t xml:space="preserve">transmembrane domains, forming a </w:t>
      </w:r>
      <w:proofErr w:type="spellStart"/>
      <w:r w:rsidRPr="005629D6">
        <w:rPr>
          <w:rFonts w:cstheme="minorHAnsi"/>
          <w:color w:val="000000" w:themeColor="text1"/>
          <w:szCs w:val="20"/>
        </w:rPr>
        <w:t>heptahelical</w:t>
      </w:r>
      <w:proofErr w:type="spellEnd"/>
      <w:r w:rsidRPr="005629D6">
        <w:rPr>
          <w:rFonts w:cstheme="minorHAnsi"/>
          <w:color w:val="000000" w:themeColor="text1"/>
          <w:szCs w:val="20"/>
        </w:rPr>
        <w:t xml:space="preserve"> topology. </w:t>
      </w:r>
      <w:r w:rsidR="00F80FBF" w:rsidRPr="005629D6">
        <w:rPr>
          <w:rFonts w:cstheme="minorHAnsi"/>
          <w:color w:val="000000" w:themeColor="text1"/>
          <w:szCs w:val="20"/>
        </w:rPr>
        <w:t>C</w:t>
      </w:r>
      <w:r w:rsidR="00D47FC0" w:rsidRPr="005629D6">
        <w:rPr>
          <w:rFonts w:cstheme="minorHAnsi"/>
          <w:color w:val="000000" w:themeColor="text1"/>
          <w:szCs w:val="20"/>
        </w:rPr>
        <w:t>haracterisation of ORs in insects showed a unique inversion of the N and C termini</w:t>
      </w:r>
      <w:r w:rsidR="00CB4E45" w:rsidRPr="005629D6">
        <w:rPr>
          <w:rFonts w:cstheme="minorHAnsi"/>
          <w:color w:val="000000" w:themeColor="text1"/>
          <w:szCs w:val="20"/>
        </w:rPr>
        <w:t>.</w:t>
      </w:r>
      <w:r w:rsidR="00D47FC0"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{"citationItems":[{"id":"ITEM-1","itemData":{"DOI":"10.1007/s00018-006-6130-7","ISBN":"1420-682X (Print)\\r1420-682X (Linking)","ISSN":"1420682X","PMID":"16786219","abstract":"Olfaction, the sense of smell, depends on large, divergent families of odorant receptors that detect odour stimuli in the nose and transform them into patterns of neuronal activity that are recognised in the brain. The olfactory circuits in mammals and insects display striking similarities in their sensory physiology and neuroanatomy, which has suggested that odours are perceived by a conserved mechanism. Here I review recent revelations of significant structural and functional differences between the Drosophila and mammalian odorant receptor proteins and discuss the implications for our understanding of the evolutionary and molecular biology of the insect odorant receptors.","author":[{"dropping-particle":"","family":"Benton","given":"R.","non-dropping-particle":"","parse-names":false,"suffix":""}],"container-title":"Cellular and Molecular Life Sciences","id":"ITEM-1","issue":"14","issued":{"date-parts":[["2006"]]},"page":"1579-1585","title":"On the ORigin of smell: Odorant receptors in insects","type":"article-journal","volume":"63"},"uris":["http://www.mendeley.com/documents/?uuid=3e1c9e56-31c5-4a95-8795-c16f58e1bf9b"]},{"id":"ITEM-2","itemData":{"DOI":"10.1038/s41586-018-0420-8","ISSN":"14764687","PMID":"30111839","abstract":"The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-2","issue":"7719","issued":{"date-parts":[["2018"]]},"page":"447-452","publisher":"Springer US","title":"Cryo-EM structure of the insect olfactory receptor Orco","type":"article-journal","volume":"560"},"uris":["http://www.mendeley.com/documents/?uuid=39008980-944d-4b35-826d-38ce947c6ad8"]},{"id":"ITEM-3","itemData":{"DOI":"10.1038/s41586-021-03794-8","ISSN":"0028-0836","abstract":"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-3","issue":"January","issued":{"date-parts":[["2021"]]},"title":"The structural basis of odorant recognition in insect olfactory receptors","type":"article-journal"},"uris":["http://www.mendeley.com/documents/?uuid=2dec9e12-4bd0-4f9d-97b9-f4ca47b69bef"]}],"mendeley":{"formattedCitation":"&lt;sup&gt;10,17,18&lt;/sup&gt;","plainTextFormattedCitation":"10,17,18","previouslyFormattedCitation":"&lt;sup&gt;10,17,18&lt;/sup&gt;"},"properties":{"noteIndex":0},"schema":"https://github.com/citation-style-language/schema/raw/master/csl-citation.json"}</w:instrText>
      </w:r>
      <w:r w:rsidR="00D47FC0"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10,17,18</w:t>
      </w:r>
      <w:r w:rsidR="00D47FC0" w:rsidRPr="005629D6">
        <w:rPr>
          <w:rFonts w:cstheme="minorHAnsi"/>
          <w:color w:val="000000" w:themeColor="text1"/>
          <w:szCs w:val="20"/>
        </w:rPr>
        <w:fldChar w:fldCharType="end"/>
      </w:r>
      <w:r w:rsidR="00D47FC0" w:rsidRPr="005629D6">
        <w:rPr>
          <w:rFonts w:cstheme="minorHAnsi"/>
          <w:color w:val="000000" w:themeColor="text1"/>
          <w:szCs w:val="20"/>
        </w:rPr>
        <w:t xml:space="preserve"> </w:t>
      </w:r>
      <w:r w:rsidRPr="005629D6">
        <w:rPr>
          <w:rFonts w:cstheme="minorHAnsi"/>
          <w:color w:val="000000" w:themeColor="text1"/>
          <w:szCs w:val="20"/>
        </w:rPr>
        <w:t xml:space="preserve">ORs form a heteromeric complex with </w:t>
      </w:r>
      <w:r w:rsidR="00E60A69" w:rsidRPr="005629D6">
        <w:rPr>
          <w:rFonts w:cstheme="minorHAnsi"/>
          <w:color w:val="000000" w:themeColor="text1"/>
          <w:szCs w:val="20"/>
        </w:rPr>
        <w:t>an olfactory receptor co-receptor (</w:t>
      </w:r>
      <w:r w:rsidRPr="005629D6">
        <w:rPr>
          <w:rFonts w:cstheme="minorHAnsi"/>
          <w:color w:val="000000" w:themeColor="text1"/>
          <w:szCs w:val="20"/>
        </w:rPr>
        <w:t>ORCO</w:t>
      </w:r>
      <w:r w:rsidR="00E60A69" w:rsidRPr="005629D6">
        <w:rPr>
          <w:rFonts w:cstheme="minorHAnsi"/>
          <w:color w:val="000000" w:themeColor="text1"/>
          <w:szCs w:val="20"/>
        </w:rPr>
        <w:t xml:space="preserve">), the </w:t>
      </w:r>
      <w:r w:rsidR="00F31986" w:rsidRPr="005629D6">
        <w:rPr>
          <w:rFonts w:cstheme="minorHAnsi"/>
          <w:color w:val="000000" w:themeColor="text1"/>
          <w:szCs w:val="20"/>
        </w:rPr>
        <w:t xml:space="preserve">presence of </w:t>
      </w:r>
      <w:r w:rsidR="00E60A69" w:rsidRPr="005629D6">
        <w:rPr>
          <w:rFonts w:cstheme="minorHAnsi"/>
          <w:color w:val="000000" w:themeColor="text1"/>
          <w:szCs w:val="20"/>
        </w:rPr>
        <w:t xml:space="preserve">which </w:t>
      </w:r>
      <w:r w:rsidR="00F31986" w:rsidRPr="005629D6">
        <w:rPr>
          <w:rFonts w:cstheme="minorHAnsi"/>
          <w:color w:val="000000" w:themeColor="text1"/>
          <w:szCs w:val="20"/>
        </w:rPr>
        <w:t>is crucial for olfactory perception</w:t>
      </w:r>
      <w:r w:rsidR="00E60A69" w:rsidRPr="005629D6">
        <w:rPr>
          <w:rFonts w:cstheme="minorHAnsi"/>
          <w:color w:val="000000" w:themeColor="text1"/>
          <w:szCs w:val="20"/>
        </w:rPr>
        <w:t>, as shown by</w:t>
      </w:r>
      <w:r w:rsidR="00F31986" w:rsidRPr="005629D6">
        <w:rPr>
          <w:rFonts w:cstheme="minorHAnsi"/>
          <w:color w:val="000000" w:themeColor="text1"/>
          <w:szCs w:val="20"/>
        </w:rPr>
        <w:t xml:space="preserve"> </w:t>
      </w:r>
      <w:r w:rsidR="00E60A69" w:rsidRPr="005629D6">
        <w:rPr>
          <w:rFonts w:cstheme="minorHAnsi"/>
          <w:color w:val="000000" w:themeColor="text1"/>
          <w:szCs w:val="20"/>
        </w:rPr>
        <w:t>reduced</w:t>
      </w:r>
      <w:r w:rsidR="00F31986" w:rsidRPr="005629D6">
        <w:rPr>
          <w:rFonts w:cstheme="minorHAnsi"/>
          <w:color w:val="000000" w:themeColor="text1"/>
          <w:szCs w:val="20"/>
        </w:rPr>
        <w:t xml:space="preserve"> insect olfactory capabilit</w:t>
      </w:r>
      <w:r w:rsidR="00E60A69" w:rsidRPr="005629D6">
        <w:rPr>
          <w:rFonts w:cstheme="minorHAnsi"/>
          <w:color w:val="000000" w:themeColor="text1"/>
          <w:szCs w:val="20"/>
        </w:rPr>
        <w:t>y following removal of ORCO</w:t>
      </w:r>
      <w:r w:rsidR="00CB4E45" w:rsidRPr="005629D6">
        <w:rPr>
          <w:rFonts w:cstheme="minorHAnsi"/>
          <w:color w:val="000000" w:themeColor="text1"/>
          <w:szCs w:val="20"/>
        </w:rPr>
        <w:t>.</w:t>
      </w:r>
      <w:r w:rsidR="00C83B3E" w:rsidRPr="005629D6">
        <w:rPr>
          <w:rFonts w:cstheme="minorHAnsi"/>
          <w:color w:val="000000" w:themeColor="text1"/>
          <w:szCs w:val="20"/>
        </w:rPr>
        <w:fldChar w:fldCharType="begin" w:fldLock="1"/>
      </w:r>
      <w:r w:rsidR="000D52F2" w:rsidRPr="005629D6">
        <w:rPr>
          <w:rFonts w:cstheme="minorHAnsi"/>
          <w:color w:val="000000" w:themeColor="text1"/>
          <w:szCs w:val="20"/>
        </w:rPr>
        <w:instrText xml:space="preserve">ADDIN CSL_CITATION {"citationItems":[{"id":"ITEM-1","itemData":{"DOI":"10.1016/j.cell.2017.07.001","ISSN":"10974172","abstract":"Life inside ant colonies is orchestrated with diverse pheromones, but it is not clear how ants perceive these social signals. It has been proposed that pheromone perception in ants evolved via expansions in the numbers of odorant receptors (ORs) and antennal lobe glomeruli. Here, we generate the first mutant lines in the clonal raider ant, Ooceraea biroi, by disrupting orco, a gene required for the function of all ORs. We find that orco mutants exhibit severe deficiencies in social behavior and fitness, suggesting they are unable to perceive pheromones. Surprisingly, unlike in Drosophila melanogaster, orco mutant ants also lack most of the </w:instrText>
      </w:r>
      <w:r w:rsidR="000D52F2" w:rsidRPr="005629D6">
        <w:rPr>
          <w:rFonts w:ascii="Cambria Math" w:hAnsi="Cambria Math" w:cs="Cambria Math"/>
          <w:color w:val="000000" w:themeColor="text1"/>
          <w:szCs w:val="20"/>
        </w:rPr>
        <w:instrText>∼</w:instrText>
      </w:r>
      <w:r w:rsidR="000D52F2" w:rsidRPr="005629D6">
        <w:rPr>
          <w:rFonts w:cstheme="minorHAnsi"/>
          <w:color w:val="000000" w:themeColor="text1"/>
          <w:szCs w:val="20"/>
        </w:rPr>
        <w:instrText>500 antennal lobe glomeruli found in wild-type ants. These results illustrate that ORs are essential for ant social organization and raise the possibility that, similar to mammals, receptor function is required for the development and/or maintenance of the highly complex olfactory processing areas in the ant brain. Video Abstract [Figure presented]","author":[{"dropping-particle":"","family":"Trible","given":"Waring","non-dropping-particle":"","parse-names":false,"suffix":""},{"dropping-particle":"","family":"Olivos-Cisneros","given":"Leonora","non-dropping-particle":"","parse-names":false,"suffix":""},{"dropping-particle":"","family":"McKenzie","given":"Sean K.","non-dropping-particle":"","parse-names":false,"suffix":""},{"dropping-particle":"","family":"Saragosti","given":"Jonathan","non-dropping-particle":"","parse-names":false,"suffix":""},{"dropping-particle":"","family":"Chang","given":"Ni Chen","non-dropping-particle":"","parse-names":false,"suffix":""},{"dropping-particle":"","family":"Matthews","given":"Benjamin J.","non-dropping-particle":"","parse-names":false,"suffix":""},{"dropping-particle":"","family":"Oxley","given":"Peter R.","non-dropping-particle":"","parse-names":false,"suffix":""},{"dropping-particle":"","family":"Kronauer","given":"Daniel J.C.","non-dropping-particle":"","parse-names":false,"suffix":""}],"container-title":"Cell","id":"ITEM-1","issue":"4","issued":{"date-parts":[["2017"]]},"page":"727-735.e10","publisher":"Elsevier Inc.","title":"orco Mutagenesis Causes Loss of Antennal Lobe Glomeruli and Impaired Social Behavior in Ants","type":"article-journal","volume":"170"},"uris":["http://www.mendeley.com/documents/?uuid=aa90ba63-c353-44b5-9622-d6764759e577"]},{"id":"ITEM-2","itemData":{"DOI":"10.1016/j.cub.2016.10.013","ISBN":"09609822","ISSN":"09609822","PMID":"27916525","abstract":"The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Biology","id":"ITEM-2","issue":"1","issued":{"date-parts":[["2017"]]},"page":"55-61","publisher":"Elsevier Ltd.","title":"Molecular Basis of Alarm Pheromone Detection in Aphids","type":"article-journal","volume":"27"},"uris":["http://www.mendeley.com/documents/?uuid=7ba4c0fd-5186-44f3-b962-69bddb791a8e"]},{"id":"ITEM-3","itemData":{"DOI":"10.1038/s41586-018-0420-8","ISSN":"14764687","PMID":"30111839","abstract":"The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-3","issue":"7719","issued":{"date-parts":[["2018"]]},"page":"447-452","publisher":"Springer US","title":"Cryo-EM structure of the insect olfactory receptor Orco","type":"article-journal","volume":"560"},"uris":["http://www.mendeley.com/documents/?uuid=39008980-944d-4b35-826d-38ce947c6ad8"]}],"mendeley":{"formattedCitation":"&lt;sup&gt;17,19,20&lt;/sup&gt;","plainTextFormattedCitation":"17,19,20","previouslyFormattedCitation":"&lt;sup&gt;17,19,20&lt;/sup&gt;"},"properties":{"noteIndex":0},"schema":"https://github.com/citation-style-language/schema/raw/master/csl-citation.json"}</w:instrText>
      </w:r>
      <w:r w:rsidR="00C83B3E"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17,19,20</w:t>
      </w:r>
      <w:r w:rsidR="00C83B3E" w:rsidRPr="005629D6">
        <w:rPr>
          <w:rFonts w:cstheme="minorHAnsi"/>
          <w:color w:val="000000" w:themeColor="text1"/>
          <w:szCs w:val="20"/>
        </w:rPr>
        <w:fldChar w:fldCharType="end"/>
      </w:r>
      <w:r w:rsidR="00F31986" w:rsidRPr="005629D6">
        <w:rPr>
          <w:rFonts w:cstheme="minorHAnsi"/>
          <w:color w:val="000000" w:themeColor="text1"/>
          <w:szCs w:val="20"/>
        </w:rPr>
        <w:t xml:space="preserve"> </w:t>
      </w:r>
      <w:r w:rsidR="008F47CA" w:rsidRPr="005629D6">
        <w:rPr>
          <w:rFonts w:cstheme="minorHAnsi"/>
          <w:color w:val="000000" w:themeColor="text1"/>
          <w:szCs w:val="20"/>
        </w:rPr>
        <w:t>The</w:t>
      </w:r>
      <w:r w:rsidR="00F31986" w:rsidRPr="005629D6">
        <w:rPr>
          <w:rFonts w:cstheme="minorHAnsi"/>
          <w:color w:val="000000" w:themeColor="text1"/>
          <w:szCs w:val="20"/>
        </w:rPr>
        <w:t xml:space="preserve"> OR/ORCO </w:t>
      </w:r>
      <w:r w:rsidR="008F47CA" w:rsidRPr="005629D6">
        <w:rPr>
          <w:rFonts w:cstheme="minorHAnsi"/>
          <w:color w:val="000000" w:themeColor="text1"/>
          <w:szCs w:val="20"/>
        </w:rPr>
        <w:t xml:space="preserve">heteromeric </w:t>
      </w:r>
      <w:r w:rsidR="00D47FC0" w:rsidRPr="005629D6">
        <w:rPr>
          <w:rFonts w:cstheme="minorHAnsi"/>
          <w:color w:val="000000" w:themeColor="text1"/>
          <w:szCs w:val="20"/>
        </w:rPr>
        <w:t xml:space="preserve">complex forms </w:t>
      </w:r>
      <w:r w:rsidR="003E1D48" w:rsidRPr="005629D6">
        <w:rPr>
          <w:rFonts w:cstheme="minorHAnsi"/>
          <w:color w:val="000000" w:themeColor="text1"/>
          <w:szCs w:val="20"/>
        </w:rPr>
        <w:t>an ion channel</w:t>
      </w:r>
      <w:r w:rsidR="00D47FC0" w:rsidRPr="005629D6">
        <w:rPr>
          <w:rFonts w:cstheme="minorHAnsi"/>
          <w:color w:val="000000" w:themeColor="text1"/>
          <w:szCs w:val="20"/>
        </w:rPr>
        <w:t xml:space="preserve">, which is </w:t>
      </w:r>
      <w:r w:rsidR="00FD1093" w:rsidRPr="005629D6">
        <w:rPr>
          <w:rFonts w:cstheme="minorHAnsi"/>
          <w:color w:val="000000" w:themeColor="text1"/>
          <w:szCs w:val="20"/>
        </w:rPr>
        <w:lastRenderedPageBreak/>
        <w:t>involve</w:t>
      </w:r>
      <w:r w:rsidR="00D47FC0" w:rsidRPr="005629D6">
        <w:rPr>
          <w:rFonts w:cstheme="minorHAnsi"/>
          <w:color w:val="000000" w:themeColor="text1"/>
          <w:szCs w:val="20"/>
        </w:rPr>
        <w:t>d</w:t>
      </w:r>
      <w:r w:rsidR="00FD1093" w:rsidRPr="005629D6">
        <w:rPr>
          <w:rFonts w:cstheme="minorHAnsi"/>
          <w:color w:val="000000" w:themeColor="text1"/>
          <w:szCs w:val="20"/>
        </w:rPr>
        <w:t xml:space="preserve"> in signal transduction</w:t>
      </w:r>
      <w:r w:rsidR="00F31986" w:rsidRPr="005629D6">
        <w:rPr>
          <w:rFonts w:cstheme="minorHAnsi"/>
          <w:color w:val="000000" w:themeColor="text1"/>
          <w:szCs w:val="20"/>
        </w:rPr>
        <w:t>, wh</w:t>
      </w:r>
      <w:r w:rsidR="005B119F" w:rsidRPr="005629D6">
        <w:rPr>
          <w:rFonts w:cstheme="minorHAnsi"/>
          <w:color w:val="000000" w:themeColor="text1"/>
          <w:szCs w:val="20"/>
        </w:rPr>
        <w:t>ile</w:t>
      </w:r>
      <w:r w:rsidR="00F31986" w:rsidRPr="005629D6">
        <w:rPr>
          <w:rFonts w:cstheme="minorHAnsi"/>
          <w:color w:val="000000" w:themeColor="text1"/>
          <w:szCs w:val="20"/>
        </w:rPr>
        <w:t xml:space="preserve"> the OR unit is responsible for tuning specificity and interacting with olfactory ligands</w:t>
      </w:r>
      <w:r w:rsidR="00CB4E45" w:rsidRPr="005629D6">
        <w:rPr>
          <w:rFonts w:cstheme="minorHAnsi"/>
          <w:color w:val="000000" w:themeColor="text1"/>
          <w:szCs w:val="20"/>
        </w:rPr>
        <w:t>.</w:t>
      </w:r>
      <w:r w:rsidR="004D3A79"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{"citationItems":[{"id":"ITEM-1","itemData":{"DOI":"10.1038/nature06850","ISSN":"14764687","abstract":"In insects, each olfactory sensory neuron expresses between one and three ligand-binding members of the olfactory receptor (OR) gene family, along with the highly conserved and broadly expressed Or83b co-receptor. The functional insect OR consists of a heteromeric complex of unknown stoichiometry but comprising at least one variable odorant-binding subunit and one constant Or83b family subunit. Insect ORs lack homology to G-protein-coupled chemosensory receptors in vertebrates and possess a distinct seven-transmembrane topology with the amino terminus located intracellularly. Here we provide evidence that heteromeric insect ORs comprise a new class of ligand-activated non-selective cation channels. Heterologous cells expressing silkmoth, fruitfly or mosquito heteromeric OR complexes showed extracellular Ca2+ influx and cation-non-selective ion conductance on stimulation with odorant. Odour-evoked OR currents are independent of known G-protein-coupled second messenger pathways. The fast response kinetics and OR-subunit-dependent K+ ion selectivity of the insect OR complex support the hypothesis that the complex between OR and Or83b itself confers channel activity. Direct evidence for odorant-gated channels was obtained by outside-out patch-clamp recording of Xenopus oocyte and HEK293T cell membranes expressing insect OR complexes. The ligand-gated ion channel formed by an insect OR complex seems to be the basis for a unique strategy that insects have acquired to respond to the olfactory environment.","author":[{"dropping-particle":"","family":"Sato","given":"Koji","non-dropping-particle":"","parse-names":false,"suffix":""},{"dropping-particle":"","family":"Pellegrino","given":"Maurizio","non-dropping-particle":"","parse-names":false,"suffix":""},{"dropping-particle":"","family":"Nakagawa","given":"Takao","non-dropping-particle":"","parse-names":false,"suffix":""},{"dropping-particle":"","family":"Nakagawa","given":"Tatsuro","non-dropping-particle":"","parse-names":false,"suffix":""},{"dropping-particle":"","family":"Vosshall","given":"Leslie B.","non-dropping-particle":"","parse-names":false,"suffix":""},{"dropping-particle":"","family":"Touhara","given":"Kazushige","non-dropping-particle":"","parse-names":false,"suffix":""}],"container-title":"Nature","id":"ITEM-1","issue":"7190","issued":{"date-parts":[["2008"]]},"page":"1002-1006","title":"Insect olfactory receptors are heteromeric ligand-gated ion channels","type":"article-journal","volume":"452"},"uris":["http://www.mendeley.com/documents/?uuid=daa3062e-aef1-4a66-8326-1d5a2050ff3f"]},{"id":"ITEM-2","itemData":{"DOI":"10.1038/s41586-018-0420-8","ISSN":"14764687","PMID":"30111839","abstract":"The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-2","issue":"7719","issued":{"date-parts":[["2018"]]},"page":"447-452","publisher":"Springer US","title":"Cryo-EM structure of the insect olfactory receptor Orco","type":"article-journal","volume":"560"},"uris":["http://www.mendeley.com/documents/?uuid=39008980-944d-4b35-826d-38ce947c6ad8"]},{"id":"ITEM-3","itemData":{"DOI":"10.1038/s41586-021-03794-8","ISSN":"0028-0836","abstract":"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-3","issue":"January","issued":{"date-parts":[["2021"]]},"title":"The structural basis of odorant recognition in insect olfactory receptors","type":"article-journal"},"uris":["http://www.mendeley.com/documents/?uuid=2dec9e12-4bd0-4f9d-97b9-f4ca47b69bef"]}],"mendeley":{"formattedCitation":"&lt;sup&gt;17,18,21&lt;/sup&gt;","plainTextFormattedCitation":"17,18,21","previouslyFormattedCitation":"&lt;sup&gt;17,18,21&lt;/sup&gt;"},"properties":{"noteIndex":0},"schema":"https://github.com/citation-style-language/schema/raw/master/csl-citation.json"}</w:instrText>
      </w:r>
      <w:r w:rsidR="004D3A79"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17,18,21</w:t>
      </w:r>
      <w:r w:rsidR="004D3A79" w:rsidRPr="005629D6">
        <w:rPr>
          <w:rFonts w:cstheme="minorHAnsi"/>
          <w:color w:val="000000" w:themeColor="text1"/>
          <w:szCs w:val="20"/>
        </w:rPr>
        <w:fldChar w:fldCharType="end"/>
      </w:r>
      <w:r w:rsidR="003A57A7" w:rsidRPr="005629D6">
        <w:rPr>
          <w:rFonts w:cstheme="minorHAnsi"/>
          <w:color w:val="000000" w:themeColor="text1"/>
          <w:szCs w:val="20"/>
        </w:rPr>
        <w:t xml:space="preserve"> </w:t>
      </w:r>
      <w:r w:rsidR="00CB4E45" w:rsidRPr="005629D6">
        <w:rPr>
          <w:rFonts w:cstheme="minorHAnsi"/>
          <w:color w:val="000000" w:themeColor="text1"/>
          <w:szCs w:val="20"/>
        </w:rPr>
        <w:t xml:space="preserve">Much of </w:t>
      </w:r>
      <w:r w:rsidR="004D3A79" w:rsidRPr="005629D6">
        <w:rPr>
          <w:rFonts w:cstheme="minorHAnsi"/>
          <w:color w:val="000000" w:themeColor="text1"/>
          <w:szCs w:val="20"/>
        </w:rPr>
        <w:t xml:space="preserve">OR specificity appears to arise from </w:t>
      </w:r>
      <w:r w:rsidR="002A1828" w:rsidRPr="005629D6">
        <w:rPr>
          <w:rFonts w:cstheme="minorHAnsi"/>
          <w:color w:val="000000" w:themeColor="text1"/>
          <w:szCs w:val="20"/>
        </w:rPr>
        <w:t>a highly conserved binding pocket including residues on multiple transmembrane domains</w:t>
      </w:r>
      <w:r w:rsidR="004D3A79" w:rsidRPr="005629D6">
        <w:rPr>
          <w:rFonts w:cstheme="minorHAnsi"/>
          <w:color w:val="000000" w:themeColor="text1"/>
          <w:szCs w:val="20"/>
        </w:rPr>
        <w:t>.</w:t>
      </w:r>
      <w:r w:rsidR="002A1828"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mendeley":{"formattedCitation":"&lt;sup&gt;18&lt;/sup&gt;","plainTextFormattedCitation":"18","previouslyFormattedCitation":"&lt;sup&gt;18&lt;/sup&gt;"},"properties":{"noteIndex":0},"schema":"https://github.com/citation-style-language/schema/raw/master/csl-citation.json"}</w:instrText>
      </w:r>
      <w:r w:rsidR="002A1828"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18</w:t>
      </w:r>
      <w:r w:rsidR="002A1828" w:rsidRPr="005629D6">
        <w:rPr>
          <w:rFonts w:cstheme="minorHAnsi"/>
          <w:color w:val="000000" w:themeColor="text1"/>
          <w:szCs w:val="20"/>
        </w:rPr>
        <w:fldChar w:fldCharType="end"/>
      </w:r>
      <w:r w:rsidR="004D3A79" w:rsidRPr="005629D6">
        <w:rPr>
          <w:rFonts w:cstheme="minorHAnsi"/>
          <w:color w:val="000000" w:themeColor="text1"/>
          <w:szCs w:val="20"/>
        </w:rPr>
        <w:t xml:space="preserve"> </w:t>
      </w:r>
      <w:r w:rsidR="00F94182" w:rsidRPr="005629D6">
        <w:rPr>
          <w:rFonts w:cstheme="minorHAnsi"/>
          <w:color w:val="000000" w:themeColor="text1"/>
          <w:szCs w:val="20"/>
        </w:rPr>
        <w:t>The long extracellular loops between transmembrane domains can be mutated to affect OR functionality and specificity</w:t>
      </w:r>
      <w:r w:rsidR="005D700A" w:rsidRPr="005629D6">
        <w:rPr>
          <w:rFonts w:cstheme="minorHAnsi"/>
          <w:color w:val="000000" w:themeColor="text1"/>
          <w:szCs w:val="20"/>
        </w:rPr>
        <w:t>, and previous computational work has predicted their importance in OR-ligand interactions</w:t>
      </w:r>
      <w:r w:rsidR="000973DA" w:rsidRPr="005629D6">
        <w:rPr>
          <w:rFonts w:cstheme="minorHAnsi"/>
          <w:color w:val="000000" w:themeColor="text1"/>
          <w:szCs w:val="20"/>
        </w:rPr>
        <w:t>.</w:t>
      </w:r>
      <w:r w:rsidR="00F94182"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{"citationItems":[{"id":"ITEM-1","itemData":{"DOI":"10.1038/nature06850","ISSN":"14764687","abstract":"In insects, each olfactory sensory neuron expresses between one and three ligand-binding members of the olfactory receptor (OR) gene family, along with the highly conserved and broadly expressed Or83b co-receptor. The functional insect OR consists of a heteromeric complex of unknown stoichiometry but comprising at least one variable odorant-binding subunit and one constant Or83b family subunit. Insect ORs lack homology to G-protein-coupled chemosensory receptors in vertebrates and possess a distinct seven-transmembrane topology with the amino terminus located intracellularly. Here we provide evidence that heteromeric insect ORs comprise a new class of ligand-activated non-selective cation channels. Heterologous cells expressing silkmoth, fruitfly or mosquito heteromeric OR complexes showed extracellular Ca2+ influx and cation-non-selective ion conductance on stimulation with odorant. Odour-evoked OR currents are independent of known G-protein-coupled second messenger pathways. The fast response kinetics and OR-subunit-dependent K+ ion selectivity of the insect OR complex support the hypothesis that the complex between OR and Or83b itself confers channel activity. Direct evidence for odorant-gated channels was obtained by outside-out patch-clamp recording of Xenopus oocyte and HEK293T cell membranes expressing insect OR complexes. The ligand-gated ion channel formed by an insect OR complex seems to be the basis for a unique strategy that insects have acquired to respond to the olfactory environment.","author":[{"dropping-particle":"","family":"Sato","given":"Koji","non-dropping-particle":"","parse-names":false,"suffix":""},{"dropping-particle":"","family":"Pellegrino","given":"Maurizio","non-dropping-particle":"","parse-names":false,"suffix":""},{"dropping-particle":"","family":"Nakagawa","given":"Takao","non-dropping-particle":"","parse-names":false,"suffix":""},{"dropping-particle":"","family":"Nakagawa","given":"Tatsuro","non-dropping-particle":"","parse-names":false,"suffix":""},{"dropping-particle":"","family":"Vosshall","given":"Leslie B.","non-dropping-particle":"","parse-names":false,"suffix":""},{"dropping-particle":"","family":"Touhara","given":"Kazushige","non-dropping-particle":"","parse-names":false,"suffix":""}],"container-title":"Nature","id":"ITEM-1","issue":"7190","issued":{"date-parts":[["2008"]]},"page":"1002-1006","title":"Insect olfactory receptors are heteromeric ligand-gated ion channels","type":"article-journal","volume":"452"},"uris":["http://www.mendeley.com/documents/?uuid=daa3062e-aef1-4a66-8326-1d5a2050ff3f"]},{"id":"ITEM-2","itemData":{"DOI":"10.1016/j.bbrc.2013.05.015","ISSN":"0006291X","abstract":"Odorant receptors (ORs) are essential for insect survival in the environment and thus are ideal molecular targets for the design of insect-inspired modern green chemicals to control populations of agricultural pests and insects of medical importance. Although insect ORs are known for more than a decade, their structural biology is still in its infancy. Here, we unravel the first structural features of ORs from the malaria mosquito, the Southern house mosquito and the silkworm moth. The second extracellular loops (ECL-2s) of their predicted structures are much longer than ECL-1s and ECL-3s. The 27 amino-acid-residue-long of the ECL-2s in mosquito and the 43 amino-acid-residue-long ECL2s in moth ORs are well-conserved. About one-third of the residues are identical, including 3-4 Pro residues. Thorough examination of well-conserved residues in these structures, by point mutation and functional assay with the Xenopus oocyte recording system, strongly suggest that these \"loops\" include three β-turns and some degree of folding. In the Southern house mosquito three Pro residues in ECL-2 are essential for full activation of the receptor, which is finely tuned to the oviposition attractant 3-methylindole. Additionally, the \"corner residues\" of prolines, including Gly, Tyr, and Leu are functionally important thus suggesting that turns are stabilized not only by backbone hydrogen bonds, but also by side-chain interactions. Examination of ECL-2s from a distant taxonomical group suggests these ECL-2 loops might be functionally important in all insect ORs. Two of the four Pro residues in the predicted ECL-2 of the bombykol receptor in the silkworm moth, BmorOR1, are essential for function. Experimental evidence indicates that these loops may not be specificity determinants, but they may form a cover to the yet-to-be-identified membrane embedded binding cavities of insect ORs. © 2013 The Authors.","author":[{"dropping-particle":"","family":"Xu","given":"Pingxi","non-dropping-particle":"","parse-names":false,"suffix":""},{"dropping-particle":"","family":"Leal","given":"Walter S.","non-dropping-particle":"","parse-names":false,"suffix":""}],"container-title":"Biochemical and Biophysical Research Communications","id":"ITEM-2","issue":"3","issued":{"date-parts":[["2013"]]},"page":"477-482","publisher":"Elsevier Inc.","title":"Probing insect odorant receptors with their cognate ligands: Insights into structural features","type":"article-journal","volume":"435"},"uris":["http://www.mendeley.com/documents/?uuid=b25991ce-1e3b-4e80-8861-37a22e72bf77"]},{"id":"ITEM-3","itemData":{"DOI":"10.3389/fncel.2019.00134","ISSN":"16625102","abstract":"Chemical signaling is ubiquitous and employs a variety of receptor types to detect the cacophony of molecules relevant for each living organism. Insects, our most diverse taxon, have evolved unique olfactory receptors with as little as 10% sequence identity between receptor types. We have identified a promiscuous volatile, 2-methyltetrahydro-3-furanone (coffee furanone), that elicits chemosensory and behavioral activity across multiple insect orders and receptors. In vivo and in vitro physiology showed that coffee furanone was detected by roughly 80% of the recorded neurons expressing the insect-specific olfactory receptor complex in the antenna of Drosophila melanogaster, at concentrations similar to other known, and less promiscuous, ligands. Neurons expressing specialized receptors, other chemoreceptor types, or mutants lacking the complex entirely did not respond to this compound. This indicates that coffee furanone is a promiscuous ligand for the insect olfactory receptor complex itself and did not induce non-specific cellular responses. In addition, we present homology modeling and docking studies with selected olfactory receptors that suggest conserved interaction regions for both coffee furanone and known ligands. Apart from its physiological activity, this known food additive elicits a behavioral response for several insects, including mosquitoes, flies, and cockroaches. A broad-scale behaviorally active molecule non-toxic to humans thus has significant implications for health and agriculture. Coffee furanone serves as a unique tool to unlock molecular, physiological, and behavioral relationships across this diverse receptor family and animal taxa.","author":[{"dropping-particle":"","family":"Batra","given":"Srishti","non-dropping-particle":"","parse-names":false,"suffix":""},{"dropping-particle":"","family":"Corcoran","given":"Jacob","non-dropping-particle":"","parse-names":false,"suffix":""},{"dropping-particle":"","family":"Zhang","given":"Dan Dan","non-dropping-particle":"","parse-names":false,"suffix":""},{"dropping-particle":"","family":"Pal","given":"Pramit","non-dropping-particle":"","parse-names":false,"suffix":""},{"dropping-particle":"","family":"Umesh","given":"K. P.","non-dropping-particle":"","parse-names":false,"suffix":""},{"dropping-particle":"","family":"Kulkarni","given":"Renuka","non-dropping-particle":"","parse-names":false,"suffix":""},{"dropping-particle":"","family":"Löfstedt","given":"Christer","non-dropping-particle":"","parse-names":false,"suffix":""},{"dropping-particle":"","family":"Sowdhamini","given":"Ramanathan","non-dropping-particle":"","parse-names":false,"suffix":""},{"dropping-particle":"","family":"Olsson","given":"Shannon B.","non-dropping-particle":"","parse-names":false,"suffix":""}],"container-title":"Frontiers in Cellular Neuroscience","id":"ITEM-3","issue":"April","issued":{"date-parts":[["2019"]]},"page":"1-13","title":"A functional agonist of insect olfactory receptors: Behavior, physiology and structure","type":"article-journal","volume":"13"},"uris":["http://www.mendeley.com/documents/?uuid=c84d31e1-54f8-4b5e-bb04-55e733675bb1"]},{"id":"ITEM-4","itemData":{"DOI":"10.1038/s41598-018-21631-3","ISSN":"20452322","abstract":"Insect olfactory receptors are routinely expressed in heterologous systems for functional characterisation. It was recently discovered that the essential olfactory receptor co-receptor (Orco) of the Hessian fly, Mayetiola destructor (Mdes), does not respond to the agonist VUAA1, which activates Orco in all other insects analysed to date. Here, using a mutagenesis-based approach we identified three residues in MdesOrco, located in different transmembrane helices as supported by 3D modelling, that confer sensitivity to VUAA1. Reciprocal mutations in Drosophila melanogaster (Dmel) and the noctuid moth Agrotis segetum (Aseg) Orcos diminish sensitivity of these proteins to VUAA1. Additionally, mutating these residues in DmelOrco and AsegOrco compromised odourant receptor (OR) dependent ligand-induced Orco activation. In contrast, both wild-type and VUAA1-sensitive MdesOrco were capable of forming functional receptor complexes when coupled to ORs from all three species, suggesting unique complex properties in M. destructor, and that not all olfactory receptor complexes are \"created\" equal.","author":[{"dropping-particle":"","family":"Corcoran","given":"Jacob A.","non-dropping-particle":"","parse-names":false,"suffix":""},{"dropping-particle":"","family":"Sonntag","given":"Yonathan","non-dropping-particle":"","parse-names":false,"suffix":""},{"dropping-particle":"","family":"Andersson","given":"Martin N.","non-dropping-particle":"","parse-names":false,"suffix":""},{"dropping-particle":"","family":"Johanson","given":"Urban","non-dropping-particle":"","parse-names":false,"suffix":""},{"dropping-particle":"","family":"Löfstedt","given":"Christer","non-dropping-particle":"","parse-names":false,"suffix":""}],"container-title":"Scientific Reports","id":"ITEM-4","issue":"1","issued":{"date-parts":[["2018"]]},"page":"1-13","title":"Endogenous insensitivity to the Orco agonist VUAA1 reveals novel olfactory receptor complex properties in the specialist fly Mayetiola destructor","type":"article-journal","volume":"8"},"uris":["http://www.mendeley.com/documents/?uuid=79ca5f67-defb-4819-9975-ce8db3c43c7a"]},{"id":"ITEM-5","itemData":{"DOI":"10.1038/s41586-021-03794-8","ISSN":"0028-0836","abstract":"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-5","issue":"January","issued":{"date-parts":[["2021"]]},"title":"The structural basis of odorant recognition in insect olfactory receptors","type":"article-journal"},"uris":["http://www.mendeley.com/documents/?uuid=2dec9e12-4bd0-4f9d-97b9-f4ca47b69bef"]}],"mendeley":{"formattedCitation":"&lt;sup&gt;18,21–24&lt;/sup&gt;","plainTextFormattedCitation":"18,21–24","previouslyFormattedCitation":"&lt;sup&gt;18,21–24&lt;/sup&gt;"},"properties":{"noteIndex":0},"schema":"https://github.com/citation-style-language/schema/raw/master/csl-citation.json"}</w:instrText>
      </w:r>
      <w:r w:rsidR="00F94182"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18,21–24</w:t>
      </w:r>
      <w:r w:rsidR="00F94182" w:rsidRPr="005629D6">
        <w:rPr>
          <w:rFonts w:cstheme="minorHAnsi"/>
          <w:color w:val="000000" w:themeColor="text1"/>
          <w:szCs w:val="20"/>
        </w:rPr>
        <w:fldChar w:fldCharType="end"/>
      </w:r>
      <w:r w:rsidR="008B63E6" w:rsidRPr="005629D6">
        <w:rPr>
          <w:rFonts w:cstheme="minorHAnsi"/>
          <w:color w:val="000000" w:themeColor="text1"/>
          <w:szCs w:val="20"/>
        </w:rPr>
        <w:t xml:space="preserve"> Additional portions of the OR have importance </w:t>
      </w:r>
      <w:r w:rsidR="00CE2F17" w:rsidRPr="005629D6">
        <w:rPr>
          <w:rFonts w:cstheme="minorHAnsi"/>
          <w:color w:val="000000" w:themeColor="text1"/>
          <w:szCs w:val="20"/>
        </w:rPr>
        <w:t>for ligand binding</w:t>
      </w:r>
      <w:r w:rsidR="00E4103B" w:rsidRPr="005629D6">
        <w:rPr>
          <w:rFonts w:cstheme="minorHAnsi"/>
          <w:color w:val="000000" w:themeColor="text1"/>
          <w:szCs w:val="20"/>
        </w:rPr>
        <w:t xml:space="preserve">. Mutations in transmembrane domain 3 (TM3) </w:t>
      </w:r>
      <w:r w:rsidR="007E007C" w:rsidRPr="005629D6">
        <w:rPr>
          <w:rFonts w:cstheme="minorHAnsi"/>
          <w:color w:val="000000" w:themeColor="text1"/>
          <w:szCs w:val="20"/>
        </w:rPr>
        <w:t>also</w:t>
      </w:r>
      <w:r w:rsidR="00E4103B" w:rsidRPr="005629D6">
        <w:rPr>
          <w:rFonts w:cstheme="minorHAnsi"/>
          <w:color w:val="000000" w:themeColor="text1"/>
          <w:szCs w:val="20"/>
        </w:rPr>
        <w:t xml:space="preserve"> generally result</w:t>
      </w:r>
      <w:r w:rsidR="007E007C" w:rsidRPr="005629D6">
        <w:rPr>
          <w:rFonts w:cstheme="minorHAnsi"/>
          <w:color w:val="000000" w:themeColor="text1"/>
          <w:szCs w:val="20"/>
        </w:rPr>
        <w:t>s</w:t>
      </w:r>
      <w:r w:rsidR="00E4103B" w:rsidRPr="005629D6">
        <w:rPr>
          <w:rFonts w:cstheme="minorHAnsi"/>
          <w:color w:val="000000" w:themeColor="text1"/>
          <w:szCs w:val="20"/>
        </w:rPr>
        <w:t xml:space="preserve"> in responses to olfactory ligands, either altering, reducing or abolishing specificity.</w:t>
      </w:r>
      <w:r w:rsidR="00E4103B" w:rsidRPr="005629D6">
        <w:rPr>
          <w:rFonts w:cstheme="minorHAnsi"/>
          <w:color w:val="000000" w:themeColor="text1"/>
          <w:szCs w:val="20"/>
        </w:rPr>
        <w:fldChar w:fldCharType="begin" w:fldLock="1"/>
      </w:r>
      <w:r w:rsidR="000D52F2" w:rsidRPr="005629D6">
        <w:rPr>
          <w:rFonts w:cstheme="minorHAnsi"/>
          <w:color w:val="000000" w:themeColor="text1"/>
          <w:szCs w:val="20"/>
        </w:rPr>
        <w:instrText xml:space="preserve">ADDIN CSL_CITATION {"citationItems":[{"id":"ITEM-1","itemData":{"DOI":"10.1074/jbc.M109.058321","ISSN":"00219258","PMID":"20147286","abstract":"The OR class insect odorant receptors are ligand-gated ion channels comprised of at least one common subunit (OR83b in Drosophila) and at least one putative odorant-binding subunit. However, little else is known about the molecular details of insect OR architecture. For example, nothing is known about how these receptors bind odorants, greatly limiting efforts to develop insect OR-targeted compounds for the control of insects involved in disease propagation and agricultural damage. Here we identify a portion of a Drosophila OR that is involved in odorant activation of the receptor. Using the substituted cysteine accessibility method, we identified residues 146-150 of OR85b, located at the predicted interface between transmembrane segment 3 (TMS3) and extracellular loop 2 (ECL2), as playing a role in odorant (2-heptanone) activation. We found that occupation of the receptor by the competitive antagonist 2-nonanone protected the receptor from methanethiosulfonate action at position 148, placing this region close to the odorant-binding site. In addition, mutations at positions 142 and 143 within TMS3 altered odorant sensitivity. Our results identify the involvement of the extracellular half of TMS3 in Drosophila OR85b in odorant activation of the receptor. This finding can serve as a starting point for future detailed analysis of the molecular basis for odorant recognition by insect ORs, a novel class of ligand-gated channel. © 2010 by The American Society for Biochemistry and Molecular Biology, Inc.","author":[{"dropping-particle":"","family":"Nichols","given":"Andrew S.","non-dropping-particle":"","parse-names":false,"suffix":""},{"dropping-particle":"","family":"Luetje","given":"Charles W.","non-dropping-particle":"","parse-names":false,"suffix":""}],"container-title":"Journal of Biological Chemistry","id":"ITEM-1","issue":"16","issued":{"date-parts":[["2010"]]},"page":"11854-11862","publisher":"Â© 2010 ASBMB. Currently published by Elsevier Inc; originally published by American Society for Biochemistry and Molecular Biology.","title":"Transmembrane segment 3 of Drosophila melanogaster odorant receptor subunit 85b contributes to ligand-receptor interactions","type":"article-journal","volume":"285"},"uris":["http://www.mendeley.com/documents/?uuid=bd1ff1a5-3f49-4098-98a6-3f784317fb2c"]},{"id":"ITEM-2","itemData":{"DOI":"10.7554/eLife.29100","ISSN":"2050084X","PMID":"29063835","abstract":"Male moths possess highly sensitive and selective olfactory systems that detect sex pheromones produced by their females. Pheromone receptors (PRs) play a key role in this process. The PR HassOr14b is found to be tuned to (Z)-9-hexadecenal, the major sex-pheromone component, in Helicoverpa assulta. HassOr14b is co-localized with HassOr6 or HassOr16 in two olfactory sensory neurons within the same sensilla. As HarmOr14b, the ortholog of HassOr14b in the closely related species Helicoverpa armigera, is tuned to another chemical (Z)-9-tetradecenal, we study the amino acid residues that determine their ligand selectivity. Two amino acids located in the intracellular domains F232I and T355I together determine the functional difference between the two orthologs. We conclude that species-specific changes in the tuning specificity of the PRs in the two Helicoverpa moth species could be achieved with just a few amino acid substitutions, which provides new insights into the evolution of closely related moth species.","author":[{"dropping-particle":"","family":"Yang","given":"Ke","non-dropping-particle":"","parse-names":false,"suffix":""},{"dropping-particle":"","family":"Huang","given":"Ling Qiao","non-dropping-particle":"","parse-names":false,"suffix":""},{"dropping-particle":"","family":"Ning","given":"Chao","non-dropping-particle":"","parse-names":false,"suffix":""},{"dropping-particle":"","family":"Wang","given":"Chen Zhu","non-dropping-particle":"","parse-names":false,"suffix":""}],"container-title":"eLife","id":"ITEM-2","issued":{"date-parts":[["2017"]]},"page":"1-21","title":"Two single-point mutations shift the ligand selectivity of a pheromone receptor between two closely related moth species","type":"article-journal","volume":"6"},"uris":["http://www.mendeley.com/documents/?uuid=d1169886-dda5-4d6f-9ff6-a03f56b3cad3"]},{"id":"ITEM-3","itemData":{"DOI":"10.1101/2020.03.07.980797","author":[{"dropping-particle":"","family":"Yuvaraj","given":"Jothi","non-dropping-particle":"","parse-names":false,"suffix":""},{"dropping-particle":"","family":"Roberts","given":"Rebecca","non-dropping-particle":"","parse-names":false,"suffix":""},{"dropping-particle":"","family":"Sonntag","given":"Yonathan","non-dropping-particle":"","parse-names":false,"suffix":""},{"dropping-particle":"","family":"Hou","given":"Xiaoqing","non-dropping-particle":"","parse-names":false,"suffix":""},{"dropping-particle":"","family":"Grosse-Wilde","given":"Ewald","non-dropping-particle":"","parse-names":false,"suffix":""},{"dropping-particle":"","family":"Machara","given":"Aleš","non-dropping-particle":"","parse-names":false,"suffix":""},{"dropping-particle":"","family":"Hansson","given":"Bill","non-dropping-particle":"","parse-names":false,"suffix":""},{"dropping-particle":"","family":"Johanson","given":"Urban","non-dropping-particle":"","parse-names":false,"suffix":""},{"dropping-particle":"","family":"Löfstedt","given":"Christer","non-dropping-particle":"","parse-names":false,"suffix":""},{"dropping-particle":"","family":"Andersson","given":"Martin","non-dropping-particle":"","parse-names":false,"suffix":""}],"container-title":"BMC Biology","id":"ITEM-3","issue":"16","issued":{"date-parts":[["2021"]]},"title":"Putative ligand binding sites of two functionally characterized bark beetle odorant receptors","type":"article-journal","volume":"19"},"uris":["http://www.mendeley.com/documents/?uuid=2e659630-e489-47c8-b90d-23856f66b7a1"]},{"id":"ITEM-4","itemData":{"DOI":"10.1073/pnas.1204661109","ISSN":"00278424","PMID":"22891317","abstract":"Sex pheromone communication, acting as a prezygotic barrier to mating, is believed to have contributed to the speciation of moths and butterflies in the order Lepidoptera. Five decades after the discovery of the first moth sex pheromone, little is known about the molecular mechanisms that underlie the evolution of pheromone communication between closely related species. Although Asian and European corn borers (ACB and ECB) can be interbred in the laboratory, they are behaviorally isolated from mating naturally by their responses to subtly different sex pheromone isomers, (E)-12- and (Z)-12-tetradecenyl acetate and (E)-11- and (Z)-11-tetradecenyl acetate (ACB: E12, Z12; ECB; E11, Z11). Male moth olfactory systems respond specifically to the pheromone blend produced by their conspecific females. In vitro, ECB(Z) odorant receptor 3 (OR3), a sex pheromone receptor expressed in male antennae, responds strongly to E11 but also generally to the Z11, E12, and Z12 pheromones. In contrast, we show that ACB OR3, a gene that has been subjected to positive selection (ω = 2.9), responds preferentially to the ACB E12 and Z12 pheromones. In Ostrinia species the amino acid residue corresponding to position 148 in transmembrane domain 3 of OR3 is alanine (A), except for ACB OR3 that has a threonine (T) in this position. Mutation of this residue from A to T alters the pheromone recognition pattern by selectively reducing the E11 response </w:instrText>
      </w:r>
      <w:r w:rsidR="000D52F2" w:rsidRPr="005629D6">
        <w:rPr>
          <w:rFonts w:ascii="Cambria Math" w:hAnsi="Cambria Math" w:cs="Cambria Math"/>
          <w:color w:val="000000" w:themeColor="text1"/>
          <w:szCs w:val="20"/>
        </w:rPr>
        <w:instrText>∼</w:instrText>
      </w:r>
      <w:r w:rsidR="000D52F2" w:rsidRPr="005629D6">
        <w:rPr>
          <w:rFonts w:cstheme="minorHAnsi"/>
          <w:color w:val="000000" w:themeColor="text1"/>
          <w:szCs w:val="20"/>
        </w:rPr>
        <w:instrText>14-fold. These results suggest that discrete mutations that narrow the specificity of more broadly responsive sex pheromone receptors may provide a mechanism that contributes to speciation.","author":[{"dropping-particle":"","family":"Leary","given":"Greg P.","non-dropping-particle":"","parse-names":false,"suffix":""},{"dropping-particle":"","family":"Allen","given":"Jean E.","non-dropping-particle":"","parse-names":false,"suffix":""},{"dropping-particle":"","family":"Bunger","given":"Peggy L.","non-dropping-particle":"","parse-names":false,"suffix":""},{"dropping-particle":"","family":"Luginbill","given":"Jena B.","non-dropping-particle":"","parse-names":false,"suffix":""},{"dropping-particle":"","family":"Linn","given":"Charles E.","non-dropping-particle":"","parse-names":false,"suffix":""},{"dropping-particle":"","family":"Macallister","given":"Irene E.","non-dropping-particle":"","parse-names":false,"suffix":""},{"dropping-particle":"","family":"Kavanaugh","given":"Michael P.","non-dropping-particle":"","parse-names":false,"suffix":""},{"dropping-particle":"","family":"Wanner","given":"Kevin W.","non-dropping-particle":"","parse-names":false,"suffix":""}],"container-title":"Proceedings of the National Academy of Sciences of the United States of America","id":"ITEM-4","issue":"35","issued":{"date-parts":[["2012"]]},"page":"14081-14086","title":"Single mutation to a sex pheromone receptor provides adaptive specificity between closely related moth species","type":"article-journal","volume":"109"},"uris":["http://www.mendeley.com/documents/?uuid=736609a8-6456-47cb-a8af-e27c0f76a096"]},{"id":"ITEM-5","itemData":{"DOI":"10.1093/chemse/bju048","ISSN":"14643553","PMID":"25270378","abstract":"To explore the structural basis for odorant specificity in odorant receptors of the human malaria vector mosquito, Anopheles gambiae, odorant-binding subunits (Agam\\Ors) expressed in Xenopus oocytes in combination with Agam\\Orco (coreceptor subunit) were assayed by 2-electrode voltage clamp against 25 structurally related odorants. Agam\\Or13 and Agam\\Or15 display 82% amino acid identity and had similar, but somewhat distinct odorant response profiles. The ratio of acetophenone to 4-methylphenol responses was used in a mutation-based analysis of Agam\\Or15, interchanging 37 disparate residues between Agam\\Or15 and Agam\\Or13. Eleven mutations caused significant changes in odorant responsiveness. Mutation of alanine 195 resulted in the largest shift in response ratio from Agam\\Or15 toward Agam\\Or13. Concentration-response analysis for a series of mutations of residue 195 revealed a large effect on acetophenone sensitivity, with EC50 values varying by &gt;1800-fold and correlating with residue side chain length. Similar results were obtained for propiophenone and benzaldehyde. But, for other odorants, such as 4-methylphenol, 4-methylbenzaldehyde, and 4-methylpropiophenone, the effect of mutation was much smaller (EC50 values varied by =16-fold). These results show that alanine 195, putatively located at the second extracellular loop/fourth transmembrane domain interface, plays a critical role in determining the odorant response specificity of Agam\\Or15.","author":[{"dropping-particle":"","family":"Hughes","given":"David T.","non-dropping-particle":"","parse-names":false,"suffix":""},{"dropping-particle":"","family":"Wang","given":"Guirong","non-dropping-particle":"","parse-names":false,"suffix":""},{"dropping-particle":"","family":"Zwiebel","given":"Laurence J.","non-dropping-particle":"","parse-names":false,"suffix":""},{"dropping-particle":"","family":"Luetje","given":"Charles W.","non-dropping-particle":"","parse-names":false,"suffix":""}],"container-title":"Chemical Senses","id":"ITEM-5","issue":"9","issued":{"date-parts":[["2014"]]},"page":"761-769","title":"A determinant of odorant specificity is located at the extracellular loop 2-transmembrane domain 4 interface of an anopheles gambiae odorant receptor subunit","type":"article-journal","volume":"39"},"uris":["http://www.mendeley.com/documents/?uuid=e78872bc-18fa-4b72-be66-4956d0081263"]},{"id":"ITEM-6","itemData":{"DOI":"10.3389/fncel.2011.00005","ISSN":"16625102","abstract":"Insect odorant receptors (ORs) have a unique design of heterodimers formed by an olfac-tory receptor protein and the ion channel Orco. Heterologously expressed insect ORs are activated via an ionotropic and a metabotropic pathway that leads to cAMP production and activates the Orco channel. The contribution of metabotropic signaling to the insect odor response remains to be elucidated. Disruption of the G q protein signaling cascade reduces the odor response (Kain et al., 2008). We investigated this phenomenon in HEK293 cells expressing Drosophila Orco and found that phospholipase C (PLC) inhibition reduced the sensitivity of Orco to cAMP. A similar effect was seen upon inhibition of protein kinase C (PKC), whereas PKC stimulation activated Orco even in the absence of cAMP. Mutation of the five PKC phosphorylation sites in Orco almost completely eliminated sensitivity to cAMP. To test the impact of PKC activity in vivo we combined single sensillum electro-physiological recordings with microinjection of agents affecting PLC and PKC function and observed an altered response of olfactory sensory neurons (OSNs) to odorant stimulation. Injection of the PLC inhibitor U73122 or the PKC inhibitor Gö6976 into sensilla reduced the OSN response to odor pulses. Conversely, injection of the PKC activators OAG, a dia-cylglycerol analog, or phorbol myristate acetate (PMA) enhanced the odor response. We conclude that metabotropic pathways affecting the phosphorylation state of Orco regulate OR function and thereby shape the OSN odor response.","author":[{"dropping-particle":"","family":"Sargsyan","given":"Vardanush","non-dropping-particle":"","parse-names":false,"suffix":""},{"dropping-particle":"","family":"Getahun","given":"Merid Negash","non-dropping-particle":"","parse-names":false,"suffix":""},{"dropping-particle":"","family":"Llanos","given":"Sofía Lavista","non-dropping-particle":"","parse-names":false,"suffix":""},{"dropping-particle":"","family":"Olsson","given":"Shannon B.","non-dropping-particle":"","parse-names":false,"suffix":""},{"dropping-particle":"","family":"Hansson","given":"Bill S.","non-dropping-particle":"","parse-names":false,"suffix":""},{"dropping-particle":"","family":"Wicher","given":"Dieter","non-dropping-particle":"","parse-names":false,"suffix":""}],"container-title":"Frontiers in Cellular Neuroscience","id":"ITEM-6","issue":"JUNE","issued":{"date-parts":[["2011"]]},"page":"1-8","title":"Phosphorylation via PKC regulates the function of the Drosophila odorant co-receptor","type":"article-journal","volume":"5"},"uris":["http://www.mendeley.com/documents/?uuid=ef7e23c2-62af-486c-831c-27069faf398f"]},{"id":"ITEM-7","itemData":{"DOI":"10.1038/s41586-021-03794-8","ISSN":"0028-0836","abstract":"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-7","issue":"January","issued":{"date-parts":[["2021"]]},"title":"The structural basis of odorant recognition in insect olfactory receptors","type":"article-journal"},"uris":["http://www.mendeley.com/documents/?uuid=2dec9e12-4bd0-4f9d-97b9-f4ca47b69bef"]}],"mendeley":{"formattedCitation":"&lt;sup&gt;18,25–30&lt;/sup&gt;","plainTextFormattedCitation":"18,25–30","previouslyFormattedCitation":"&lt;sup&gt;18,25–30&lt;/sup&gt;"},"properties":{"noteIndex":0},"schema":"https://github.com/citation-style-language/schema/raw/master/csl-citation.json"}</w:instrText>
      </w:r>
      <w:r w:rsidR="00E4103B"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18,25–30</w:t>
      </w:r>
      <w:r w:rsidR="00E4103B" w:rsidRPr="005629D6">
        <w:rPr>
          <w:rFonts w:cstheme="minorHAnsi"/>
          <w:color w:val="000000" w:themeColor="text1"/>
          <w:szCs w:val="20"/>
        </w:rPr>
        <w:fldChar w:fldCharType="end"/>
      </w:r>
      <w:r w:rsidR="00E4103B" w:rsidRPr="005629D6">
        <w:rPr>
          <w:rFonts w:cstheme="minorHAnsi"/>
          <w:color w:val="000000" w:themeColor="text1"/>
          <w:szCs w:val="20"/>
        </w:rPr>
        <w:t xml:space="preserve"> This functional change can also occur with mutations in the </w:t>
      </w:r>
      <w:r w:rsidR="00E4103B" w:rsidRPr="005629D6">
        <w:rPr>
          <w:rFonts w:cstheme="minorHAnsi"/>
          <w:i/>
          <w:iCs/>
          <w:color w:val="000000" w:themeColor="text1"/>
          <w:szCs w:val="20"/>
        </w:rPr>
        <w:t>N</w:t>
      </w:r>
      <w:r w:rsidR="00E4103B" w:rsidRPr="005629D6">
        <w:rPr>
          <w:rFonts w:cstheme="minorHAnsi"/>
          <w:color w:val="000000" w:themeColor="text1"/>
          <w:szCs w:val="20"/>
        </w:rPr>
        <w:t xml:space="preserve">- and </w:t>
      </w:r>
      <w:r w:rsidR="00E4103B" w:rsidRPr="005629D6">
        <w:rPr>
          <w:rFonts w:cstheme="minorHAnsi"/>
          <w:i/>
          <w:iCs/>
          <w:color w:val="000000" w:themeColor="text1"/>
          <w:szCs w:val="20"/>
        </w:rPr>
        <w:t>C</w:t>
      </w:r>
      <w:r w:rsidR="00E4103B" w:rsidRPr="005629D6">
        <w:rPr>
          <w:rFonts w:cstheme="minorHAnsi"/>
          <w:color w:val="000000" w:themeColor="text1"/>
          <w:szCs w:val="20"/>
        </w:rPr>
        <w:t>-termini, transmembrane domains 2,4 and 6 (TM2, TM4 and TM6), extracellular loop 3 (EL3) and intracellular loop 3 (IL3).</w:t>
      </w:r>
      <w:r w:rsidR="00E4103B"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{"citationItems":[{"id":"ITEM-1","itemData":{"DOI":"10.1038/ncomms7077","ISSN":"20411723","abstract":"Insect odorant receptors (ORs) comprise an enormous protein family that translates environmental chemical signals into neuronal electrical activity. These heptahelical receptors are proposed to function as ligand-gated ion channels and/or to act metabotropically as G protein-coupled receptors (GPCRs). Resolving their signalling mechanism has been hampered by the lack of tertiary structural information and primary sequence similarity to other proteins. We use amino acid evolutionary covariation across these ORs to define restraints on structural proximity of residue pairs, which permit de novo generation of three-dimensional models. The validity of our analysis is supported by the location of functionally important residues in highly constrained regions of the protein. Importantly, insect OR models exhibit a distinct transmembrane domain packing arrangement to that of canonical GPCRs, establishing the structural unrelatedness of these receptor families. The evolutionary couplings and models predict odour binding and ion conduction domains, and provide a template for rationale structure-activity dissection.","author":[{"dropping-particle":"","family":"Hopf","given":"Thomas A.","non-dropping-particle":"","parse-names":false,"suffix":""},{"dropping-particle":"","family":"Morinaga","given":"Satoshi","non-dropping-particle":"","parse-names":false,"suffix":""},{"dropping-particle":"","family":"Ihara","given":"Sayoko","non-dropping-particle":"","parse-names":false,"suffix":""},{"dropping-particle":"","family":"Touhara","given":"Kazushige","non-dropping-particle":"","parse-names":false,"suffix":""},{"dropping-particle":"","family":"Marks","given":"Debora S.","non-dropping-particle":"","parse-names":false,"suffix":""},{"dropping-particle":"","family":"Benton","given":"Richard","non-dropping-particle":"","parse-names":false,"suffix":""}],"container-title":"Nature Communications","id":"ITEM-1","issued":{"date-parts":[["2015"]]},"page":"1-7","publisher":"Nature Publishing Group","title":"Amino acid coevolution reveals three-dimensional structure and functional domains of insect odorant receptors","type":"article-journal","volume":"6"},"uris":["http://www.mendeley.com/documents/?uuid=80367888-72bb-4f8a-8385-99552f9f5667"]},{"id":"ITEM-2","itemData":{"DOI":"10.1073/pnas.0803309105","ISBN":"1091-6490 (Electronic)\\r0027-8424 (Linking)","ISSN":"0027-8424","PMID":"18653762","abstract":"The only known volatile pheromone in Drosophila, 11-cis-vaccenyl acetate (cVA), mediates a variety of behaviors including aggregation, mate recognition, and sexual behavior. cVA is detected by a small set of olfactory neurons located in T1 trichoid sensilla on the antennae of males and females. Two components known to be required for cVA reception are the odorant receptor Or67d and the extracellular pheromone-binding protein LUSH. Using a genetic screen for cVA-insensitive mutants, we have identified a third component required for cVA reception: sensory neuron membrane protein (SNMP). SNMP is a homolog of CD36, a scavenger receptor important for lipoprotein binding and uptake of cholesterol and lipids in vertebrates. In humans, loss of CD36 is linked to a wide range of disorders including insulin resistance, dyslipidemia, and atherosclerosis, but how CD36 functions in lipid transport and signal transduction is poorly understood. We show that SNMP is required in pheromone-sensitive neurons for cVA sensitivity but is not required for sensitivity to general odorants. Using antiserum to SNMP infused directly into the sensillum lymph, we show that SNMP function is required on the dendrites of cVA-sensitive neurons; this finding is consistent with a direct role in cVA signal transduction. Therefore, pheromone perception in Drosophila should serve as an excellent model to elucidate the role of CD36 members in transmembrane signaling.","author":[{"dropping-particle":"","family":"Jin","given":"Xin","non-dropping-particle":"","parse-names":false,"suffix":""},{"dropping-particle":"","family":"Ha","given":"Tal Soo","non-dropping-particle":"","parse-names":false,"suffix":""},{"dropping-particle":"","family":"Smith","given":"Dean P","non-dropping-particle":"","parse-names":false,"suffix":""}],"container-title":"Proceedings of the National Academy of Sciences of the United States of America","id":"ITEM-2","issue":"31","issued":{"date-parts":[["2008"]]},"note":"NULL","page":"10996-11001","title":"SNMP is a signaling component required for pheromone sensitivity in Drosophila.","type":"article-journal","volume":"105"},"uris":["http://www.mendeley.com/documents/?uuid=b6dcb114-388f-471d-8b58-9aead79a7eb0"]},{"id":"ITEM-3","itemData":{"DOI":"10.1007/s12038-014-9447-7","ISBN":"1203801494477","ISSN":"09737138","PMID":"25116610","abstract":"The olfactory system of Drosophila melanogaster provides a powerful model to study molecular and cellular mechanisms underlying function of a sensory system. In the 1970s Siddiqi and colleagues pioneered the application of genetics to olfactory research and isolated several mutant Drosophila with odorant-specific defects in olfactory behaviour, suggesting that odorants are detected differentially by the olfactory system. Since then basic principles of olfactory system function and development have emerged using Drosophila as a model. Nearly four decades later we can add computational methods to further our understanding of how specific odorants are detected by receptors. Using a comparative approach we identify two categories of short amino acid sequence motifs: ones that are conserved family-wide predominantly in the C-terminal half of most receptors, and ones that are present in receptors that detect a specific odorant, 4-methylphenol, found predominantly in the N-terminal half. The odorant-specific sequence motifs are predictors of phenol detection in Anopheles gambiae and other insects, suggesting they are likely to participate in odorant binding. Conversely, the family-wide motifs are expected to participate in shared functions across all receptors and a mutation in the most conserved motif leads to a reduction in odor response. These findings lay a foundation for investigating functional domains within odorant receptors that can lead to a molecular understanding of odor detection.","author":[{"dropping-particle":"","family":"Ray","given":"Anandasankar","non-dropping-particle":"","parse-names":false,"suffix":""},{"dropping-particle":"","family":"Naters","given":"Wynand G.oes","non-dropping-particle":"van","parse-names":false,"suffix":""},{"dropping-particle":"","family":"Carlson","given":"John R.","non-dropping-particle":"","parse-names":false,"suffix":""}],"container-title":"Journal of biosciences","id":"ITEM-3","issue":"4","issued":{"date-parts":[["2014"]]},"page":"555-563","title":"Molecular determinants of odorant receptor function in insects","type":"article-journal","volume":"39"},"uris":["http://www.mendeley.com/documents/?uuid=dec71922-7fef-4971-832b-b1a6edbc2261"]},{"id":"ITEM-4","itemData":{"DOI":"10.1038/nature10438","ISSN":"00280836","PMID":"21937991","abstract":"Blood-feeding insects such as mosquitoes are efficient vectors of human infectious diseases because they are strongly attracted by body heat, carbon dioxide and odours produced by their vertebrate hosts. Insect repellents containing DEET (N,N-diethyl-meta-toluamide) are highly effective, but the mechanism by which this chemical wards off biting insects remains controversial despite decades of investigation. DEET seems to act both at close range as a contact chemorepellent, by affecting insect gustatory receptors, and at long range, by affecting the olfactory system. Two opposing mechanisms for the observed behavioural effects of DEET in the gas phase have been proposed: that DEET interferes with the olfactory system to block host odour recognition and that DEET actively repels insects by activating olfactory neurons that elicit avoidance behaviour. Here we show that DEET functions as a modulator of the odour-gated ion channel formed by the insect odorant receptor complex. The functional insect odorant receptor complex consists of a common co-receptor, ORCO (ref. 15) (formerly called OR83B; ref. 16), and one or more variable odorant receptor subunits that confer odour selectivity. DEET acts on this complex to potentiate or inhibit odour-evoked activity or to inhibit odour-evoked suppression of spontaneous activity. This modulation depends on the specific odorant receptor and the concentration and identity of the odour ligand. We identify a single amino-acid polymorphism in the second transmembrane domain of receptor OR59B in a Drosophila melanogaster strain from Brazil that renders OR59B insensitive to inhibition by the odour ligand and modulation by DEET. Our data indicate that natural variation can modify the sensitivity of an odour-specific insect odorant receptor to odour ligands and DEET. Furthermore, they support the hypothesis that DEET acts as a molecular 'confusant' that scrambles the insect odour code, and provide a compelling explanation for the broad-spectrum efficacy of DEET against multiple insect species. © 2011 Macmillan Publishers Limited. All rights reserved.","author":[{"dropping-particle":"","family":"Pellegrino","given":"Maurizio","non-dropping-particle":"","parse-names":false,"suffix":""},{"dropping-particle":"","family":"Steinbach","given":"Nicole","non-dropping-particle":"","parse-names":false,"suffix":""},{"dropping-particle":"","family":"Stensmyr","given":"Marcus C.","non-dropping-particle":"","parse-names":false,"suffix":""},{"dropping-particle":"","family":"Hansson","given":"Bill S.","non-dropping-particle":"","parse-names":false,"suffix":""},{"dropping-particle":"","family":"Vosshall","given":"Leslie B.","non-dropping-particle":"","parse-names":false,"suffix":""}],"container-title":"Nature","id":"ITEM-4","issue":"7370","issued":{"date-parts":[["2011"]]},"page":"511-514","publisher":"Nature Publishing Group","title":"A natural polymorphism alters odour and DEET sensitivity in an insect odorant receptor","type":"article-journal","volume":"478"},"uris":["http://www.mendeley.com/documents/?uuid=bdf4167d-2e79-4a50-8090-88a58b5db976"]},{"id":"ITEM-5","itemData":{"DOI":"10.1093/chemse/bju048","ISSN":"14643553","PMID":"25270378","abstract":"To explore the structural basis for odorant specificity in odorant receptors of the human malaria vector mosquito, Anopheles gambiae, odorant-binding subunits (Agam\\Ors) expressed in Xenopus oocytes in combination with Agam\\Orco (coreceptor subunit) were assayed by 2-electrode voltage clamp against 25 structurally related odorants. Agam\\Or13 and Agam\\Or15 display 82% amino acid identity and had similar, but somewhat distinct odorant response profiles. The ratio of acetophenone to 4-methylphenol responses was used in a mutation-based analysis of Agam\\Or15, interchanging 37 disparate residues between Agam\\Or15 and Agam\\Or13. Eleven mutations caused significant changes in odorant responsiveness. Mutation of alanine 195 resulted in the largest shift in response ratio from Agam\\Or15 toward Agam\\Or13. Concentration-response analysis for a series of mutations of residue 195 revealed a large effect on acetophenone sensitivity, with EC50 values varying by &gt;1800-fold and correlating with residue side chain length. Similar results were obtained for propiophenone and benzaldehyde. But, for other odorants, such as 4-methylphenol, 4-methylbenzaldehyde, and 4-methylpropiophenone, the effect of mutation was much smaller (EC50 values varied by =16-fold). These results show that alanine 195, putatively located at the second extracellular loop/fourth transmembrane domain interface, plays a critical role in determining the odorant response specificity of Agam\\Or15.","author":[{"dropping-particle":"","family":"Hughes","given":"David T.","non-dropping-particle":"","parse-names":false,"suffix":""},{"dropping-particle":"","family":"Wang","given":"Guirong","non-dropping-particle":"","parse-names":false,"suffix":""},{"dropping-particle":"","family":"Zwiebel","given":"Laurence J.","non-dropping-particle":"","parse-names":false,"suffix":""},{"dropping-particle":"","family":"Luetje","given":"Charles W.","non-dropping-particle":"","parse-names":false,"suffix":""}],"container-title":"Chemical Senses","id":"ITEM-5","issue":"9","issued":{"date-parts":[["2014"]]},"page":"761-769","title":"A determinant of odorant specificity is located at the extracellular loop 2-transmembrane domain 4 interface of an anopheles gambiae odorant receptor subunit","type":"article-journal","volume":"39"},"uris":["http://www.mendeley.com/documents/?uuid=e78872bc-18fa-4b72-be66-4956d0081263"]},{"id":"ITEM-6","itemData":{"DOI":"10.1074/jbc.M114.603993","ISSN":"1083351X","PMID":"25271160","abstract":"Background: Orco is a highly conserved co-receptor required for insects to respond to odorants.\nResults: Mutation of two cysteine residues in the third intracellular loop of Orco increases direct agonist, but reduces odoranttuning receptor-dependent channel activation.\nConclusion: Intracellular loop 3 is important for activation of the Orco channel.\nSignificance: The research identifies a region of Orco that may regulate odorant sensing by insects.","author":[{"dropping-particle":"","family":"Turner","given":"Rebecca M.","non-dropping-particle":"","parse-names":false,"suffix":""},{"dropping-particle":"","family":"Derryberry","given":"Stephen L.","non-dropping-particle":"","parse-names":false,"suffix":""},{"dropping-particle":"","family":"Kumar","given":"Brijesh N.","non-dropping-particle":"","parse-names":false,"suffix":""},{"dropping-particle":"","family":"Brittain","given":"Thomas","non-dropping-particle":"","parse-names":false,"suffix":""},{"dropping-particle":"","family":"Zwiebel","given":"Laurence J.","non-dropping-particle":"","parse-names":false,"suffix":""},{"dropping-particle":"","family":"Newcomb","given":"Richard D.","non-dropping-particle":"","parse-names":false,"suffix":""},{"dropping-particle":"","family":"Christie","given":"David L.","non-dropping-particle":"","parse-names":false,"suffix":""}],"container-title":"Journal of Biological Chemistry","id":"ITEM-6","issue":"46","issued":{"date-parts":[["2014"]]},"page":"31837-31845","title":"Mutational analysis of cysteine residues of the insect odorant co-receptor (Orco) from drosophila melanogaster reveals differential effects on agonist- and odorant-tuning receptor-dependent activation","type":"article-journal","volume":"289"},"uris":["http://www.mendeley.com/documents/?uuid=e4080f7d-d1f8-4bf8-bac1-65b7e4aa7124"]},{"id":"ITEM-7","itemData":{"DOI":"10.1038/s41586-021-03794-8","ISSN":"0028-0836","abstract":"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-7","issue":"January","issued":{"date-parts":[["2021"]]},"title":"The structural basis of odorant recognition in insect olfactory receptors","type":"article-journal"},"uris":["http://www.mendeley.com/documents/?uuid=2dec9e12-4bd0-4f9d-97b9-f4ca47b69bef"]}],"mendeley":{"formattedCitation":"&lt;sup&gt;16,18,29,31–34&lt;/sup&gt;","plainTextFormattedCitation":"16,18,29,31–34","previouslyFormattedCitation":"&lt;sup&gt;16,18,29,31–34&lt;/sup&gt;"},"properties":{"noteIndex":0},"schema":"https://github.com/citation-style-language/schema/raw/master/csl-citation.json"}</w:instrText>
      </w:r>
      <w:r w:rsidR="00E4103B"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16,18,29,31–34</w:t>
      </w:r>
      <w:r w:rsidR="00E4103B" w:rsidRPr="005629D6">
        <w:rPr>
          <w:rFonts w:cstheme="minorHAnsi"/>
          <w:color w:val="000000" w:themeColor="text1"/>
          <w:szCs w:val="20"/>
        </w:rPr>
        <w:fldChar w:fldCharType="end"/>
      </w:r>
      <w:r w:rsidR="00E4103B" w:rsidRPr="005629D6">
        <w:rPr>
          <w:rFonts w:cstheme="minorHAnsi"/>
          <w:color w:val="000000" w:themeColor="text1"/>
          <w:szCs w:val="20"/>
        </w:rPr>
        <w:t xml:space="preserve"> </w:t>
      </w:r>
    </w:p>
    <w:p w14:paraId="52C5A11A" w14:textId="1D047D6B" w:rsidR="005361D6" w:rsidRPr="005629D6" w:rsidRDefault="005361D6" w:rsidP="005B029A">
      <w:pPr>
        <w:rPr>
          <w:rFonts w:cstheme="minorHAnsi"/>
          <w:color w:val="000000" w:themeColor="text1"/>
          <w:szCs w:val="20"/>
          <w:lang w:val="en-US"/>
        </w:rPr>
      </w:pPr>
      <w:r w:rsidRPr="005629D6">
        <w:rPr>
          <w:rFonts w:cstheme="minorHAnsi"/>
          <w:color w:val="000000" w:themeColor="text1"/>
          <w:szCs w:val="20"/>
        </w:rPr>
        <w:t xml:space="preserve">Previously, modelling of insect ORs was limited to </w:t>
      </w:r>
      <w:r w:rsidR="00A306B0" w:rsidRPr="005629D6">
        <w:rPr>
          <w:rFonts w:cstheme="minorHAnsi"/>
          <w:color w:val="000000" w:themeColor="text1"/>
          <w:szCs w:val="20"/>
        </w:rPr>
        <w:t>complex</w:t>
      </w:r>
      <w:r w:rsidR="003A57A7" w:rsidRPr="005629D6">
        <w:rPr>
          <w:rFonts w:cstheme="minorHAnsi"/>
          <w:color w:val="000000" w:themeColor="text1"/>
          <w:szCs w:val="20"/>
        </w:rPr>
        <w:t xml:space="preserve"> computational</w:t>
      </w:r>
      <w:r w:rsidRPr="005629D6">
        <w:rPr>
          <w:rFonts w:cstheme="minorHAnsi"/>
          <w:color w:val="000000" w:themeColor="text1"/>
          <w:szCs w:val="20"/>
        </w:rPr>
        <w:t xml:space="preserve"> techniques, </w:t>
      </w:r>
      <w:r w:rsidR="009730A4" w:rsidRPr="005629D6">
        <w:rPr>
          <w:rFonts w:cstheme="minorHAnsi"/>
          <w:color w:val="000000" w:themeColor="text1"/>
          <w:szCs w:val="20"/>
        </w:rPr>
        <w:t xml:space="preserve">specifically </w:t>
      </w:r>
      <w:r w:rsidR="009730A4" w:rsidRPr="005629D6">
        <w:rPr>
          <w:rFonts w:cstheme="minorHAnsi"/>
          <w:i/>
          <w:iCs/>
          <w:color w:val="000000" w:themeColor="text1"/>
          <w:szCs w:val="20"/>
        </w:rPr>
        <w:t>de novo</w:t>
      </w:r>
      <w:r w:rsidR="009730A4" w:rsidRPr="005629D6">
        <w:rPr>
          <w:rFonts w:cstheme="minorHAnsi"/>
          <w:color w:val="000000" w:themeColor="text1"/>
          <w:szCs w:val="20"/>
        </w:rPr>
        <w:t xml:space="preserve"> protein structure prediction methods, </w:t>
      </w:r>
      <w:r w:rsidR="006D0559" w:rsidRPr="005629D6">
        <w:rPr>
          <w:rFonts w:cstheme="minorHAnsi"/>
          <w:color w:val="000000" w:themeColor="text1"/>
          <w:szCs w:val="20"/>
        </w:rPr>
        <w:t>including</w:t>
      </w:r>
      <w:r w:rsidRPr="005629D6">
        <w:rPr>
          <w:rFonts w:cstheme="minorHAnsi"/>
          <w:color w:val="000000" w:themeColor="text1"/>
          <w:szCs w:val="20"/>
        </w:rPr>
        <w:t xml:space="preserve"> observing amino acid evolutionary couplings</w:t>
      </w:r>
      <w:r w:rsidR="009730A4" w:rsidRPr="005629D6">
        <w:rPr>
          <w:rFonts w:cstheme="minorHAnsi"/>
          <w:color w:val="000000" w:themeColor="text1"/>
          <w:szCs w:val="20"/>
        </w:rPr>
        <w:t>.</w:t>
      </w:r>
      <w:r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{"citationItems":[{"id":"ITEM-1","itemData":{"DOI":"10.1038/ncomms7077","ISSN":"20411723","abstract":"Insect odorant receptors (ORs) comprise an enormous protein family that translates environmental chemical signals into neuronal electrical activity. These heptahelical receptors are proposed to function as ligand-gated ion channels and/or to act metabotropically as G protein-coupled receptors (GPCRs). Resolving their signalling mechanism has been hampered by the lack of tertiary structural information and primary sequence similarity to other proteins. We use amino acid evolutionary covariation across these ORs to define restraints on structural proximity of residue pairs, which permit de novo generation of three-dimensional models. The validity of our analysis is supported by the location of functionally important residues in highly constrained regions of the protein. Importantly, insect OR models exhibit a distinct transmembrane domain packing arrangement to that of canonical GPCRs, establishing the structural unrelatedness of these receptor families. The evolutionary couplings and models predict odour binding and ion conduction domains, and provide a template for rationale structure-activity dissection.","author":[{"dropping-particle":"","family":"Hopf","given":"Thomas A.","non-dropping-particle":"","parse-names":false,"suffix":""},{"dropping-particle":"","family":"Morinaga","given":"Satoshi","non-dropping-particle":"","parse-names":false,"suffix":""},{"dropping-particle":"","family":"Ihara","given":"Sayoko","non-dropping-particle":"","parse-names":false,"suffix":""},{"dropping-particle":"","family":"Touhara","given":"Kazushige","non-dropping-particle":"","parse-names":false,"suffix":""},{"dropping-particle":"","family":"Marks","given":"Debora S.","non-dropping-particle":"","parse-names":false,"suffix":""},{"dropping-particle":"","family":"Benton","given":"Richard","non-dropping-particle":"","parse-names":false,"suffix":""}],"container-title":"Nature Communications","id":"ITEM-1","issued":{"date-parts":[["2015"]]},"page":"1-7","publisher":"Nature Publishing Group","title":"Amino acid coevolution reveals three-dimensional structure and functional domains of insect odorant receptors","type":"article-journal","volume":"6"},"uris":["http://www.mendeley.com/documents/?uuid=80367888-72bb-4f8a-8385-99552f9f5667"]}],"mendeley":{"formattedCitation":"&lt;sup&gt;16&lt;/sup&gt;","plainTextFormattedCitation":"16","previouslyFormattedCitation":"&lt;sup&gt;16&lt;/sup&gt;"},"properties":{"noteIndex":0},"schema":"https://github.com/citation-style-language/schema/raw/master/csl-citation.json"}</w:instrText>
      </w:r>
      <w:r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16</w:t>
      </w:r>
      <w:r w:rsidRPr="005629D6">
        <w:rPr>
          <w:rFonts w:cstheme="minorHAnsi"/>
          <w:color w:val="000000" w:themeColor="text1"/>
          <w:szCs w:val="20"/>
        </w:rPr>
        <w:fldChar w:fldCharType="end"/>
      </w:r>
      <w:r w:rsidRPr="005629D6">
        <w:rPr>
          <w:rFonts w:cstheme="minorHAnsi"/>
          <w:color w:val="000000" w:themeColor="text1"/>
          <w:szCs w:val="20"/>
        </w:rPr>
        <w:t xml:space="preserve"> </w:t>
      </w:r>
      <w:r w:rsidR="00EF035B" w:rsidRPr="005629D6">
        <w:rPr>
          <w:rFonts w:cstheme="minorHAnsi"/>
          <w:color w:val="000000" w:themeColor="text1"/>
          <w:szCs w:val="20"/>
        </w:rPr>
        <w:t xml:space="preserve">Despite the development of useful new </w:t>
      </w:r>
      <w:r w:rsidR="00EF035B" w:rsidRPr="005629D6">
        <w:rPr>
          <w:rFonts w:cstheme="minorHAnsi"/>
          <w:i/>
          <w:iCs/>
          <w:color w:val="000000" w:themeColor="text1"/>
          <w:szCs w:val="20"/>
        </w:rPr>
        <w:t>de novo</w:t>
      </w:r>
      <w:r w:rsidR="00EF035B" w:rsidRPr="005629D6">
        <w:rPr>
          <w:rFonts w:cstheme="minorHAnsi"/>
          <w:color w:val="000000" w:themeColor="text1"/>
          <w:szCs w:val="20"/>
        </w:rPr>
        <w:t xml:space="preserve"> protein structure prediction </w:t>
      </w:r>
      <w:r w:rsidR="006D0559" w:rsidRPr="005629D6">
        <w:rPr>
          <w:rFonts w:cstheme="minorHAnsi"/>
          <w:color w:val="000000" w:themeColor="text1"/>
          <w:szCs w:val="20"/>
        </w:rPr>
        <w:t xml:space="preserve">tools, such as </w:t>
      </w:r>
      <w:proofErr w:type="spellStart"/>
      <w:r w:rsidR="006D0559" w:rsidRPr="005629D6">
        <w:rPr>
          <w:rFonts w:cstheme="minorHAnsi"/>
          <w:color w:val="000000" w:themeColor="text1"/>
          <w:szCs w:val="20"/>
        </w:rPr>
        <w:t>trRosetta</w:t>
      </w:r>
      <w:proofErr w:type="spellEnd"/>
      <w:r w:rsidR="006D0559" w:rsidRPr="005629D6">
        <w:rPr>
          <w:rFonts w:cstheme="minorHAnsi"/>
          <w:color w:val="000000" w:themeColor="text1"/>
          <w:szCs w:val="20"/>
        </w:rPr>
        <w:t xml:space="preserve">, comparative modelling </w:t>
      </w:r>
      <w:r w:rsidR="009278C6" w:rsidRPr="005629D6">
        <w:rPr>
          <w:rFonts w:cstheme="minorHAnsi"/>
          <w:color w:val="000000" w:themeColor="text1"/>
          <w:szCs w:val="20"/>
        </w:rPr>
        <w:t>techniques can now be effectively used.</w:t>
      </w:r>
      <w:r w:rsidR="009278C6"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{"citationItems":[{"id":"ITEM-1","itemData":{"abstract":"The insect chemosensory repertoires of Gustatory Receptors (GRs) and Odorant Receptors (ORs) together represent one of the largest families of ligand-gated ion channels. Previous analyses have identified homologous \"Gustatory Receptor-Like (GRL)\" proteins across Animalia, but the evolutionary origin of this novel class of ion channels is unknown. We describe a survey of unicellular eukaryotic genomes for GRLs, identifying several candidates in fungi, protists and algae that contain many structural features characteristic of animal GRLs. The existence of these proteins in unicellular eukaryotes, together with ab initio protein structure predictions, supports homology between GRLs and a large family of uncharacterised plant proteins containing the DUF3537 domain. Together, this evidence suggests an origin of this protein family in the last common eukaryotic ancestor.","author":[{"dropping-particle":"","family":"Benton","given":"Richard","non-dropping-particle":"","parse-names":false,"suffix":""},{"dropping-particle":"","family":"Dessimoz","given":"Christophe","non-dropping-particle":"","parse-names":false,"suffix":""},{"dropping-particle":"","family":"Moi","given":"David","non-dropping-particle":"","parse-names":false,"suffix":""}],"container-title":"eLife","id":"ITEM-1","issue":"0","issued":{"date-parts":[["2020"]]},"page":"2020.08.24.264408","title":"A putative origin of insect chemosensory receptors in the last common eukaryotic ancestor","type":"article-journal","volume":"0041"},"uris":["http://www.mendeley.com/documents/?uuid=5f06800b-ad8e-4a68-888c-b0e792823c57"]},{"id":"ITEM-2","itemData":{"DOI":"10.1073/pnas.1914677117","ISSN":"10916490","PMID":"31896580","abstract":"The prediction of interresidue contacts and distances from coevolutionary data using deep learning has considerably advanced protein structure prediction. Here, we build on these advances by developing a deep residual network for predicting interresidue orientations, in addition to distances, and a Rosetta-constrained energy-minimization protocol for rapidly and accurately generating structure models guided by these restraints. In benchmark tests on 13th Community-Wide Experiment on the Critical Assessment of Techniques for Protein Structure Prediction (CASP13)- and Continuous Automated Model Evaluation (CAMEO)-derived sets, the method outperforms all previously described structureprediction methods. Although trained entirely on native proteins, the network consistently assigns higher probability to de novodesigned proteins, identifying the key fold-determining residues and providing an independent quantitative measure of the \"ideality\" of a protein structure. The method promises to be useful for a broad range of protein structure prediction and design problems.","author":[{"dropping-particle":"","family":"Yang","given":"Jianyi","non-dropping-particle":"","parse-names":false,"suffix":""},{"dropping-particle":"","family":"Anishchenko","given":"Ivan","non-dropping-particle":"","parse-names":false,"suffix":""},{"dropping-particle":"","family":"Park","given":"Hahnbeom","non-dropping-particle":"","parse-names":false,"suffix":""},{"dropping-particle":"","family":"Peng","given":"Zhenling","non-dropping-particle":"","parse-names":false,"suffix":""},{"dropping-particle":"","family":"Ovchinnikov","given":"Sergey","non-dropping-particle":"","parse-names":false,"suffix":""},{"dropping-particle":"","family":"Baker","given":"David","non-dropping-particle":"","parse-names":false,"suffix":""}],"container-title":"Proceedings of the National Academy of Sciences of the United States of America","id":"ITEM-2","issue":"3","issued":{"date-parts":[["2020"]]},"page":"1496-1503","title":"Improved protein structure prediction using predicted interresidue orientations","type":"article-journal","volume":"117"},"uris":["http://www.mendeley.com/documents/?uuid=40aa9c0f-325a-485d-aba0-dfe4f982b0a8"]},{"id":"ITEM-3","itemData":{"DOI":"10.3389/fncel.2019.00134","ISSN":"16625102","abstract":"Chemical signaling is ubiquitous and employs a variety of receptor types to detect the cacophony of molecules relevant for each living organism. Insects, our most diverse taxon, have evolved unique olfactory receptors with as little as 10% sequence identity between receptor types. We have identified a promiscuous volatile, 2-methyltetrahydro-3-furanone (coffee furanone), that elicits chemosensory and behavioral activity across multiple insect orders and receptors. In vivo and in vitro physiology showed that coffee furanone was detected by roughly 80% of the recorded neurons expressing the insect-specific olfactory receptor complex in the antenna of Drosophila melanogaster, at concentrations similar to other known, and less promiscuous, ligands. Neurons expressing specialized receptors, other chemoreceptor types, or mutants lacking the complex entirely did not respond to this compound. This indicates that coffee furanone is a promiscuous ligand for the insect olfactory receptor complex itself and did not induce non-specific cellular responses. In addition, we present homology modeling and docking studies with selected olfactory receptors that suggest conserved interaction regions for both coffee furanone and known ligands. Apart from its physiological activity, this known food additive elicits a behavioral response for several insects, including mosquitoes, flies, and cockroaches. A broad-scale behaviorally active molecule non-toxic to humans thus has significant implications for health and agriculture. Coffee furanone serves as a unique tool to unlock molecular, physiological, and behavioral relationships across this diverse receptor family and animal taxa.","author":[{"dropping-particle":"","family":"Batra","given":"Srishti","non-dropping-particle":"","parse-names":false,"suffix":""},{"dropping-particle":"","family":"Corcoran","given":"Jacob","non-dropping-particle":"","parse-names":false,"suffix":""},{"dropping-particle":"","family":"Zhang","given":"Dan Dan","non-dropping-particle":"","parse-names":false,"suffix":""},{"dropping-particle":"","family":"Pal","given":"Pramit","non-dropping-particle":"","parse-names":false,"suffix":""},{"dropping-particle":"","family":"Umesh","given":"K. P.","non-dropping-particle":"","parse-names":false,"suffix":""},{"dropping-particle":"","family":"Kulkarni","given":"Renuka","non-dropping-particle":"","parse-names":false,"suffix":""},{"dropping-particle":"","family":"Löfstedt","given":"Christer","non-dropping-particle":"","parse-names":false,"suffix":""},{"dropping-particle":"","family":"Sowdhamini","given":"Ramanathan","non-dropping-particle":"","parse-names":false,"suffix":""},{"dropping-particle":"","family":"Olsson","given":"Shannon B.","non-dropping-particle":"","parse-names":false,"suffix":""}],"container-title":"Frontiers in Cellular Neuroscience","id":"ITEM-3","issue":"April","issued":{"date-parts":[["2019"]]},"page":"1-13","title":"A functional agonist of insect olfactory receptors: Behavior, physiology and structure","type":"article-journal","volume":"13"},"uris":["http://www.mendeley.com/documents/?uuid=c84d31e1-54f8-4b5e-bb04-55e733675bb1"]},{"id":"ITEM-4","itemData":{"DOI":"10.1101/2020.03.07.980797","author":[{"dropping-particle":"","family":"Yuvaraj","given":"Jothi","non-dropping-particle":"","parse-names":false,"suffix":""},{"dropping-particle":"","family":"Roberts","given":"Rebecca","non-dropping-particle":"","parse-names":false,"suffix":""},{"dropping-particle":"","family":"Sonntag","given":"Yonathan","non-dropping-particle":"","parse-names":false,"suffix":""},{"dropping-particle":"","family":"Hou","given":"Xiaoqing","non-dropping-particle":"","parse-names":false,"suffix":""},{"dropping-particle":"","family":"Grosse-Wilde","given":"Ewald","non-dropping-particle":"","parse-names":false,"suffix":""},{"dropping-particle":"","family":"Machara","given":"Aleš","non-dropping-particle":"","parse-names":false,"suffix":""},{"dropping-particle":"","family":"Hansson","given":"Bill","non-dropping-particle":"","parse-names":false,"suffix":""},{"dropping-particle":"","family":"Johanson","given":"Urban","non-dropping-particle":"","parse-names":false,"suffix":""},{"dropping-particle":"","family":"Löfstedt","given":"Christer","non-dropping-particle":"","parse-names":false,"suffix":""},{"dropping-particle":"","family":"Andersson","given":"Martin","non-dropping-particle":"","parse-names":false,"suffix":""}],"container-title":"BMC Biology","id":"ITEM-4","issue":"16","issued":{"date-parts":[["2021"]]},"title":"Putative ligand binding sites of two functionally characterized bark beetle odorant receptors","type":"article-journal","volume":"19"},"uris":["http://www.mendeley.com/documents/?uuid=2e659630-e489-47c8-b90d-23856f66b7a1"]}],"mendeley":{"formattedCitation":"&lt;sup&gt;23,27,35,36&lt;/sup&gt;","plainTextFormattedCitation":"23,27,35,36","previouslyFormattedCitation":"&lt;sup&gt;23,27,35,36&lt;/sup&gt;"},"properties":{"noteIndex":0},"schema":"https://github.com/citation-style-language/schema/raw/master/csl-citation.json"}</w:instrText>
      </w:r>
      <w:r w:rsidR="009278C6"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23,27,35,36</w:t>
      </w:r>
      <w:r w:rsidR="009278C6" w:rsidRPr="005629D6">
        <w:rPr>
          <w:rFonts w:cstheme="minorHAnsi"/>
          <w:color w:val="000000" w:themeColor="text1"/>
          <w:szCs w:val="20"/>
        </w:rPr>
        <w:fldChar w:fldCharType="end"/>
      </w:r>
      <w:r w:rsidR="00EF035B" w:rsidRPr="005629D6">
        <w:rPr>
          <w:rFonts w:cstheme="minorHAnsi"/>
          <w:color w:val="000000" w:themeColor="text1"/>
          <w:szCs w:val="20"/>
        </w:rPr>
        <w:t xml:space="preserve"> </w:t>
      </w:r>
      <w:r w:rsidRPr="005629D6">
        <w:rPr>
          <w:rFonts w:cstheme="minorHAnsi"/>
          <w:color w:val="000000" w:themeColor="text1"/>
          <w:szCs w:val="20"/>
        </w:rPr>
        <w:t>ORs are</w:t>
      </w:r>
      <w:r w:rsidR="004A57BE" w:rsidRPr="005629D6">
        <w:rPr>
          <w:rFonts w:cstheme="minorHAnsi"/>
          <w:color w:val="000000" w:themeColor="text1"/>
          <w:szCs w:val="20"/>
        </w:rPr>
        <w:t xml:space="preserve"> </w:t>
      </w:r>
      <w:r w:rsidRPr="005629D6">
        <w:rPr>
          <w:rFonts w:cstheme="minorHAnsi"/>
          <w:color w:val="000000" w:themeColor="text1"/>
          <w:szCs w:val="20"/>
        </w:rPr>
        <w:t>challenging protein</w:t>
      </w:r>
      <w:r w:rsidR="004A57BE" w:rsidRPr="005629D6">
        <w:rPr>
          <w:rFonts w:cstheme="minorHAnsi"/>
          <w:color w:val="000000" w:themeColor="text1"/>
          <w:szCs w:val="20"/>
        </w:rPr>
        <w:t>s</w:t>
      </w:r>
      <w:r w:rsidRPr="005629D6">
        <w:rPr>
          <w:rFonts w:cstheme="minorHAnsi"/>
          <w:color w:val="000000" w:themeColor="text1"/>
          <w:szCs w:val="20"/>
        </w:rPr>
        <w:t xml:space="preserve"> to express and purify</w:t>
      </w:r>
      <w:r w:rsidR="004A57BE" w:rsidRPr="005629D6">
        <w:rPr>
          <w:rFonts w:cstheme="minorHAnsi"/>
          <w:color w:val="000000" w:themeColor="text1"/>
          <w:szCs w:val="20"/>
        </w:rPr>
        <w:t xml:space="preserve">, and structure determination has only </w:t>
      </w:r>
      <w:r w:rsidRPr="005629D6">
        <w:rPr>
          <w:rFonts w:cstheme="minorHAnsi"/>
          <w:color w:val="000000" w:themeColor="text1"/>
          <w:szCs w:val="20"/>
        </w:rPr>
        <w:t>advance</w:t>
      </w:r>
      <w:r w:rsidR="004A57BE" w:rsidRPr="005629D6">
        <w:rPr>
          <w:rFonts w:cstheme="minorHAnsi"/>
          <w:color w:val="000000" w:themeColor="text1"/>
          <w:szCs w:val="20"/>
        </w:rPr>
        <w:t>d</w:t>
      </w:r>
      <w:r w:rsidRPr="005629D6">
        <w:rPr>
          <w:rFonts w:cstheme="minorHAnsi"/>
          <w:color w:val="000000" w:themeColor="text1"/>
          <w:szCs w:val="20"/>
        </w:rPr>
        <w:t xml:space="preserve"> </w:t>
      </w:r>
      <w:r w:rsidR="004A57BE" w:rsidRPr="005629D6">
        <w:rPr>
          <w:rFonts w:cstheme="minorHAnsi"/>
          <w:color w:val="000000" w:themeColor="text1"/>
          <w:szCs w:val="20"/>
        </w:rPr>
        <w:t>recently through improvement</w:t>
      </w:r>
      <w:r w:rsidRPr="005629D6">
        <w:rPr>
          <w:rFonts w:cstheme="minorHAnsi"/>
          <w:color w:val="000000" w:themeColor="text1"/>
          <w:szCs w:val="20"/>
        </w:rPr>
        <w:t xml:space="preserve"> </w:t>
      </w:r>
      <w:r w:rsidR="004A57BE" w:rsidRPr="005629D6">
        <w:rPr>
          <w:rFonts w:cstheme="minorHAnsi"/>
          <w:color w:val="000000" w:themeColor="text1"/>
          <w:szCs w:val="20"/>
        </w:rPr>
        <w:t xml:space="preserve">of </w:t>
      </w:r>
      <w:r w:rsidRPr="005629D6">
        <w:rPr>
          <w:rFonts w:cstheme="minorHAnsi"/>
          <w:color w:val="000000" w:themeColor="text1"/>
          <w:szCs w:val="20"/>
        </w:rPr>
        <w:t>techniques</w:t>
      </w:r>
      <w:r w:rsidR="00695F3B" w:rsidRPr="005629D6">
        <w:rPr>
          <w:rFonts w:cstheme="minorHAnsi"/>
          <w:color w:val="000000" w:themeColor="text1"/>
          <w:szCs w:val="20"/>
        </w:rPr>
        <w:t>.</w:t>
      </w:r>
      <w:r w:rsidR="008B5A8E"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publisher":"Springer US","title":"Cryo-EM structure of the insect olfactory receptor Orco","type":"article-journal","volume":"560"},"uris":["http://www.mendeley.com/documents/?uuid=39008980-944d-4b35-826d-38ce947c6ad8"]},{"id":"ITEM-2","itemData":{"DOI":"10.1038/s41586-021-03794-8","ISSN":"0028-0836","abstract":"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-2","issue":"January","issued":{"date-parts":[["2021"]]},"title":"The structural basis of odorant recognition in insect olfactory receptors","type":"article-journal"},"uris":["http://www.mendeley.com/documents/?uuid=2dec9e12-4bd0-4f9d-97b9-f4ca47b69bef"]}],"mendeley":{"formattedCitation":"&lt;sup&gt;17,18&lt;/sup&gt;","plainTextFormattedCitation":"17,18","previouslyFormattedCitation":"&lt;sup&gt;17,18&lt;/sup&gt;"},"properties":{"noteIndex":0},"schema":"https://github.com/citation-style-language/schema/raw/master/csl-citation.json"}</w:instrText>
      </w:r>
      <w:r w:rsidR="008B5A8E"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17,18</w:t>
      </w:r>
      <w:r w:rsidR="008B5A8E" w:rsidRPr="005629D6">
        <w:rPr>
          <w:rFonts w:cstheme="minorHAnsi"/>
          <w:color w:val="000000" w:themeColor="text1"/>
          <w:szCs w:val="20"/>
        </w:rPr>
        <w:fldChar w:fldCharType="end"/>
      </w:r>
      <w:r w:rsidRPr="005629D6">
        <w:rPr>
          <w:rFonts w:cstheme="minorHAnsi"/>
          <w:color w:val="000000" w:themeColor="text1"/>
          <w:szCs w:val="20"/>
        </w:rPr>
        <w:t xml:space="preserve"> In 2018, Butterwick </w:t>
      </w:r>
      <w:r w:rsidRPr="005629D6">
        <w:rPr>
          <w:rFonts w:cstheme="minorHAnsi"/>
          <w:i/>
          <w:iCs/>
          <w:color w:val="000000" w:themeColor="text1"/>
          <w:szCs w:val="20"/>
        </w:rPr>
        <w:t>et al.</w:t>
      </w:r>
      <w:r w:rsidRPr="005629D6">
        <w:rPr>
          <w:rFonts w:cstheme="minorHAnsi"/>
          <w:color w:val="000000" w:themeColor="text1"/>
          <w:szCs w:val="20"/>
        </w:rPr>
        <w:t xml:space="preserve"> published the first insect OR structure, of</w:t>
      </w:r>
      <w:r w:rsidR="008A751B" w:rsidRPr="005629D6">
        <w:rPr>
          <w:rFonts w:cstheme="minorHAnsi"/>
          <w:color w:val="000000" w:themeColor="text1"/>
          <w:szCs w:val="20"/>
        </w:rPr>
        <w:t xml:space="preserve"> an</w:t>
      </w:r>
      <w:r w:rsidR="004A57BE" w:rsidRPr="005629D6">
        <w:rPr>
          <w:rFonts w:cstheme="minorHAnsi"/>
          <w:color w:val="000000" w:themeColor="text1"/>
          <w:szCs w:val="20"/>
        </w:rPr>
        <w:t xml:space="preserve"> </w:t>
      </w:r>
      <w:r w:rsidRPr="005629D6">
        <w:rPr>
          <w:rFonts w:cstheme="minorHAnsi"/>
          <w:color w:val="000000" w:themeColor="text1"/>
          <w:szCs w:val="20"/>
        </w:rPr>
        <w:t>ORCO</w:t>
      </w:r>
      <w:r w:rsidR="004A57BE" w:rsidRPr="005629D6">
        <w:rPr>
          <w:rFonts w:cstheme="minorHAnsi"/>
          <w:color w:val="000000" w:themeColor="text1"/>
          <w:szCs w:val="20"/>
        </w:rPr>
        <w:t xml:space="preserve"> </w:t>
      </w:r>
      <w:r w:rsidR="008A751B" w:rsidRPr="005629D6">
        <w:rPr>
          <w:rFonts w:cstheme="minorHAnsi"/>
          <w:color w:val="000000" w:themeColor="text1"/>
          <w:szCs w:val="20"/>
        </w:rPr>
        <w:t>(</w:t>
      </w:r>
      <w:proofErr w:type="spellStart"/>
      <w:r w:rsidR="008A751B" w:rsidRPr="005629D6">
        <w:rPr>
          <w:rFonts w:cstheme="minorHAnsi"/>
          <w:color w:val="000000" w:themeColor="text1"/>
          <w:szCs w:val="20"/>
        </w:rPr>
        <w:t>AbakORCO</w:t>
      </w:r>
      <w:proofErr w:type="spellEnd"/>
      <w:r w:rsidR="008A751B" w:rsidRPr="005629D6">
        <w:rPr>
          <w:rFonts w:cstheme="minorHAnsi"/>
          <w:color w:val="000000" w:themeColor="text1"/>
          <w:szCs w:val="20"/>
        </w:rPr>
        <w:t xml:space="preserve">) </w:t>
      </w:r>
      <w:r w:rsidR="004A57BE" w:rsidRPr="005629D6">
        <w:rPr>
          <w:rFonts w:cstheme="minorHAnsi"/>
          <w:color w:val="000000" w:themeColor="text1"/>
          <w:szCs w:val="20"/>
        </w:rPr>
        <w:t>from</w:t>
      </w:r>
      <w:r w:rsidRPr="005629D6">
        <w:rPr>
          <w:rFonts w:cstheme="minorHAnsi"/>
          <w:color w:val="000000" w:themeColor="text1"/>
          <w:szCs w:val="20"/>
        </w:rPr>
        <w:t xml:space="preserve"> </w:t>
      </w:r>
      <w:r w:rsidR="00122613" w:rsidRPr="005629D6">
        <w:rPr>
          <w:rFonts w:cstheme="minorHAnsi"/>
          <w:color w:val="000000" w:themeColor="text1"/>
          <w:szCs w:val="20"/>
        </w:rPr>
        <w:t xml:space="preserve">the fig wasp, </w:t>
      </w:r>
      <w:proofErr w:type="spellStart"/>
      <w:r w:rsidRPr="005629D6">
        <w:rPr>
          <w:rFonts w:cstheme="minorHAnsi"/>
          <w:i/>
          <w:iCs/>
          <w:color w:val="000000" w:themeColor="text1"/>
          <w:szCs w:val="20"/>
        </w:rPr>
        <w:t>Apocrypta</w:t>
      </w:r>
      <w:proofErr w:type="spellEnd"/>
      <w:r w:rsidRPr="005629D6">
        <w:rPr>
          <w:rFonts w:cstheme="minorHAnsi"/>
          <w:i/>
          <w:iCs/>
          <w:color w:val="000000" w:themeColor="text1"/>
          <w:szCs w:val="20"/>
        </w:rPr>
        <w:t xml:space="preserve"> bakeri</w:t>
      </w:r>
      <w:r w:rsidR="00695F3B" w:rsidRPr="005629D6">
        <w:rPr>
          <w:rFonts w:cstheme="minorHAnsi"/>
          <w:i/>
          <w:iCs/>
          <w:color w:val="000000" w:themeColor="text1"/>
          <w:szCs w:val="20"/>
        </w:rPr>
        <w:t>.</w:t>
      </w:r>
      <w:r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publisher":"Springer US","title":"Cryo-EM structure of the insect olfactory receptor Orco","type":"article-journal","volume":"560"},"uris":["http://www.mendeley.com/documents/?uuid=39008980-944d-4b35-826d-38ce947c6ad8"]}],"mendeley":{"formattedCitation":"&lt;sup&gt;17&lt;/sup&gt;","plainTextFormattedCitation":"17","previouslyFormattedCitation":"&lt;sup&gt;17&lt;/sup&gt;"},"properties":{"noteIndex":0},"schema":"https://github.com/citation-style-language/schema/raw/master/csl-citation.json"}</w:instrText>
      </w:r>
      <w:r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17</w:t>
      </w:r>
      <w:r w:rsidRPr="005629D6">
        <w:rPr>
          <w:rFonts w:cstheme="minorHAnsi"/>
          <w:color w:val="000000" w:themeColor="text1"/>
          <w:szCs w:val="20"/>
        </w:rPr>
        <w:fldChar w:fldCharType="end"/>
      </w:r>
      <w:r w:rsidRPr="005629D6">
        <w:rPr>
          <w:rFonts w:cstheme="minorHAnsi"/>
          <w:color w:val="000000" w:themeColor="text1"/>
          <w:szCs w:val="20"/>
        </w:rPr>
        <w:t xml:space="preserve"> </w:t>
      </w:r>
      <w:r w:rsidR="00EC4EFC" w:rsidRPr="005629D6">
        <w:rPr>
          <w:rFonts w:cstheme="minorHAnsi"/>
          <w:color w:val="000000" w:themeColor="text1"/>
          <w:szCs w:val="20"/>
        </w:rPr>
        <w:t>Following the structure of ORCO, a structure for a homomeric broadly-tuned insect OR</w:t>
      </w:r>
      <w:r w:rsidR="00813B9F" w:rsidRPr="005629D6">
        <w:rPr>
          <w:rFonts w:cstheme="minorHAnsi"/>
          <w:color w:val="000000" w:themeColor="text1"/>
          <w:szCs w:val="20"/>
        </w:rPr>
        <w:t>,</w:t>
      </w:r>
      <w:r w:rsidR="00EC4EFC" w:rsidRPr="005629D6">
        <w:rPr>
          <w:rFonts w:cstheme="minorHAnsi"/>
          <w:color w:val="000000" w:themeColor="text1"/>
          <w:szCs w:val="20"/>
        </w:rPr>
        <w:t xml:space="preserve"> OR5 from the jumping bristletail </w:t>
      </w:r>
      <w:r w:rsidR="00EC4EFC" w:rsidRPr="005629D6">
        <w:rPr>
          <w:rFonts w:cstheme="minorHAnsi"/>
          <w:i/>
          <w:iCs/>
          <w:color w:val="000000" w:themeColor="text1"/>
          <w:szCs w:val="20"/>
        </w:rPr>
        <w:t xml:space="preserve">M. </w:t>
      </w:r>
      <w:proofErr w:type="spellStart"/>
      <w:r w:rsidR="00EC4EFC" w:rsidRPr="005629D6">
        <w:rPr>
          <w:rFonts w:cstheme="minorHAnsi"/>
          <w:i/>
          <w:iCs/>
          <w:color w:val="000000" w:themeColor="text1"/>
          <w:szCs w:val="20"/>
        </w:rPr>
        <w:t>harabi</w:t>
      </w:r>
      <w:proofErr w:type="spellEnd"/>
      <w:r w:rsidR="00EC4EFC" w:rsidRPr="005629D6">
        <w:rPr>
          <w:rFonts w:cstheme="minorHAnsi"/>
          <w:color w:val="000000" w:themeColor="text1"/>
          <w:szCs w:val="20"/>
        </w:rPr>
        <w:t xml:space="preserve"> was solved.</w:t>
      </w:r>
      <w:r w:rsidR="00EC4EFC"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mendeley":{"formattedCitation":"&lt;sup&gt;18&lt;/sup&gt;","plainTextFormattedCitation":"18","previouslyFormattedCitation":"&lt;sup&gt;18&lt;/sup&gt;"},"properties":{"noteIndex":0},"schema":"https://github.com/citation-style-language/schema/raw/master/csl-citation.json"}</w:instrText>
      </w:r>
      <w:r w:rsidR="00EC4EFC"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18</w:t>
      </w:r>
      <w:r w:rsidR="00EC4EFC" w:rsidRPr="005629D6">
        <w:rPr>
          <w:rFonts w:cstheme="minorHAnsi"/>
          <w:color w:val="000000" w:themeColor="text1"/>
          <w:szCs w:val="20"/>
        </w:rPr>
        <w:fldChar w:fldCharType="end"/>
      </w:r>
      <w:r w:rsidR="00EC4EFC" w:rsidRPr="005629D6">
        <w:rPr>
          <w:rFonts w:cstheme="minorHAnsi"/>
          <w:color w:val="000000" w:themeColor="text1"/>
          <w:szCs w:val="20"/>
        </w:rPr>
        <w:t xml:space="preserve"> The ligand binding </w:t>
      </w:r>
      <w:r w:rsidR="0069176F" w:rsidRPr="005629D6">
        <w:rPr>
          <w:rFonts w:cstheme="minorHAnsi"/>
          <w:color w:val="000000" w:themeColor="text1"/>
          <w:szCs w:val="20"/>
        </w:rPr>
        <w:t xml:space="preserve">of ecologically relevant ligands including mosquito repellent DEET and eugenol to </w:t>
      </w:r>
      <w:r w:rsidR="00EC4EFC" w:rsidRPr="005629D6">
        <w:rPr>
          <w:rFonts w:cstheme="minorHAnsi"/>
          <w:color w:val="000000" w:themeColor="text1"/>
          <w:szCs w:val="20"/>
        </w:rPr>
        <w:t>OR</w:t>
      </w:r>
      <w:r w:rsidR="0069176F" w:rsidRPr="005629D6">
        <w:rPr>
          <w:rFonts w:cstheme="minorHAnsi"/>
          <w:color w:val="000000" w:themeColor="text1"/>
          <w:szCs w:val="20"/>
        </w:rPr>
        <w:t>5</w:t>
      </w:r>
      <w:r w:rsidR="00EC4EFC" w:rsidRPr="005629D6">
        <w:rPr>
          <w:rFonts w:cstheme="minorHAnsi"/>
          <w:color w:val="000000" w:themeColor="text1"/>
          <w:szCs w:val="20"/>
        </w:rPr>
        <w:t xml:space="preserve"> was resolved, revealing a clear ligand binding pocket and hydrophobic interactions between the ligands and critical residues.</w:t>
      </w:r>
      <w:r w:rsidR="0069176F"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mendeley":{"formattedCitation":"&lt;sup&gt;18&lt;/sup&gt;","plainTextFormattedCitation":"18","previouslyFormattedCitation":"&lt;sup&gt;18&lt;/sup&gt;"},"properties":{"noteIndex":0},"schema":"https://github.com/citation-style-language/schema/raw/master/csl-citation.json"}</w:instrText>
      </w:r>
      <w:r w:rsidR="0069176F"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18</w:t>
      </w:r>
      <w:r w:rsidR="0069176F" w:rsidRPr="005629D6">
        <w:rPr>
          <w:rFonts w:cstheme="minorHAnsi"/>
          <w:color w:val="000000" w:themeColor="text1"/>
          <w:szCs w:val="20"/>
        </w:rPr>
        <w:fldChar w:fldCharType="end"/>
      </w:r>
      <w:r w:rsidR="00EC4EFC" w:rsidRPr="005629D6">
        <w:rPr>
          <w:rFonts w:cstheme="minorHAnsi"/>
          <w:color w:val="000000" w:themeColor="text1"/>
          <w:szCs w:val="20"/>
        </w:rPr>
        <w:t xml:space="preserve"> The ligand binding site was a 15</w:t>
      </w:r>
      <w:r w:rsidR="00EC4EFC" w:rsidRPr="005629D6">
        <w:rPr>
          <w:rFonts w:cstheme="minorHAnsi"/>
          <w:color w:val="000000" w:themeColor="text1"/>
          <w:szCs w:val="20"/>
          <w:lang w:val="en-US"/>
        </w:rPr>
        <w:t>Å-deep pocket within the extracellular portion of the complex, which was shown to be highly conserved across different insect species.</w:t>
      </w:r>
      <w:r w:rsidR="00EC4EFC" w:rsidRPr="005629D6">
        <w:rPr>
          <w:rFonts w:cstheme="minorHAnsi"/>
          <w:color w:val="000000" w:themeColor="text1"/>
          <w:szCs w:val="20"/>
          <w:lang w:val="en-US"/>
        </w:rPr>
        <w:fldChar w:fldCharType="begin" w:fldLock="1"/>
      </w:r>
      <w:r w:rsidR="000D52F2" w:rsidRPr="005629D6">
        <w:rPr>
          <w:rFonts w:cstheme="minorHAnsi"/>
          <w:color w:val="000000" w:themeColor="text1"/>
          <w:szCs w:val="20"/>
          <w:lang w:val="en-US"/>
        </w:rPr>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mendeley":{"formattedCitation":"&lt;sup&gt;18&lt;/sup&gt;","plainTextFormattedCitation":"18","previouslyFormattedCitation":"&lt;sup&gt;18&lt;/sup&gt;"},"properties":{"noteIndex":0},"schema":"https://github.com/citation-style-language/schema/raw/master/csl-citation.json"}</w:instrText>
      </w:r>
      <w:r w:rsidR="00EC4EFC" w:rsidRPr="005629D6">
        <w:rPr>
          <w:rFonts w:cstheme="minorHAnsi"/>
          <w:color w:val="000000" w:themeColor="text1"/>
          <w:szCs w:val="20"/>
          <w:lang w:val="en-US"/>
        </w:rPr>
        <w:fldChar w:fldCharType="separate"/>
      </w:r>
      <w:r w:rsidR="002F2ECE" w:rsidRPr="005629D6">
        <w:rPr>
          <w:rFonts w:cstheme="minorHAnsi"/>
          <w:noProof/>
          <w:color w:val="000000" w:themeColor="text1"/>
          <w:szCs w:val="20"/>
          <w:vertAlign w:val="superscript"/>
          <w:lang w:val="en-US"/>
        </w:rPr>
        <w:t>18</w:t>
      </w:r>
      <w:r w:rsidR="00EC4EFC" w:rsidRPr="005629D6">
        <w:rPr>
          <w:rFonts w:cstheme="minorHAnsi"/>
          <w:color w:val="000000" w:themeColor="text1"/>
          <w:szCs w:val="20"/>
          <w:lang w:val="en-US"/>
        </w:rPr>
        <w:fldChar w:fldCharType="end"/>
      </w:r>
      <w:r w:rsidR="00EC4EFC" w:rsidRPr="005629D6">
        <w:rPr>
          <w:rFonts w:cstheme="minorHAnsi"/>
          <w:color w:val="000000" w:themeColor="text1"/>
          <w:szCs w:val="20"/>
          <w:lang w:val="en-US"/>
        </w:rPr>
        <w:t xml:space="preserve"> </w:t>
      </w:r>
      <w:r w:rsidR="00EC4EFC" w:rsidRPr="005629D6">
        <w:rPr>
          <w:rFonts w:cstheme="minorHAnsi"/>
          <w:color w:val="000000" w:themeColor="text1"/>
          <w:szCs w:val="20"/>
        </w:rPr>
        <w:t>The publishing of these structure</w:t>
      </w:r>
      <w:r w:rsidR="00FC3829" w:rsidRPr="005629D6">
        <w:rPr>
          <w:rFonts w:cstheme="minorHAnsi"/>
          <w:color w:val="000000" w:themeColor="text1"/>
          <w:szCs w:val="20"/>
        </w:rPr>
        <w:t>s</w:t>
      </w:r>
      <w:r w:rsidR="00EC4EFC" w:rsidRPr="005629D6">
        <w:rPr>
          <w:rFonts w:cstheme="minorHAnsi"/>
          <w:color w:val="000000" w:themeColor="text1"/>
          <w:szCs w:val="20"/>
        </w:rPr>
        <w:t xml:space="preserve"> allows for comparative modelling of ORs to be performed and broadens the scope for molecular modelling studies of insect ORs.</w:t>
      </w:r>
      <w:r w:rsidR="00EC4EFC" w:rsidRPr="005629D6">
        <w:rPr>
          <w:rFonts w:cstheme="minorHAnsi"/>
          <w:color w:val="000000" w:themeColor="text1"/>
          <w:szCs w:val="20"/>
        </w:rPr>
        <w:fldChar w:fldCharType="begin" w:fldLock="1"/>
      </w:r>
      <w:r w:rsidR="000D52F2" w:rsidRPr="005629D6">
        <w:rPr>
          <w:rFonts w:cstheme="minorHAnsi"/>
          <w:color w:val="000000" w:themeColor="text1"/>
          <w:szCs w:val="20"/>
        </w:rPr>
        <w:instrText>ADDIN CSL_CITATION {"citationItems":[{"id":"ITEM-1","itemData":{"DOI":"10.3389/fncel.2019.00134","ISSN":"16625102","abstract":"Chemical signaling is ubiquitous and employs a variety of receptor types to detect the cacophony of molecules relevant for each living organism. Insects, our most diverse taxon, have evolved unique olfactory receptors with as little as 10% sequence identity between receptor types. We have identified a promiscuous volatile, 2-methyltetrahydro-3-furanone (coffee furanone), that elicits chemosensory and behavioral activity across multiple insect orders and receptors. In vivo and in vitro physiology showed that coffee furanone was detected by roughly 80% of the recorded neurons expressing the insect-specific olfactory receptor complex in the antenna of Drosophila melanogaster, at concentrations similar to other known, and less promiscuous, ligands. Neurons expressing specialized receptors, other chemoreceptor types, or mutants lacking the complex entirely did not respond to this compound. This indicates that coffee furanone is a promiscuous ligand for the insect olfactory receptor complex itself and did not induce non-specific cellular responses. In addition, we present homology modeling and docking studies with selected olfactory receptors that suggest conserved interaction regions for both coffee furanone and known ligands. Apart from its physiological activity, this known food additive elicits a behavioral response for several insects, including mosquitoes, flies, and cockroaches. A broad-scale behaviorally active molecule non-toxic to humans thus has significant implications for health and agriculture. Coffee furanone serves as a unique tool to unlock molecular, physiological, and behavioral relationships across this diverse receptor family and animal taxa.","author":[{"dropping-particle":"","family":"Batra","given":"Srishti","non-dropping-particle":"","parse-names":false,"suffix":""},{"dropping-particle":"","family":"Corcoran","given":"Jacob","non-dropping-particle":"","parse-names":false,"suffix":""},{"dropping-particle":"","family":"Zhang","given":"Dan Dan","non-dropping-particle":"","parse-names":false,"suffix":""},{"dropping-particle":"","family":"Pal","given":"Pramit","non-dropping-particle":"","parse-names":false,"suffix":""},{"dropping-particle":"","family":"Umesh","given":"K. P.","non-dropping-particle":"","parse-names":false,"suffix":""},{"dropping-particle":"","family":"Kulkarni","given":"Renuka","non-dropping-particle":"","parse-names":false,"suffix":""},{"dropping-particle":"","family":"Löfstedt","given":"Christer","non-dropping-particle":"","parse-names":false,"suffix":""},{"dropping-particle":"","family":"Sowdhamini","given":"Ramanathan","non-dropping-particle":"","parse-names":false,"suffix":""},{"dropping-particle":"","family":"Olsson","given":"Shannon B.","non-dropping-particle":"","parse-names":false,"suffix":""}],"container-title":"Frontiers in Cellular Neuroscience","id":"ITEM-1","issue":"April","issued":{"date-parts":[["2019"]]},"page":"1-13","title":"A functional agonist of insect olfactory receptors: Behavior, physiology and structure","type":"article-journal","volume":"13"},"uris":["http://www.mendeley.com/documents/?uuid=c84d31e1-54f8-4b5e-bb04-55e733675bb1"]}],"mendeley":{"formattedCitation":"&lt;sup&gt;23&lt;/sup&gt;","plainTextFormattedCitation":"23","previouslyFormattedCitation":"&lt;sup&gt;23&lt;/sup&gt;"},"properties":{"noteIndex":0},"schema":"https://github.com/citation-style-language/schema/raw/master/csl-citation.json"}</w:instrText>
      </w:r>
      <w:r w:rsidR="00EC4EFC" w:rsidRPr="005629D6">
        <w:rPr>
          <w:rFonts w:cstheme="minorHAnsi"/>
          <w:color w:val="000000" w:themeColor="text1"/>
          <w:szCs w:val="20"/>
        </w:rPr>
        <w:fldChar w:fldCharType="separate"/>
      </w:r>
      <w:r w:rsidR="002F2ECE" w:rsidRPr="005629D6">
        <w:rPr>
          <w:rFonts w:cstheme="minorHAnsi"/>
          <w:noProof/>
          <w:color w:val="000000" w:themeColor="text1"/>
          <w:szCs w:val="20"/>
          <w:vertAlign w:val="superscript"/>
        </w:rPr>
        <w:t>23</w:t>
      </w:r>
      <w:r w:rsidR="00EC4EFC" w:rsidRPr="005629D6">
        <w:rPr>
          <w:rFonts w:cstheme="minorHAnsi"/>
          <w:color w:val="000000" w:themeColor="text1"/>
          <w:szCs w:val="20"/>
        </w:rPr>
        <w:fldChar w:fldCharType="end"/>
      </w:r>
    </w:p>
    <w:p w14:paraId="72277237" w14:textId="4B28CE80" w:rsidR="00A35215" w:rsidRPr="005629D6" w:rsidRDefault="00271218" w:rsidP="005B029A">
      <w:pPr>
        <w:rPr>
          <w:color w:val="000000" w:themeColor="text1"/>
        </w:rPr>
      </w:pPr>
      <w:r w:rsidRPr="005629D6">
        <w:rPr>
          <w:color w:val="000000" w:themeColor="text1"/>
        </w:rPr>
        <w:t>Only two</w:t>
      </w:r>
      <w:r w:rsidR="00576159" w:rsidRPr="005629D6">
        <w:rPr>
          <w:color w:val="000000" w:themeColor="text1"/>
        </w:rPr>
        <w:t xml:space="preserve"> </w:t>
      </w:r>
      <w:r w:rsidR="00E60A69" w:rsidRPr="005629D6">
        <w:rPr>
          <w:color w:val="000000" w:themeColor="text1"/>
        </w:rPr>
        <w:t>ORs</w:t>
      </w:r>
      <w:r w:rsidR="00576159" w:rsidRPr="005629D6">
        <w:rPr>
          <w:color w:val="000000" w:themeColor="text1"/>
        </w:rPr>
        <w:t xml:space="preserve"> from the pea aphid, </w:t>
      </w:r>
      <w:proofErr w:type="spellStart"/>
      <w:r w:rsidRPr="005629D6">
        <w:rPr>
          <w:i/>
          <w:iCs/>
          <w:color w:val="000000" w:themeColor="text1"/>
        </w:rPr>
        <w:t>A</w:t>
      </w:r>
      <w:r w:rsidR="00576159" w:rsidRPr="005629D6">
        <w:rPr>
          <w:i/>
          <w:iCs/>
          <w:color w:val="000000" w:themeColor="text1"/>
        </w:rPr>
        <w:t>cyrthosiphon</w:t>
      </w:r>
      <w:proofErr w:type="spellEnd"/>
      <w:r w:rsidRPr="005629D6">
        <w:rPr>
          <w:i/>
          <w:iCs/>
          <w:color w:val="000000" w:themeColor="text1"/>
        </w:rPr>
        <w:t xml:space="preserve"> </w:t>
      </w:r>
      <w:proofErr w:type="spellStart"/>
      <w:r w:rsidRPr="005629D6">
        <w:rPr>
          <w:i/>
          <w:iCs/>
          <w:color w:val="000000" w:themeColor="text1"/>
        </w:rPr>
        <w:t>pisum</w:t>
      </w:r>
      <w:proofErr w:type="spellEnd"/>
      <w:r w:rsidR="00576159" w:rsidRPr="005629D6">
        <w:rPr>
          <w:color w:val="000000" w:themeColor="text1"/>
        </w:rPr>
        <w:t>,</w:t>
      </w:r>
      <w:r w:rsidRPr="005629D6">
        <w:rPr>
          <w:color w:val="000000" w:themeColor="text1"/>
        </w:rPr>
        <w:t xml:space="preserve"> have </w:t>
      </w:r>
      <w:r w:rsidR="00B1097E" w:rsidRPr="005629D6">
        <w:rPr>
          <w:color w:val="000000" w:themeColor="text1"/>
        </w:rPr>
        <w:t>been</w:t>
      </w:r>
      <w:r w:rsidRPr="005629D6">
        <w:rPr>
          <w:color w:val="000000" w:themeColor="text1"/>
        </w:rPr>
        <w:t xml:space="preserve"> functional</w:t>
      </w:r>
      <w:r w:rsidR="0037299C" w:rsidRPr="005629D6">
        <w:rPr>
          <w:color w:val="000000" w:themeColor="text1"/>
        </w:rPr>
        <w:t>ly characterised</w:t>
      </w:r>
      <w:r w:rsidR="00FC3829" w:rsidRPr="005629D6">
        <w:rPr>
          <w:color w:val="000000" w:themeColor="text1"/>
        </w:rPr>
        <w:t xml:space="preserve"> to date</w:t>
      </w:r>
      <w:r w:rsidR="00F80FBF" w:rsidRPr="005629D6">
        <w:rPr>
          <w:color w:val="000000" w:themeColor="text1"/>
        </w:rPr>
        <w:t>, though no structural data or mutagenesis studies have been performed</w:t>
      </w:r>
      <w:r w:rsidR="00695F3B" w:rsidRPr="005629D6">
        <w:rPr>
          <w:color w:val="000000" w:themeColor="text1"/>
        </w:rPr>
        <w:t>.</w:t>
      </w:r>
      <w:r w:rsidR="0037299C" w:rsidRPr="005629D6">
        <w:rPr>
          <w:color w:val="000000" w:themeColor="text1"/>
        </w:rPr>
        <w:fldChar w:fldCharType="begin" w:fldLock="1"/>
      </w:r>
      <w:r w:rsidR="000D52F2" w:rsidRPr="005629D6">
        <w:rPr>
          <w:color w:val="000000" w:themeColor="text1"/>
        </w:rPr>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Aphids","type":"article-journal","volume":"27"},"uris":["http://www.mendeley.com/documents/?uuid=7ba4c0fd-5186-44f3-b962-69bddb791a8e"]},{"id":"ITEM-2","itemData":{"DOI":"10.1111/1744-7917.12510","ISSN":"17447917","abstract":"The sensitive olfactory system is necessary for survival of insects. Odorant receptors (ORs) are located on the dendrites of olfactory receptor neurons and play a critical role in odor detection. Insect ORs are functionally analyzed via heterologous expression in a Xenopus oocyte system using a two-electrode voltage-clamp (TEVC) electrophysiological recording. Here, we have identified a novel OR in the pea aphid, Acyrthosiphon pisum, then we cloned and named it ApisOR4. We analyzed the ApisOR4 tissue expression patterns and found expression only in antennae tissues. Further functional analysis using TEVC revealed that ApisOR4 is broadly tuned to eight volatiles, which elicit electrophysiological response in pea aphid antennae. This study provides an initial functional analysis of aphid ORs and identifies candidate volatiles to be used in developing new strategies for aphid control.","author":[{"dropping-particle":"Bin","family":"Zhang","given":"Rui","non-dropping-particle":"","parse-names":false,"suffix":""},{"dropping-particle":"","family":"Liu","given":"Yang","non-dropping-particle":"","parse-names":false,"suffix":""},{"dropping-particle":"","family":"Yan","given":"Shan Chun","non-dropping-particle":"","parse-names":false,"suffix":""},{"dropping-particle":"","family":"Wang","given":"Gui Rong","non-dropping-particle":"","parse-names":false,"suffix":""}],"container-title":"Insect Science","id":"ITEM-2","issue":"1","issued":{"date-parts":[["2019"]]},"page":"58-67","title":"Identification and functional characterization of an odorant receptor in pea aphid, Acyrthosiphon pisum","type":"article-journal","volume":"26"},"uris":["http://www.mendeley.com/documents/?uuid=68bbaab8-8f01-4596-a815-9e8b93d72662"]}],"mendeley":{"formattedCitation":"&lt;sup&gt;20,37&lt;/sup&gt;","plainTextFormattedCitation":"20,37","previouslyFormattedCitation":"&lt;sup&gt;20,37&lt;/sup&gt;"},"properties":{"noteIndex":0},"schema":"https://github.com/citation-style-language/schema/raw/master/csl-citation.json"}</w:instrText>
      </w:r>
      <w:r w:rsidR="0037299C" w:rsidRPr="005629D6">
        <w:rPr>
          <w:color w:val="000000" w:themeColor="text1"/>
        </w:rPr>
        <w:fldChar w:fldCharType="separate"/>
      </w:r>
      <w:r w:rsidR="002F2ECE" w:rsidRPr="005629D6">
        <w:rPr>
          <w:noProof/>
          <w:color w:val="000000" w:themeColor="text1"/>
          <w:vertAlign w:val="superscript"/>
        </w:rPr>
        <w:t>20,37</w:t>
      </w:r>
      <w:r w:rsidR="0037299C" w:rsidRPr="005629D6">
        <w:rPr>
          <w:color w:val="000000" w:themeColor="text1"/>
        </w:rPr>
        <w:fldChar w:fldCharType="end"/>
      </w:r>
      <w:r w:rsidRPr="005629D6">
        <w:rPr>
          <w:color w:val="000000" w:themeColor="text1"/>
        </w:rPr>
        <w:t xml:space="preserve">  Odorant</w:t>
      </w:r>
      <w:r w:rsidR="008A751B" w:rsidRPr="005629D6">
        <w:rPr>
          <w:color w:val="000000" w:themeColor="text1"/>
        </w:rPr>
        <w:t xml:space="preserve"> </w:t>
      </w:r>
      <w:r w:rsidRPr="005629D6">
        <w:rPr>
          <w:color w:val="000000" w:themeColor="text1"/>
        </w:rPr>
        <w:t>receptor 5 (</w:t>
      </w:r>
      <w:r w:rsidR="00AA6CA9" w:rsidRPr="005629D6">
        <w:rPr>
          <w:color w:val="000000" w:themeColor="text1"/>
        </w:rPr>
        <w:t>Apis</w:t>
      </w:r>
      <w:r w:rsidRPr="005629D6">
        <w:rPr>
          <w:color w:val="000000" w:themeColor="text1"/>
        </w:rPr>
        <w:t xml:space="preserve">OR5) has </w:t>
      </w:r>
      <w:r w:rsidR="005361D6" w:rsidRPr="005629D6">
        <w:rPr>
          <w:color w:val="000000" w:themeColor="text1"/>
        </w:rPr>
        <w:t xml:space="preserve">been shown to </w:t>
      </w:r>
      <w:r w:rsidR="00E60A69" w:rsidRPr="005629D6">
        <w:rPr>
          <w:color w:val="000000" w:themeColor="text1"/>
        </w:rPr>
        <w:t>interact with</w:t>
      </w:r>
      <w:r w:rsidR="005361D6" w:rsidRPr="005629D6">
        <w:rPr>
          <w:color w:val="000000" w:themeColor="text1"/>
        </w:rPr>
        <w:t xml:space="preserve"> the</w:t>
      </w:r>
      <w:r w:rsidRPr="005629D6">
        <w:rPr>
          <w:color w:val="000000" w:themeColor="text1"/>
        </w:rPr>
        <w:t xml:space="preserve"> aphid alarm pheromone, </w:t>
      </w:r>
      <w:r w:rsidR="009E26F8" w:rsidRPr="005629D6">
        <w:rPr>
          <w:color w:val="000000" w:themeColor="text1"/>
        </w:rPr>
        <w:t>(</w:t>
      </w:r>
      <w:r w:rsidR="009E26F8" w:rsidRPr="005629D6">
        <w:rPr>
          <w:i/>
          <w:iCs/>
          <w:color w:val="000000" w:themeColor="text1"/>
        </w:rPr>
        <w:t>E</w:t>
      </w:r>
      <w:r w:rsidR="009E26F8" w:rsidRPr="005629D6">
        <w:rPr>
          <w:color w:val="000000" w:themeColor="text1"/>
        </w:rPr>
        <w:t>)-</w:t>
      </w:r>
      <w:r w:rsidR="009E26F8" w:rsidRPr="005629D6">
        <w:rPr>
          <w:rFonts w:cstheme="minorHAnsi"/>
          <w:color w:val="000000" w:themeColor="text1"/>
        </w:rPr>
        <w:t>β</w:t>
      </w:r>
      <w:r w:rsidR="009E26F8" w:rsidRPr="005629D6">
        <w:rPr>
          <w:color w:val="000000" w:themeColor="text1"/>
        </w:rPr>
        <w:t>-</w:t>
      </w:r>
      <w:proofErr w:type="spellStart"/>
      <w:r w:rsidR="009E26F8" w:rsidRPr="005629D6">
        <w:rPr>
          <w:color w:val="000000" w:themeColor="text1"/>
        </w:rPr>
        <w:t>farnesene</w:t>
      </w:r>
      <w:proofErr w:type="spellEnd"/>
      <w:r w:rsidR="009E26F8" w:rsidRPr="005629D6">
        <w:rPr>
          <w:color w:val="000000" w:themeColor="text1"/>
        </w:rPr>
        <w:t xml:space="preserve"> (EBF)</w:t>
      </w:r>
      <w:r w:rsidR="00AA6CA9" w:rsidRPr="005629D6">
        <w:rPr>
          <w:color w:val="000000" w:themeColor="text1"/>
        </w:rPr>
        <w:t xml:space="preserve"> and</w:t>
      </w:r>
      <w:r w:rsidR="005361D6" w:rsidRPr="005629D6">
        <w:rPr>
          <w:color w:val="000000" w:themeColor="text1"/>
        </w:rPr>
        <w:t xml:space="preserve"> </w:t>
      </w:r>
      <w:r w:rsidR="00A525A0" w:rsidRPr="005629D6">
        <w:rPr>
          <w:color w:val="000000" w:themeColor="text1"/>
        </w:rPr>
        <w:t>geranyl</w:t>
      </w:r>
      <w:r w:rsidR="005361D6" w:rsidRPr="005629D6">
        <w:rPr>
          <w:color w:val="000000" w:themeColor="text1"/>
        </w:rPr>
        <w:t xml:space="preserve"> acetate (GA)</w:t>
      </w:r>
      <w:r w:rsidR="00695F3B" w:rsidRPr="005629D6">
        <w:rPr>
          <w:color w:val="000000" w:themeColor="text1"/>
        </w:rPr>
        <w:t>.</w:t>
      </w:r>
      <w:r w:rsidR="00A525A0" w:rsidRPr="005629D6">
        <w:rPr>
          <w:color w:val="000000" w:themeColor="text1"/>
        </w:rPr>
        <w:fldChar w:fldCharType="begin" w:fldLock="1"/>
      </w:r>
      <w:r w:rsidR="000D52F2" w:rsidRPr="005629D6">
        <w:rPr>
          <w:color w:val="000000" w:themeColor="text1"/>
        </w:rPr>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mendeley":{"formattedCitation":"&lt;sup&gt;20&lt;/sup&gt;","plainTextFormattedCitation":"20","previouslyFormattedCitation":"&lt;sup&gt;20&lt;/sup&gt;"},"properties":{"noteIndex":0},"schema":"https://github.com/citation-style-language/schema/raw/master/csl-citation.json"}</w:instrText>
      </w:r>
      <w:r w:rsidR="00A525A0" w:rsidRPr="005629D6">
        <w:rPr>
          <w:color w:val="000000" w:themeColor="text1"/>
        </w:rPr>
        <w:fldChar w:fldCharType="separate"/>
      </w:r>
      <w:r w:rsidR="002F2ECE" w:rsidRPr="005629D6">
        <w:rPr>
          <w:noProof/>
          <w:color w:val="000000" w:themeColor="text1"/>
          <w:vertAlign w:val="superscript"/>
        </w:rPr>
        <w:t>20</w:t>
      </w:r>
      <w:r w:rsidR="00A525A0" w:rsidRPr="005629D6">
        <w:rPr>
          <w:color w:val="000000" w:themeColor="text1"/>
        </w:rPr>
        <w:fldChar w:fldCharType="end"/>
      </w:r>
      <w:r w:rsidR="005361D6" w:rsidRPr="005629D6">
        <w:rPr>
          <w:color w:val="000000" w:themeColor="text1"/>
        </w:rPr>
        <w:t xml:space="preserve"> Knockdown mutants (a</w:t>
      </w:r>
      <w:r w:rsidRPr="005629D6">
        <w:rPr>
          <w:color w:val="000000" w:themeColor="text1"/>
        </w:rPr>
        <w:t xml:space="preserve">phids with </w:t>
      </w:r>
      <w:r w:rsidR="008A751B" w:rsidRPr="005629D6">
        <w:rPr>
          <w:color w:val="000000" w:themeColor="text1"/>
        </w:rPr>
        <w:t xml:space="preserve">significantly reduced </w:t>
      </w:r>
      <w:r w:rsidR="00AA6CA9" w:rsidRPr="005629D6">
        <w:rPr>
          <w:color w:val="000000" w:themeColor="text1"/>
        </w:rPr>
        <w:t>Apis</w:t>
      </w:r>
      <w:r w:rsidRPr="005629D6">
        <w:rPr>
          <w:color w:val="000000" w:themeColor="text1"/>
        </w:rPr>
        <w:t xml:space="preserve">OR5 </w:t>
      </w:r>
      <w:r w:rsidR="005361D6" w:rsidRPr="005629D6">
        <w:rPr>
          <w:color w:val="000000" w:themeColor="text1"/>
        </w:rPr>
        <w:t>expression) were rendered</w:t>
      </w:r>
      <w:r w:rsidR="00AC4941" w:rsidRPr="005629D6">
        <w:rPr>
          <w:color w:val="000000" w:themeColor="text1"/>
        </w:rPr>
        <w:t xml:space="preserve"> </w:t>
      </w:r>
      <w:r w:rsidRPr="005629D6">
        <w:rPr>
          <w:color w:val="000000" w:themeColor="text1"/>
        </w:rPr>
        <w:t xml:space="preserve">unresponsive, both behaviourally and </w:t>
      </w:r>
      <w:proofErr w:type="spellStart"/>
      <w:r w:rsidRPr="005629D6">
        <w:rPr>
          <w:color w:val="000000" w:themeColor="text1"/>
        </w:rPr>
        <w:t>electrophysiologically</w:t>
      </w:r>
      <w:proofErr w:type="spellEnd"/>
      <w:r w:rsidRPr="005629D6">
        <w:rPr>
          <w:color w:val="000000" w:themeColor="text1"/>
        </w:rPr>
        <w:t>, to EBF</w:t>
      </w:r>
      <w:r w:rsidR="00695F3B" w:rsidRPr="005629D6">
        <w:rPr>
          <w:color w:val="000000" w:themeColor="text1"/>
        </w:rPr>
        <w:t>.</w:t>
      </w:r>
      <w:r w:rsidR="00B54582" w:rsidRPr="005629D6">
        <w:rPr>
          <w:color w:val="000000" w:themeColor="text1"/>
        </w:rPr>
        <w:fldChar w:fldCharType="begin" w:fldLock="1"/>
      </w:r>
      <w:r w:rsidR="000D52F2" w:rsidRPr="005629D6">
        <w:rPr>
          <w:color w:val="000000" w:themeColor="text1"/>
        </w:rPr>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mendeley":{"formattedCitation":"&lt;sup&gt;20&lt;/sup&gt;","plainTextFormattedCitation":"20","previouslyFormattedCitation":"&lt;sup&gt;20&lt;/sup&gt;"},"properties":{"noteIndex":0},"schema":"https://github.com/citation-style-language/schema/raw/master/csl-citation.json"}</w:instrText>
      </w:r>
      <w:r w:rsidR="00B54582" w:rsidRPr="005629D6">
        <w:rPr>
          <w:color w:val="000000" w:themeColor="text1"/>
        </w:rPr>
        <w:fldChar w:fldCharType="separate"/>
      </w:r>
      <w:r w:rsidR="002F2ECE" w:rsidRPr="005629D6">
        <w:rPr>
          <w:noProof/>
          <w:color w:val="000000" w:themeColor="text1"/>
          <w:vertAlign w:val="superscript"/>
        </w:rPr>
        <w:t>20</w:t>
      </w:r>
      <w:r w:rsidR="00B54582" w:rsidRPr="005629D6">
        <w:rPr>
          <w:color w:val="000000" w:themeColor="text1"/>
        </w:rPr>
        <w:fldChar w:fldCharType="end"/>
      </w:r>
      <w:r w:rsidR="004B5459" w:rsidRPr="005629D6">
        <w:rPr>
          <w:color w:val="000000" w:themeColor="text1"/>
        </w:rPr>
        <w:t xml:space="preserve"> </w:t>
      </w:r>
      <w:r w:rsidR="00A35215" w:rsidRPr="005629D6">
        <w:rPr>
          <w:color w:val="000000" w:themeColor="text1"/>
        </w:rPr>
        <w:t>O</w:t>
      </w:r>
      <w:r w:rsidR="004B5459" w:rsidRPr="005629D6">
        <w:rPr>
          <w:color w:val="000000" w:themeColor="text1"/>
        </w:rPr>
        <w:t>dorant</w:t>
      </w:r>
      <w:r w:rsidR="00E60A69" w:rsidRPr="005629D6">
        <w:rPr>
          <w:color w:val="000000" w:themeColor="text1"/>
        </w:rPr>
        <w:t xml:space="preserve"> </w:t>
      </w:r>
      <w:r w:rsidR="004B5459" w:rsidRPr="005629D6">
        <w:rPr>
          <w:color w:val="000000" w:themeColor="text1"/>
        </w:rPr>
        <w:t>receptor 4 (</w:t>
      </w:r>
      <w:r w:rsidR="00AA6CA9" w:rsidRPr="005629D6">
        <w:rPr>
          <w:color w:val="000000" w:themeColor="text1"/>
        </w:rPr>
        <w:t>Apis</w:t>
      </w:r>
      <w:r w:rsidR="004B5459" w:rsidRPr="005629D6">
        <w:rPr>
          <w:color w:val="000000" w:themeColor="text1"/>
        </w:rPr>
        <w:t>OR4)</w:t>
      </w:r>
      <w:r w:rsidR="00A35215" w:rsidRPr="005629D6">
        <w:rPr>
          <w:color w:val="000000" w:themeColor="text1"/>
        </w:rPr>
        <w:t xml:space="preserve"> has also been characterised, and has been </w:t>
      </w:r>
      <w:r w:rsidR="00AC46BA" w:rsidRPr="005629D6">
        <w:rPr>
          <w:color w:val="000000" w:themeColor="text1"/>
        </w:rPr>
        <w:t xml:space="preserve">shown to bind </w:t>
      </w:r>
      <w:r w:rsidR="00E60A69" w:rsidRPr="005629D6">
        <w:rPr>
          <w:color w:val="000000" w:themeColor="text1"/>
        </w:rPr>
        <w:t xml:space="preserve">to </w:t>
      </w:r>
      <w:r w:rsidR="00AC46BA" w:rsidRPr="005629D6">
        <w:rPr>
          <w:color w:val="000000" w:themeColor="text1"/>
        </w:rPr>
        <w:t>eight plant volatiles</w:t>
      </w:r>
      <w:r w:rsidR="00A35215" w:rsidRPr="005629D6">
        <w:rPr>
          <w:color w:val="000000" w:themeColor="text1"/>
        </w:rPr>
        <w:t xml:space="preserve"> </w:t>
      </w:r>
      <w:r w:rsidR="00916473" w:rsidRPr="005629D6">
        <w:rPr>
          <w:i/>
          <w:iCs/>
          <w:color w:val="000000" w:themeColor="text1"/>
        </w:rPr>
        <w:t>in vitro</w:t>
      </w:r>
      <w:r w:rsidR="00916473" w:rsidRPr="005629D6">
        <w:rPr>
          <w:color w:val="000000" w:themeColor="text1"/>
        </w:rPr>
        <w:t xml:space="preserve"> </w:t>
      </w:r>
      <w:r w:rsidR="008A751B" w:rsidRPr="005629D6">
        <w:rPr>
          <w:color w:val="000000" w:themeColor="text1"/>
        </w:rPr>
        <w:t xml:space="preserve">using </w:t>
      </w:r>
      <w:r w:rsidR="00916473" w:rsidRPr="005629D6">
        <w:rPr>
          <w:color w:val="000000" w:themeColor="text1"/>
        </w:rPr>
        <w:t>electrophysiological</w:t>
      </w:r>
      <w:r w:rsidR="00AC46BA" w:rsidRPr="005629D6">
        <w:rPr>
          <w:color w:val="000000" w:themeColor="text1"/>
        </w:rPr>
        <w:t xml:space="preserve"> assays</w:t>
      </w:r>
      <w:r w:rsidR="00695F3B" w:rsidRPr="005629D6">
        <w:rPr>
          <w:color w:val="000000" w:themeColor="text1"/>
        </w:rPr>
        <w:t>.</w:t>
      </w:r>
      <w:r w:rsidR="007C1068" w:rsidRPr="005629D6">
        <w:rPr>
          <w:color w:val="000000" w:themeColor="text1"/>
        </w:rPr>
        <w:fldChar w:fldCharType="begin" w:fldLock="1"/>
      </w:r>
      <w:r w:rsidR="002F2ECE" w:rsidRPr="005629D6">
        <w:rPr>
          <w:color w:val="000000" w:themeColor="text1"/>
        </w:rPr>
        <w:instrText>ADDIN CSL_CITATION {"citationItems":[{"id":"ITEM-1","itemData":{"DOI":"10.1111/1744-7917.12510","ISSN":"17447917","abstract":"The sensitive olfactory system is necessary for survival of insects. Odorant receptors (ORs) are located on the dendrites of olfactory receptor neurons and play a critical role in odor detection. Insect ORs are functionally analyzed via heterologous expression in a Xenopus oocyte system using a two-electrode voltage-clamp (TEVC) electrophysiological recording. Here, we have identified a novel OR in the pea aphid, Acyrthosiphon pisum, then we cloned and named it ApisOR4. We analyzed the ApisOR4 tissue expression patterns and found expression only in antennae tissues. Further functional analysis using TEVC revealed that ApisOR4 is broadly tuned to eight volatiles, which elicit electrophysiological response in pea aphid antennae. This study provides an initial functional analysis of aphid ORs and identifies candidate volatiles to be used in developing new strategies for aphid control.","author":[{"dropping-particle":"Bin","family":"Zhang","given":"Rui","non-dropping-particle":"","parse-names":false,"suffix":""},{"dropping-particle":"","family":"Liu","given":"Yang","non-dropping-particle":"","parse-names":false,"suffix":""},{"dropping-particle":"","family":"Yan","given":"Shan Chun","non-dropping-particle":"","parse-names":false,"suffix":""},{"dropping-particle":"","family":"Wang","given":"Gui Rong","non-dropping-particle":"","parse-names":false,"suffix":""}],"container-title":"Insect Science","id":"ITEM-1","issue":"1","issued":{"date-parts":[["2019"]]},"page":"58-67","title":"Identification and functional characterization of an odorant receptor in pea aphid, Acyrthosiphon pisum","type":"article-journal","volume":"26"},"uris":["http://www.mendeley.com/documents/?uuid=68bbaab8-8f01-4596-a815-9e8b93d72662"]}],"mendeley":{"formattedCitation":"&lt;sup&gt;37&lt;/sup&gt;","plainTextFormattedCitation":"37","previouslyFormattedCitation":"&lt;sup&gt;37&lt;/sup&gt;"},"properties":{"noteIndex":0},"schema":"https://github.com/citation-style-language/schema/raw/master/csl-citation.json"}</w:instrText>
      </w:r>
      <w:r w:rsidR="007C1068" w:rsidRPr="005629D6">
        <w:rPr>
          <w:color w:val="000000" w:themeColor="text1"/>
        </w:rPr>
        <w:fldChar w:fldCharType="separate"/>
      </w:r>
      <w:r w:rsidR="009119FC" w:rsidRPr="005629D6">
        <w:rPr>
          <w:noProof/>
          <w:color w:val="000000" w:themeColor="text1"/>
          <w:vertAlign w:val="superscript"/>
        </w:rPr>
        <w:t>37</w:t>
      </w:r>
      <w:r w:rsidR="007C1068" w:rsidRPr="005629D6">
        <w:rPr>
          <w:color w:val="000000" w:themeColor="text1"/>
        </w:rPr>
        <w:fldChar w:fldCharType="end"/>
      </w:r>
      <w:r w:rsidR="001D5626" w:rsidRPr="005629D6">
        <w:rPr>
          <w:color w:val="000000" w:themeColor="text1"/>
        </w:rPr>
        <w:t xml:space="preserve"> </w:t>
      </w:r>
      <w:r w:rsidR="00E10236" w:rsidRPr="005629D6">
        <w:rPr>
          <w:color w:val="000000" w:themeColor="text1"/>
        </w:rPr>
        <w:t>Both</w:t>
      </w:r>
      <w:r w:rsidR="00AA6CA9" w:rsidRPr="005629D6">
        <w:rPr>
          <w:color w:val="000000" w:themeColor="text1"/>
        </w:rPr>
        <w:t xml:space="preserve"> </w:t>
      </w:r>
      <w:r w:rsidR="008A751B" w:rsidRPr="005629D6">
        <w:rPr>
          <w:color w:val="000000" w:themeColor="text1"/>
        </w:rPr>
        <w:t xml:space="preserve">of these </w:t>
      </w:r>
      <w:r w:rsidR="00AA6CA9" w:rsidRPr="005629D6">
        <w:rPr>
          <w:i/>
          <w:iCs/>
          <w:color w:val="000000" w:themeColor="text1"/>
        </w:rPr>
        <w:t xml:space="preserve">A. </w:t>
      </w:r>
      <w:proofErr w:type="spellStart"/>
      <w:r w:rsidR="00AA6CA9" w:rsidRPr="005629D6">
        <w:rPr>
          <w:i/>
          <w:iCs/>
          <w:color w:val="000000" w:themeColor="text1"/>
        </w:rPr>
        <w:t>pisum</w:t>
      </w:r>
      <w:proofErr w:type="spellEnd"/>
      <w:r w:rsidR="00E10236" w:rsidRPr="005629D6">
        <w:rPr>
          <w:color w:val="000000" w:themeColor="text1"/>
        </w:rPr>
        <w:t xml:space="preserve"> </w:t>
      </w:r>
      <w:r w:rsidR="008A751B" w:rsidRPr="005629D6">
        <w:rPr>
          <w:color w:val="000000" w:themeColor="text1"/>
        </w:rPr>
        <w:t xml:space="preserve">ORs </w:t>
      </w:r>
      <w:r w:rsidR="009E26F8" w:rsidRPr="005629D6">
        <w:rPr>
          <w:color w:val="000000" w:themeColor="text1"/>
        </w:rPr>
        <w:t>do not display</w:t>
      </w:r>
      <w:r w:rsidR="00E10236" w:rsidRPr="005629D6">
        <w:rPr>
          <w:color w:val="000000" w:themeColor="text1"/>
        </w:rPr>
        <w:t xml:space="preserve"> specific</w:t>
      </w:r>
      <w:r w:rsidR="009E26F8" w:rsidRPr="005629D6">
        <w:rPr>
          <w:color w:val="000000" w:themeColor="text1"/>
        </w:rPr>
        <w:t>ity</w:t>
      </w:r>
      <w:r w:rsidR="00323C10" w:rsidRPr="005629D6">
        <w:rPr>
          <w:color w:val="000000" w:themeColor="text1"/>
        </w:rPr>
        <w:t xml:space="preserve"> </w:t>
      </w:r>
      <w:r w:rsidR="009E26F8" w:rsidRPr="005629D6">
        <w:rPr>
          <w:color w:val="000000" w:themeColor="text1"/>
        </w:rPr>
        <w:t>for</w:t>
      </w:r>
      <w:r w:rsidR="00323C10" w:rsidRPr="005629D6">
        <w:rPr>
          <w:color w:val="000000" w:themeColor="text1"/>
        </w:rPr>
        <w:t xml:space="preserve"> </w:t>
      </w:r>
      <w:r w:rsidR="00AA6CA9" w:rsidRPr="005629D6">
        <w:rPr>
          <w:color w:val="000000" w:themeColor="text1"/>
        </w:rPr>
        <w:t xml:space="preserve">a </w:t>
      </w:r>
      <w:r w:rsidR="00157AC1" w:rsidRPr="005629D6">
        <w:rPr>
          <w:color w:val="000000" w:themeColor="text1"/>
        </w:rPr>
        <w:t xml:space="preserve">single </w:t>
      </w:r>
      <w:r w:rsidR="00323C10" w:rsidRPr="005629D6">
        <w:rPr>
          <w:color w:val="000000" w:themeColor="text1"/>
        </w:rPr>
        <w:t xml:space="preserve">ligand, a </w:t>
      </w:r>
      <w:r w:rsidR="002340C2" w:rsidRPr="005629D6">
        <w:rPr>
          <w:color w:val="000000" w:themeColor="text1"/>
        </w:rPr>
        <w:t>feature</w:t>
      </w:r>
      <w:r w:rsidR="00323C10" w:rsidRPr="005629D6">
        <w:rPr>
          <w:color w:val="000000" w:themeColor="text1"/>
        </w:rPr>
        <w:t xml:space="preserve"> </w:t>
      </w:r>
      <w:r w:rsidR="00157AC1" w:rsidRPr="005629D6">
        <w:rPr>
          <w:color w:val="000000" w:themeColor="text1"/>
        </w:rPr>
        <w:t>observed in many</w:t>
      </w:r>
      <w:r w:rsidR="00323C10" w:rsidRPr="005629D6">
        <w:rPr>
          <w:color w:val="000000" w:themeColor="text1"/>
        </w:rPr>
        <w:t xml:space="preserve"> </w:t>
      </w:r>
      <w:r w:rsidR="002340C2" w:rsidRPr="005629D6">
        <w:rPr>
          <w:color w:val="000000" w:themeColor="text1"/>
        </w:rPr>
        <w:t xml:space="preserve">functionalised </w:t>
      </w:r>
      <w:r w:rsidR="00323C10" w:rsidRPr="005629D6">
        <w:rPr>
          <w:color w:val="000000" w:themeColor="text1"/>
        </w:rPr>
        <w:t xml:space="preserve">insect ORs. ORs </w:t>
      </w:r>
      <w:r w:rsidR="009E2517" w:rsidRPr="005629D6">
        <w:rPr>
          <w:color w:val="000000" w:themeColor="text1"/>
        </w:rPr>
        <w:t>often</w:t>
      </w:r>
      <w:r w:rsidR="00323C10" w:rsidRPr="005629D6">
        <w:rPr>
          <w:color w:val="000000" w:themeColor="text1"/>
        </w:rPr>
        <w:t xml:space="preserve"> bind multiple ligands, and multiple ORs are often capable of binding the same ligand</w:t>
      </w:r>
      <w:r w:rsidR="00695F3B" w:rsidRPr="005629D6">
        <w:rPr>
          <w:color w:val="000000" w:themeColor="text1"/>
        </w:rPr>
        <w:t>.</w:t>
      </w:r>
      <w:r w:rsidR="00954D6B" w:rsidRPr="005629D6">
        <w:rPr>
          <w:color w:val="000000" w:themeColor="text1"/>
        </w:rPr>
        <w:fldChar w:fldCharType="begin" w:fldLock="1"/>
      </w:r>
      <w:r w:rsidR="002F2ECE" w:rsidRPr="005629D6">
        <w:rPr>
          <w:color w:val="000000" w:themeColor="text1"/>
        </w:rPr>
        <w:instrText>ADDIN CSL_CITATION {"citationItems":[{"id":"ITEM-1","itemData":{"DOI":"10.3389/fevo.2015.00039","ISSN":"2296701X","abstract":"The molecular basis of odorant detection and its corollary, the task of the odorant receptor, are fundamental to understanding olfactory coding and sensory ecology. Based on their molecular receptive range, olfactory receptors have been classified as pheromone and non-pheromone receptors, which are respectively activated by a single pheromone component (\"specialist\") or by multiple odorant ligands (\"generalist\"). This functional distinction is unique among ligand-gated ion channels and has shaped how we model olfactory coding both at the peripheral and central levels. Here, we revisit the long-standing combinatorial theory of olfaction and argue, based on physiological, pharmacological, evolutionary, and experimental grounds that the task of the odorant receptor is not different from that of neurotransmitter receptors localized in neuronal synapses.","author":[{"dropping-particle":"","family":"Bohbot","given":"Jonathan D.","non-dropping-particle":"","parse-names":false,"suffix":""},{"dropping-particle":"","family":"Pitts","given":"Ronald J.","non-dropping-particle":"","parse-names":false,"suffix":""}],"container-title":"Frontiers in Ecology and Evolution","id":"ITEM-1","issue":"APR","issued":{"date-parts":[["2015"]]},"page":"1-10","title":"The narrowing olfactory landscape of insect odorant receptors","type":"article-journal","volume":"3"},"uris":["http://www.mendeley.com/documents/?uuid=9354c24e-9965-48ff-8577-fb663713c519"]}],"mendeley":{"formattedCitation":"&lt;sup&gt;38&lt;/sup&gt;","plainTextFormattedCitation":"38","previouslyFormattedCitation":"&lt;sup&gt;38&lt;/sup&gt;"},"properties":{"noteIndex":0},"schema":"https://github.com/citation-style-language/schema/raw/master/csl-citation.json"}</w:instrText>
      </w:r>
      <w:r w:rsidR="00954D6B" w:rsidRPr="005629D6">
        <w:rPr>
          <w:color w:val="000000" w:themeColor="text1"/>
        </w:rPr>
        <w:fldChar w:fldCharType="separate"/>
      </w:r>
      <w:r w:rsidR="009119FC" w:rsidRPr="005629D6">
        <w:rPr>
          <w:noProof/>
          <w:color w:val="000000" w:themeColor="text1"/>
          <w:vertAlign w:val="superscript"/>
        </w:rPr>
        <w:t>38</w:t>
      </w:r>
      <w:r w:rsidR="00954D6B" w:rsidRPr="005629D6">
        <w:rPr>
          <w:color w:val="000000" w:themeColor="text1"/>
        </w:rPr>
        <w:fldChar w:fldCharType="end"/>
      </w:r>
      <w:r w:rsidR="00323C10" w:rsidRPr="005629D6">
        <w:rPr>
          <w:color w:val="000000" w:themeColor="text1"/>
        </w:rPr>
        <w:t xml:space="preserve"> </w:t>
      </w:r>
      <w:r w:rsidR="008E255F" w:rsidRPr="005629D6">
        <w:rPr>
          <w:color w:val="000000" w:themeColor="text1"/>
        </w:rPr>
        <w:t xml:space="preserve"> In addition to ORs, OBPs have also been extensively characterised in </w:t>
      </w:r>
      <w:r w:rsidR="008E255F" w:rsidRPr="005629D6">
        <w:rPr>
          <w:i/>
          <w:iCs/>
          <w:color w:val="000000" w:themeColor="text1"/>
        </w:rPr>
        <w:t xml:space="preserve">A. </w:t>
      </w:r>
      <w:proofErr w:type="spellStart"/>
      <w:r w:rsidR="008E255F" w:rsidRPr="005629D6">
        <w:rPr>
          <w:i/>
          <w:iCs/>
          <w:color w:val="000000" w:themeColor="text1"/>
        </w:rPr>
        <w:t>pisum</w:t>
      </w:r>
      <w:proofErr w:type="spellEnd"/>
      <w:r w:rsidR="008E255F" w:rsidRPr="005629D6">
        <w:rPr>
          <w:color w:val="000000" w:themeColor="text1"/>
        </w:rPr>
        <w:t xml:space="preserve">, </w:t>
      </w:r>
      <w:r w:rsidR="00E82102" w:rsidRPr="005629D6">
        <w:rPr>
          <w:color w:val="000000" w:themeColor="text1"/>
        </w:rPr>
        <w:t>al</w:t>
      </w:r>
      <w:r w:rsidR="000D52F2" w:rsidRPr="005629D6">
        <w:rPr>
          <w:color w:val="000000" w:themeColor="text1"/>
        </w:rPr>
        <w:t xml:space="preserve">though </w:t>
      </w:r>
      <w:r w:rsidR="00E82102" w:rsidRPr="005629D6">
        <w:rPr>
          <w:color w:val="000000" w:themeColor="text1"/>
        </w:rPr>
        <w:t>neither</w:t>
      </w:r>
      <w:r w:rsidR="000D52F2" w:rsidRPr="005629D6">
        <w:rPr>
          <w:color w:val="000000" w:themeColor="text1"/>
        </w:rPr>
        <w:t xml:space="preserve"> an OR </w:t>
      </w:r>
      <w:proofErr w:type="spellStart"/>
      <w:r w:rsidR="000D52F2" w:rsidRPr="005629D6">
        <w:rPr>
          <w:color w:val="000000" w:themeColor="text1"/>
        </w:rPr>
        <w:t>or</w:t>
      </w:r>
      <w:proofErr w:type="spellEnd"/>
      <w:r w:rsidR="000D52F2" w:rsidRPr="005629D6">
        <w:rPr>
          <w:color w:val="000000" w:themeColor="text1"/>
        </w:rPr>
        <w:t xml:space="preserve"> </w:t>
      </w:r>
      <w:r w:rsidR="00863AD3" w:rsidRPr="005629D6">
        <w:rPr>
          <w:color w:val="000000" w:themeColor="text1"/>
        </w:rPr>
        <w:t xml:space="preserve">an </w:t>
      </w:r>
      <w:r w:rsidR="000D52F2" w:rsidRPr="005629D6">
        <w:rPr>
          <w:color w:val="000000" w:themeColor="text1"/>
        </w:rPr>
        <w:t xml:space="preserve">OBP involved in sex pheromone perception </w:t>
      </w:r>
      <w:r w:rsidR="00501578" w:rsidRPr="005629D6">
        <w:rPr>
          <w:color w:val="000000" w:themeColor="text1"/>
        </w:rPr>
        <w:t>has been characterised</w:t>
      </w:r>
      <w:r w:rsidR="000D52F2" w:rsidRPr="005629D6">
        <w:rPr>
          <w:color w:val="000000" w:themeColor="text1"/>
        </w:rPr>
        <w:t>.</w:t>
      </w:r>
      <w:r w:rsidR="000D52F2" w:rsidRPr="005629D6">
        <w:rPr>
          <w:color w:val="000000" w:themeColor="text1"/>
        </w:rPr>
        <w:fldChar w:fldCharType="begin" w:fldLock="1"/>
      </w:r>
      <w:r w:rsidR="00723DD9" w:rsidRPr="005629D6">
        <w:rPr>
          <w:color w:val="000000" w:themeColor="text1"/>
        </w:rPr>
        <w:instrText>ADDIN CSL_CITATION {"citationItems":[{"id":"ITEM-1","itemData":{"DOI":"10.1016/j.ibmb.2009.03.004","ISBN":"0965-1748","ISSN":"09651748","PMID":"19328854","abstract":"OBPs have been recently demonstrated to be required for odour perception in insects and directly involved in odour discrimination. In aphids they might represent new interesting targets for the control of their population in agriculture. Based on sequence information available in the EST database, we have cloned four genes encoding odorant-binding proteins (OBP) in Acyrthosiphon pisum and homologous genes in other aphid species. Unlike OBPs from other orders of insects, that are greatly divergent, in aphids these proteins have been found to be highly conserved, with differences between species limited to only few amino acid substitutions. On the contrary, similarities between OBP sequences of the same species are poor with 31% or less of identical amino acids. Three selected OBPs (OBP1, OBP3 and OBP8) have been expressed in bacteria and purified. Ligand-binding experiments have shown similar behaviour of the three proteins towards several organic compounds, but also some significant selectivities. In particular, (E)-??-farnesene, the alarm pheromone and its related compound farnesol exhibited good affinity to OBP3, but did not bind the other two proteins. We suggest that OBP3 could mediate response of aphids to the alarm pheromone. ?? 2009 Elsevier Ltd. All rights reserved.","author":[{"dropping-particle":"","family":"Qiao","given":"Huili","non-dropping-particle":"","parse-names":false,"suffix":""},{"dropping-particle":"","family":"Tuccori","given":"Elena","non-dropping-particle":"","parse-names":false,"suffix":""},{"dropping-particle":"","family":"He","given":"Xiaoli","non-dropping-particle":"","parse-names":false,"suffix":""},{"dropping-particle":"","family":"Gazzano","given":"Angelo","non-dropping-particle":"","parse-names":false,"suffix":""},{"dropping-particle":"","family":"Field","given":"Linda","non-dropping-particle":"","parse-names":false,"suffix":""},{"dropping-particle":"","family":"Zhou","given":"Jing Jiang","non-dropping-particle":"","parse-names":false,"suffix":""},{"dropping-particle":"","family":"Pelosi","given":"Paolo","non-dropping-particle":"","parse-names":false,"suffix":""}],"container-title":"Insect Biochemistry and Molecular Biology","id":"ITEM-1","issue":"5-6","issued":{"date-parts":[["2009"]]},"page":"414-419","publisher":"Elsevier Ltd","title":"Discrimination of alarm pheromone (E)-β-farnesene by aphid odorant-binding proteins","type":"article-journal","volume":"39"},"uris":["http://www.mendeley.com/documents/?uuid=9b7e647c-9d66-48ae-b01c-ddb47ba7080e"]},{"id":"ITEM-2","itemData":{"DOI":"10.1038/srep24739","ISSN":"20452322","PMID":"27102935","abstract":"Aphids use chemical cues to locate hosts and find mates. The vetch aphid Megoura viciae feeds exclusively on the Fabaceae, whereas the currant-lettuce aphid Nasonovia ribisnigri alternates hosts between the Grossulariaceae and Asteraceae. Both species use alarm pheromones to warn of dangers. For N. ribisnigri this pheromone is a single component (E)-β-farnesene but M. viciae uses a mixture of (E)-β-farnesene, (-)-α-pinene, β-pinene, and limonene. Odorant-binding proteins (OBP) are believed to capture and transport such semiochemicals to their receptors. Here, we report the first aphid OBP crystal structures and examine their molecular interactions with the alarm pheromone components. Our study reveals some unique structural features: 1) the lack of an internal ligand binding site; 2) a striking groove in the surface of the proteins as a putative binding site; 3) the N-terminus rather than the C-terminus occupies the site closing off the conventional OBP pocket. The results from fluorescent binding assays, molecular docking and dynamics demonstrate that OBP3 from M. viciae can bind to all four alarm pheromone components and the differential ligand binding between these very similar OBP3s from the two aphid species is determined mainly by the direct π-π interactions between ligands and the aromatic residues of OBP3s in the binding pocket.","author":[{"dropping-particle":"","family":"Northey","given":"Tom","non-dropping-particle":"","parse-names":false,"suffix":""},{"dropping-particle":"","family":"Venthur","given":"Herbert","non-dropping-particle":"","parse-names":false,"suffix":""},{"dropping-particle":"","family":"Biasio","given":"Filomena","non-dropping-particle":"De","parse-names":false,"suffix":""},{"dropping-particle":"","family":"Chauviac","given":"Francois Xavier","non-dropping-particle":"","parse-names":false,"suffix":""},{"dropping-particle":"","family":"Cole","given":"Ambrose","non-dropping-particle":"","parse-names":false,"suffix":""},{"dropping-particle":"","family":"Ribeiro","given":"Karlos Antonio Lisboa","non-dropping-particle":"","parse-names":false,"suffix":""},{"dropping-particle":"","family":"Grossi","given":"Gerarda","non-dropping-particle":"","parse-names":false,"suffix":""},{"dropping-particle":"","family":"Falabella","given":"Patrizia","non-dropping-particle":"","parse-names":false,"suffix":""},{"dropping-particle":"","family":"Field","given":"Linda M.","non-dropping-particle":"","parse-names":false,"suffix":""},{"dropping-particle":"","family":"Keep","given":"Nicholas H.","non-dropping-particle":"","parse-names":false,"suffix":""},{"dropping-particle":"","family":"Zhou","given":"Jing Jiang","non-dropping-particle":"","parse-names":false,"suffix":""}],"container-title":"Scientific Reports","id":"ITEM-2","issue":"April","issued":{"date-parts":[["2016"]]},"page":"1-13","publisher":"Nature Publishing Group","title":"Crystal structures and binding dynamics of odorant-binding protein 3 from two aphid species Megoura viciae and Nasonovia ribisnigri","type":"article-journal","volume":"6"},"uris":["http://www.mendeley.com/documents/?uuid=87f75076-e5b0-4953-b685-b50bb54d1634"]},{"id":"ITEM-3","itemData":{"DOI":"10.1371/journal.pone.0032759","ISSN":"19326203","abstract":"Background: Aphids are agricultural pests of great economical interest. Alternatives to insecticides, using semiochemicals, are of difficult applications. In fact, sex pheromones are of little use as aphids reproduce partenogenetically most of the time. Besides, the alarm pheromone, (E)-ß-farnesene for a great number of species, is difficult to synthesize and unstable in the environment. The search for novel semiochemicals to be used in population control can be efficiently approached through the study of the olfactory system at the biochemical level. Recently odorant-binding proteins (OBPs) have been shown to play a central role in olfactory recognition, thus becoming the target of choice for designing new semiochemicals. Methodology/Principal Findings: To address the question of how the alarm message is recognised at the level of OBPs, we have tested 29 compounds, including (E)-ß-farnesene, in binding assays with 6 recombinant proteins and in behaviour experiments. We have found that good repellents bind OBP3 and/or OBP7, while non repellents present different spectra of binding. These results have been verified with two species of aphids, Acyrthosiphon pisum and Myzus persicae, both using (E)-ß-farnesene as the alarm pheromone. Conclusions: Our results represent further support to the idea (so far convincingly demonstrated only in Drosophila) that OBPs are involved in decoding the chemical information of odorants and pheromones, and for the first time provide such evidence in other insect species and using wild-type insects. Moreover, the data offer guidelines and protocols for the discovery of potential alarm pheromones, using ligand-binding assays as a preliminary screening before subjecting selected compounds to behaviour tests. © 2012 Sun et al.","author":[{"dropping-particle":"","family":"Sun","given":"Yu Feng","non-dropping-particle":"","parse-names":false,"suffix":""},{"dropping-particle":"","family":"Biasio","given":"Filomena","non-dropping-particle":"de","parse-names":false,"suffix":""},{"dropping-particle":"","family":"Qiao","given":"Hui Li","non-dropping-particle":"","parse-names":false,"suffix":""},{"dropping-particle":"","family":"Iovinella","given":"Immacolata","non-dropping-particle":"","parse-names":false,"suffix":""},{"dropping-particle":"","family":"Yang","given":"Shao Xiang","non-dropping-particle":"","parse-names":false,"suffix":""},{"dropping-particle":"","family":"Ling","given":"Yun","non-dropping-particle":"","parse-names":false,"suffix":""},{"dropping-particle":"","family":"Riviello","given":"Lea","non-dropping-particle":"","parse-names":false,"suffix":""},{"dropping-particle":"","family":"Battaglia","given":"Donatella","non-dropping-particle":"","parse-names":false,"suffix":""},{"dropping-particle":"","family":"Falabella","given":"Patrizia","non-dropping-particle":"","parse-names":false,"suffix":""},{"dropping-particle":"","family":"Yang","given":"Xin Ling","non-dropping-particle":"","parse-names":false,"suffix":""},{"dropping-particle":"","family":"Pelosi","given":"Paolo","non-dropping-particle":"","parse-names":false,"suffix":""}],"container-title":"PLoS ONE","id":"ITEM-3","issue":"3","issued":{"date-parts":[["2012"]]},"page":"1-10","title":"Two odorant-binding proteins mediate the behavioural response of aphids to the alarm pheromone (e)-ß-farnesene and structural analogues","type":"article-journal","volume":"7"},"uris":["http://www.mendeley.com/documents/?uuid=9f5867ac-3720-4e70-a3ca-c7eb999187a4"]},{"id":"ITEM-4","itemData":{"DOI":"10.1111/1744-7917.12118","ISBN":"1744-7917","ISSN":"1744-7917","PMID":"24591440","abstract":"Odorant-binding proteins (OBPs) are soluble proteins mediating chemoreception in insects. In previous research, we investigated the molecular mechanisms adopted by aphids to detect the alarm pheromone (E)-β-farnesene and we found that the recognition of this and structurally related molecules is mediated by OBP3 and OBP7. Here, we show the differential expression patterns of 5 selected OBPs (OBP1, OBP3, OBP6, OBP7, OBP8) obtained performing quantitative RT-PCR and immunolocalization experiments in different body parts of adults and in the 5 developmental instars, including winged and unwinged morphs, of the pea aphid Acyrthosiphon pisum. The results provide an overall picture that allows us to speculate on the relationship between the differential expression of OBPs and their putative function. The expression of OBP3, OBP6, and OBP7 in the antennal sensilla suggests a chemosensory function for these proteins, whereas the constant expression level of OBP8 in all instars could suggest a conserved role. Moreover, OBP1 and OBP3 are also expressed in nonsensory organs. A light and scanning electron microscopy study of sensilla on different body parts of aphid, in particular antennae, legs, mouthparts, and cornicles-cauda, completes this research providing a guide to facilitate the mapping of OBP expression profiles.","author":[{"dropping-particle":"","family":"Biasio","given":"Filomena","non-dropping-particle":"De","parse-names":false,"suffix":""},{"dropping-particle":"","family":"Riviello","given":"Lea","non-dropping-particle":"","parse-names":false,"suffix":""},{"dropping-particle":"","family":"Bruno","given":"Daniele","non-dropping-particle":"","parse-names":false,"suffix":""},{"dropping-particle":"","family":"Grimaldi","given":"Annalisa","non-dropping-particle":"","parse-names":false,"suffix":""},{"dropping-particle":"","family":"Congiu","given":"Terenzio","non-dropping-particle":"","parse-names":false,"suffix":""},{"dropping-particle":"","family":"Sun","given":"Yu Feng","non-dropping-particle":"","parse-names":false,"suffix":""},{"dropping-particle":"","family":"Falabella","given":"Patrizia","non-dropping-particle":"","parse-names":false,"suffix":""}],"container-title":"Insect science","id":"ITEM-4","issued":{"date-parts":[["2014"]]},"page":"1-15","title":"Expression pattern analysis of odorant-binding proteins in the pea aphid &lt;i&gt;Acyrthosiphon pisum.&lt;/i&gt;","type":"article-journal","volume":"00"},"uris":["http://www.mendeley.com/documents/?uuid=748ac6de-33d5-4390-a125-179cf7217c86"]},{"id":"ITEM-5","itemData":{"DOI":"10.1016/j.cub.2016.10.013","ISBN":"09609822","ISSN":"09609822","PMID":"27916525","abstract":"The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Biology","id":"ITEM-5","issue":"1","issued":{"date-parts":[["2017"]]},"page":"55-61","publisher":"Elsevier Ltd.","title":"Molecular Basis of Alarm Pheromone Detection in Aphids","type":"article-journal","volume":"27"},"uris":["http://www.mendeley.com/documents/?uuid=7ba4c0fd-5186-44f3-b962-69bddb791a8e"]}],"mendeley":{"formattedCitation":"&lt;sup&gt;8,20,39–41&lt;/sup&gt;","plainTextFormattedCitation":"8,20,39–41","previouslyFormattedCitation":"&lt;sup&gt;8,20,39–41&lt;/sup&gt;"},"properties":{"noteIndex":0},"schema":"https://github.com/citation-style-language/schema/raw/master/csl-citation.json"}</w:instrText>
      </w:r>
      <w:r w:rsidR="000D52F2" w:rsidRPr="005629D6">
        <w:rPr>
          <w:color w:val="000000" w:themeColor="text1"/>
        </w:rPr>
        <w:fldChar w:fldCharType="separate"/>
      </w:r>
      <w:r w:rsidR="000D52F2" w:rsidRPr="005629D6">
        <w:rPr>
          <w:noProof/>
          <w:color w:val="000000" w:themeColor="text1"/>
          <w:vertAlign w:val="superscript"/>
        </w:rPr>
        <w:t>8,20,39–41</w:t>
      </w:r>
      <w:r w:rsidR="000D52F2" w:rsidRPr="005629D6">
        <w:rPr>
          <w:color w:val="000000" w:themeColor="text1"/>
        </w:rPr>
        <w:fldChar w:fldCharType="end"/>
      </w:r>
    </w:p>
    <w:p w14:paraId="3F7A910B" w14:textId="2E56FD40" w:rsidR="00AA74DF" w:rsidRPr="005629D6" w:rsidRDefault="00E60A69" w:rsidP="00916418">
      <w:pPr>
        <w:rPr>
          <w:color w:val="000000" w:themeColor="text1"/>
        </w:rPr>
      </w:pPr>
      <w:r w:rsidRPr="005629D6">
        <w:rPr>
          <w:color w:val="000000" w:themeColor="text1"/>
        </w:rPr>
        <w:t>Given difficulties associated with expressing and purifying ORs</w:t>
      </w:r>
      <w:r w:rsidR="00053F38" w:rsidRPr="005629D6">
        <w:rPr>
          <w:color w:val="000000" w:themeColor="text1"/>
        </w:rPr>
        <w:t xml:space="preserve"> in general</w:t>
      </w:r>
      <w:r w:rsidRPr="005629D6">
        <w:rPr>
          <w:color w:val="000000" w:themeColor="text1"/>
        </w:rPr>
        <w:t xml:space="preserve">, </w:t>
      </w:r>
      <w:r w:rsidR="00053F38" w:rsidRPr="005629D6">
        <w:rPr>
          <w:color w:val="000000" w:themeColor="text1"/>
        </w:rPr>
        <w:t xml:space="preserve">there is only </w:t>
      </w:r>
      <w:r w:rsidRPr="005629D6">
        <w:rPr>
          <w:color w:val="000000" w:themeColor="text1"/>
        </w:rPr>
        <w:t xml:space="preserve">limited structural data available for </w:t>
      </w:r>
      <w:r w:rsidR="00053F38" w:rsidRPr="005629D6">
        <w:rPr>
          <w:color w:val="000000" w:themeColor="text1"/>
        </w:rPr>
        <w:t xml:space="preserve">insect </w:t>
      </w:r>
      <w:r w:rsidRPr="005629D6">
        <w:rPr>
          <w:color w:val="000000" w:themeColor="text1"/>
        </w:rPr>
        <w:t>ORs.</w:t>
      </w:r>
      <w:r w:rsidR="009C46DD" w:rsidRPr="005629D6">
        <w:rPr>
          <w:color w:val="000000" w:themeColor="text1"/>
        </w:rPr>
        <w:fldChar w:fldCharType="begin" w:fldLock="1"/>
      </w:r>
      <w:r w:rsidR="000D52F2" w:rsidRPr="005629D6">
        <w:rPr>
          <w:color w:val="000000" w:themeColor="text1"/>
        </w:rPr>
        <w:instrText>ADDIN CSL_CITATION {"citationItems":[{"id":"ITEM-1","itemData":{"DOI":"10.1038/s41586-018-0420-8","ISSN":"14764687","PMID":"30111839","abstract":"The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publisher":"Springer US","title":"Cryo-EM structure of the insect olfactory receptor Orco","type":"article-journal","volume":"560"},"uris":["http://www.mendeley.com/documents/?uuid=39008980-944d-4b35-826d-38ce947c6ad8"]},{"id":"ITEM-2","itemData":{"DOI":"10.1038/s41586-021-03794-8","ISSN":"0028-0836","abstract":"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-2","issue":"January","issued":{"date-parts":[["2021"]]},"title":"The structural basis of odorant recognition in insect olfactory receptors","type":"article-journal"},"uris":["http://www.mendeley.com/documents/?uuid=2dec9e12-4bd0-4f9d-97b9-f4ca47b69bef"]}],"mendeley":{"formattedCitation":"&lt;sup&gt;17,18&lt;/sup&gt;","plainTextFormattedCitation":"17,18","previouslyFormattedCitation":"&lt;sup&gt;17,18&lt;/sup&gt;"},"properties":{"noteIndex":0},"schema":"https://github.com/citation-style-language/schema/raw/master/csl-citation.json"}</w:instrText>
      </w:r>
      <w:r w:rsidR="009C46DD" w:rsidRPr="005629D6">
        <w:rPr>
          <w:color w:val="000000" w:themeColor="text1"/>
        </w:rPr>
        <w:fldChar w:fldCharType="separate"/>
      </w:r>
      <w:r w:rsidR="002F2ECE" w:rsidRPr="005629D6">
        <w:rPr>
          <w:noProof/>
          <w:color w:val="000000" w:themeColor="text1"/>
          <w:vertAlign w:val="superscript"/>
        </w:rPr>
        <w:t>17,18</w:t>
      </w:r>
      <w:r w:rsidR="009C46DD" w:rsidRPr="005629D6">
        <w:rPr>
          <w:color w:val="000000" w:themeColor="text1"/>
        </w:rPr>
        <w:fldChar w:fldCharType="end"/>
      </w:r>
      <w:r w:rsidRPr="005629D6">
        <w:rPr>
          <w:color w:val="000000" w:themeColor="text1"/>
        </w:rPr>
        <w:t xml:space="preserve"> Therefore, in t</w:t>
      </w:r>
      <w:r w:rsidR="00894CF0" w:rsidRPr="005629D6">
        <w:rPr>
          <w:color w:val="000000" w:themeColor="text1"/>
        </w:rPr>
        <w:t xml:space="preserve">his </w:t>
      </w:r>
      <w:r w:rsidR="00AD20A1" w:rsidRPr="005629D6">
        <w:rPr>
          <w:color w:val="000000" w:themeColor="text1"/>
        </w:rPr>
        <w:t>study</w:t>
      </w:r>
      <w:r w:rsidR="00894CF0" w:rsidRPr="005629D6">
        <w:rPr>
          <w:color w:val="000000" w:themeColor="text1"/>
        </w:rPr>
        <w:t xml:space="preserve"> </w:t>
      </w:r>
      <w:r w:rsidRPr="005629D6">
        <w:rPr>
          <w:color w:val="000000" w:themeColor="text1"/>
        </w:rPr>
        <w:t xml:space="preserve">we </w:t>
      </w:r>
      <w:r w:rsidR="00894CF0" w:rsidRPr="005629D6">
        <w:rPr>
          <w:color w:val="000000" w:themeColor="text1"/>
        </w:rPr>
        <w:t>aim</w:t>
      </w:r>
      <w:r w:rsidRPr="005629D6">
        <w:rPr>
          <w:color w:val="000000" w:themeColor="text1"/>
        </w:rPr>
        <w:t xml:space="preserve">ed </w:t>
      </w:r>
      <w:r w:rsidR="00894CF0" w:rsidRPr="005629D6">
        <w:rPr>
          <w:color w:val="000000" w:themeColor="text1"/>
        </w:rPr>
        <w:t>to generate homology models of functionally characterised</w:t>
      </w:r>
      <w:r w:rsidR="00916418" w:rsidRPr="005629D6">
        <w:rPr>
          <w:color w:val="000000" w:themeColor="text1"/>
        </w:rPr>
        <w:t xml:space="preserve"> </w:t>
      </w:r>
      <w:r w:rsidR="00894CF0" w:rsidRPr="005629D6">
        <w:rPr>
          <w:color w:val="000000" w:themeColor="text1"/>
        </w:rPr>
        <w:t xml:space="preserve">aphid </w:t>
      </w:r>
      <w:r w:rsidRPr="005629D6">
        <w:rPr>
          <w:color w:val="000000" w:themeColor="text1"/>
        </w:rPr>
        <w:t>ORs</w:t>
      </w:r>
      <w:r w:rsidR="00894CF0" w:rsidRPr="005629D6">
        <w:rPr>
          <w:color w:val="000000" w:themeColor="text1"/>
        </w:rPr>
        <w:t xml:space="preserve"> (</w:t>
      </w:r>
      <w:r w:rsidR="00AA6CA9" w:rsidRPr="005629D6">
        <w:rPr>
          <w:color w:val="000000" w:themeColor="text1"/>
        </w:rPr>
        <w:t>Apis</w:t>
      </w:r>
      <w:r w:rsidR="00894CF0" w:rsidRPr="005629D6">
        <w:rPr>
          <w:color w:val="000000" w:themeColor="text1"/>
        </w:rPr>
        <w:t xml:space="preserve">OR4 and </w:t>
      </w:r>
      <w:r w:rsidR="00AA6CA9" w:rsidRPr="005629D6">
        <w:rPr>
          <w:color w:val="000000" w:themeColor="text1"/>
        </w:rPr>
        <w:t>Apis</w:t>
      </w:r>
      <w:r w:rsidR="00894CF0" w:rsidRPr="005629D6">
        <w:rPr>
          <w:color w:val="000000" w:themeColor="text1"/>
        </w:rPr>
        <w:t>OR5), in addition to</w:t>
      </w:r>
      <w:r w:rsidR="00AB3A85" w:rsidRPr="005629D6">
        <w:rPr>
          <w:color w:val="000000" w:themeColor="text1"/>
        </w:rPr>
        <w:t xml:space="preserve"> </w:t>
      </w:r>
      <w:proofErr w:type="spellStart"/>
      <w:r w:rsidR="008A751B" w:rsidRPr="005629D6">
        <w:rPr>
          <w:color w:val="000000" w:themeColor="text1"/>
        </w:rPr>
        <w:t>Apis</w:t>
      </w:r>
      <w:r w:rsidR="00AB3A85" w:rsidRPr="005629D6">
        <w:rPr>
          <w:color w:val="000000" w:themeColor="text1"/>
        </w:rPr>
        <w:t>ORCO</w:t>
      </w:r>
      <w:proofErr w:type="spellEnd"/>
      <w:r w:rsidR="00053F38" w:rsidRPr="005629D6">
        <w:rPr>
          <w:color w:val="000000" w:themeColor="text1"/>
        </w:rPr>
        <w:t xml:space="preserve"> </w:t>
      </w:r>
      <w:r w:rsidR="00894CF0" w:rsidRPr="005629D6">
        <w:rPr>
          <w:color w:val="000000" w:themeColor="text1"/>
        </w:rPr>
        <w:t>by comparative modelling</w:t>
      </w:r>
      <w:r w:rsidR="00053F38" w:rsidRPr="005629D6">
        <w:rPr>
          <w:color w:val="000000" w:themeColor="text1"/>
        </w:rPr>
        <w:t>,</w:t>
      </w:r>
      <w:r w:rsidR="00894CF0" w:rsidRPr="005629D6">
        <w:rPr>
          <w:color w:val="000000" w:themeColor="text1"/>
        </w:rPr>
        <w:t xml:space="preserve"> with a template of</w:t>
      </w:r>
      <w:r w:rsidR="00894CF0" w:rsidRPr="005629D6">
        <w:rPr>
          <w:i/>
          <w:iCs/>
          <w:color w:val="000000" w:themeColor="text1"/>
        </w:rPr>
        <w:t xml:space="preserve"> </w:t>
      </w:r>
      <w:r w:rsidR="002063D8" w:rsidRPr="005629D6">
        <w:rPr>
          <w:color w:val="000000" w:themeColor="text1"/>
        </w:rPr>
        <w:t xml:space="preserve">ORCO from </w:t>
      </w:r>
      <w:r w:rsidR="008A751B" w:rsidRPr="005629D6">
        <w:rPr>
          <w:i/>
          <w:iCs/>
          <w:color w:val="000000" w:themeColor="text1"/>
        </w:rPr>
        <w:t xml:space="preserve">A. </w:t>
      </w:r>
      <w:proofErr w:type="spellStart"/>
      <w:r w:rsidR="002063D8" w:rsidRPr="005629D6">
        <w:rPr>
          <w:i/>
          <w:iCs/>
          <w:color w:val="000000" w:themeColor="text1"/>
        </w:rPr>
        <w:t>bakeri</w:t>
      </w:r>
      <w:proofErr w:type="spellEnd"/>
      <w:r w:rsidR="002063D8" w:rsidRPr="005629D6">
        <w:rPr>
          <w:color w:val="000000" w:themeColor="text1"/>
        </w:rPr>
        <w:t xml:space="preserve">. </w:t>
      </w:r>
      <w:r w:rsidR="00F02CF7" w:rsidRPr="005629D6">
        <w:rPr>
          <w:color w:val="000000" w:themeColor="text1"/>
        </w:rPr>
        <w:t xml:space="preserve">Predicted </w:t>
      </w:r>
      <w:r w:rsidR="00F9688D" w:rsidRPr="005629D6">
        <w:rPr>
          <w:color w:val="000000" w:themeColor="text1"/>
        </w:rPr>
        <w:t xml:space="preserve">structures </w:t>
      </w:r>
      <w:r w:rsidR="00053F38" w:rsidRPr="005629D6">
        <w:rPr>
          <w:color w:val="000000" w:themeColor="text1"/>
        </w:rPr>
        <w:t>were</w:t>
      </w:r>
      <w:r w:rsidR="00F9688D" w:rsidRPr="005629D6">
        <w:rPr>
          <w:color w:val="000000" w:themeColor="text1"/>
        </w:rPr>
        <w:t xml:space="preserve"> screened against known functional ligands</w:t>
      </w:r>
      <w:r w:rsidR="008D433D" w:rsidRPr="005629D6">
        <w:rPr>
          <w:color w:val="000000" w:themeColor="text1"/>
        </w:rPr>
        <w:t xml:space="preserve"> and the </w:t>
      </w:r>
      <w:r w:rsidR="008D433D" w:rsidRPr="005629D6">
        <w:rPr>
          <w:color w:val="000000" w:themeColor="text1"/>
        </w:rPr>
        <w:lastRenderedPageBreak/>
        <w:t xml:space="preserve">binding sites </w:t>
      </w:r>
      <w:r w:rsidR="00053F38" w:rsidRPr="005629D6">
        <w:rPr>
          <w:color w:val="000000" w:themeColor="text1"/>
        </w:rPr>
        <w:t xml:space="preserve">were </w:t>
      </w:r>
      <w:r w:rsidR="008D433D" w:rsidRPr="005629D6">
        <w:rPr>
          <w:color w:val="000000" w:themeColor="text1"/>
        </w:rPr>
        <w:t>investigated</w:t>
      </w:r>
      <w:r w:rsidR="00A63EEA" w:rsidRPr="005629D6">
        <w:rPr>
          <w:color w:val="000000" w:themeColor="text1"/>
        </w:rPr>
        <w:t>.</w:t>
      </w:r>
      <w:r w:rsidR="00053F38" w:rsidRPr="005629D6">
        <w:rPr>
          <w:color w:val="000000" w:themeColor="text1"/>
        </w:rPr>
        <w:t xml:space="preserve"> Other </w:t>
      </w:r>
      <w:r w:rsidR="008D433D" w:rsidRPr="005629D6">
        <w:rPr>
          <w:color w:val="000000" w:themeColor="text1"/>
        </w:rPr>
        <w:t xml:space="preserve">highly conserved </w:t>
      </w:r>
      <w:r w:rsidR="00695F3B" w:rsidRPr="005629D6">
        <w:rPr>
          <w:i/>
          <w:iCs/>
          <w:color w:val="000000" w:themeColor="text1"/>
        </w:rPr>
        <w:t xml:space="preserve">A. </w:t>
      </w:r>
      <w:proofErr w:type="spellStart"/>
      <w:r w:rsidR="00695F3B" w:rsidRPr="005629D6">
        <w:rPr>
          <w:i/>
          <w:iCs/>
          <w:color w:val="000000" w:themeColor="text1"/>
        </w:rPr>
        <w:t>pisum</w:t>
      </w:r>
      <w:proofErr w:type="spellEnd"/>
      <w:r w:rsidR="00695F3B" w:rsidRPr="005629D6">
        <w:rPr>
          <w:i/>
          <w:iCs/>
          <w:color w:val="000000" w:themeColor="text1"/>
        </w:rPr>
        <w:t xml:space="preserve"> </w:t>
      </w:r>
      <w:r w:rsidR="008D433D" w:rsidRPr="005629D6">
        <w:rPr>
          <w:color w:val="000000" w:themeColor="text1"/>
        </w:rPr>
        <w:t>ORs (</w:t>
      </w:r>
      <w:r w:rsidR="008A751B" w:rsidRPr="005629D6">
        <w:rPr>
          <w:color w:val="000000" w:themeColor="text1"/>
        </w:rPr>
        <w:t>Apis</w:t>
      </w:r>
      <w:r w:rsidR="008D433D" w:rsidRPr="005629D6">
        <w:rPr>
          <w:color w:val="000000" w:themeColor="text1"/>
        </w:rPr>
        <w:t xml:space="preserve">OR2, </w:t>
      </w:r>
      <w:r w:rsidR="008A751B" w:rsidRPr="005629D6">
        <w:rPr>
          <w:color w:val="000000" w:themeColor="text1"/>
        </w:rPr>
        <w:t>Apis</w:t>
      </w:r>
      <w:r w:rsidR="008D433D" w:rsidRPr="005629D6">
        <w:rPr>
          <w:color w:val="000000" w:themeColor="text1"/>
        </w:rPr>
        <w:t xml:space="preserve">OR10, </w:t>
      </w:r>
      <w:r w:rsidR="008A751B" w:rsidRPr="005629D6">
        <w:rPr>
          <w:color w:val="000000" w:themeColor="text1"/>
        </w:rPr>
        <w:t>Apis</w:t>
      </w:r>
      <w:r w:rsidR="008D433D" w:rsidRPr="005629D6">
        <w:rPr>
          <w:color w:val="000000" w:themeColor="text1"/>
        </w:rPr>
        <w:t xml:space="preserve">OR17, </w:t>
      </w:r>
      <w:r w:rsidR="008A751B" w:rsidRPr="005629D6">
        <w:rPr>
          <w:color w:val="000000" w:themeColor="text1"/>
        </w:rPr>
        <w:t>Apis</w:t>
      </w:r>
      <w:r w:rsidR="008D433D" w:rsidRPr="005629D6">
        <w:rPr>
          <w:color w:val="000000" w:themeColor="text1"/>
        </w:rPr>
        <w:t xml:space="preserve">OR20, </w:t>
      </w:r>
      <w:r w:rsidR="008A751B" w:rsidRPr="005629D6">
        <w:rPr>
          <w:color w:val="000000" w:themeColor="text1"/>
        </w:rPr>
        <w:t>Apis</w:t>
      </w:r>
      <w:r w:rsidR="008D433D" w:rsidRPr="005629D6">
        <w:rPr>
          <w:color w:val="000000" w:themeColor="text1"/>
        </w:rPr>
        <w:t xml:space="preserve">OR22c and </w:t>
      </w:r>
      <w:r w:rsidR="008A751B" w:rsidRPr="005629D6">
        <w:rPr>
          <w:color w:val="000000" w:themeColor="text1"/>
        </w:rPr>
        <w:t>Apis</w:t>
      </w:r>
      <w:r w:rsidR="008D433D" w:rsidRPr="005629D6">
        <w:rPr>
          <w:color w:val="000000" w:themeColor="text1"/>
        </w:rPr>
        <w:t xml:space="preserve">OR39) </w:t>
      </w:r>
      <w:r w:rsidR="00053F38" w:rsidRPr="005629D6">
        <w:rPr>
          <w:color w:val="000000" w:themeColor="text1"/>
        </w:rPr>
        <w:t>were</w:t>
      </w:r>
      <w:r w:rsidR="008D433D" w:rsidRPr="005629D6">
        <w:rPr>
          <w:color w:val="000000" w:themeColor="text1"/>
        </w:rPr>
        <w:t xml:space="preserve"> modelled and screened for </w:t>
      </w:r>
      <w:r w:rsidR="00053F38" w:rsidRPr="005629D6">
        <w:rPr>
          <w:color w:val="000000" w:themeColor="text1"/>
        </w:rPr>
        <w:t xml:space="preserve">binding to the aphid </w:t>
      </w:r>
      <w:r w:rsidR="008D433D" w:rsidRPr="005629D6">
        <w:rPr>
          <w:color w:val="000000" w:themeColor="text1"/>
        </w:rPr>
        <w:t>sex pheromon</w:t>
      </w:r>
      <w:r w:rsidR="00053F38" w:rsidRPr="005629D6">
        <w:rPr>
          <w:color w:val="000000" w:themeColor="text1"/>
        </w:rPr>
        <w:t>e components.</w:t>
      </w:r>
    </w:p>
    <w:p w14:paraId="0B42D372" w14:textId="09217272" w:rsidR="00536E03" w:rsidRPr="005629D6" w:rsidRDefault="00536E03" w:rsidP="00482428">
      <w:pPr>
        <w:pStyle w:val="Heading1"/>
      </w:pPr>
      <w:r w:rsidRPr="005629D6">
        <w:t>Methods</w:t>
      </w:r>
      <w:r w:rsidR="003A5A80" w:rsidRPr="005629D6">
        <w:t xml:space="preserve"> </w:t>
      </w:r>
    </w:p>
    <w:p w14:paraId="60E5FDEA" w14:textId="4DA49BF4" w:rsidR="0036628F" w:rsidRPr="005629D6" w:rsidRDefault="00482428" w:rsidP="0036628F">
      <w:pPr>
        <w:rPr>
          <w:b/>
          <w:bCs/>
        </w:rPr>
      </w:pPr>
      <w:r w:rsidRPr="005629D6">
        <w:rPr>
          <w:b/>
          <w:bCs/>
        </w:rPr>
        <w:t>Sequence A</w:t>
      </w:r>
      <w:r w:rsidR="00D031E8" w:rsidRPr="005629D6">
        <w:rPr>
          <w:b/>
          <w:bCs/>
        </w:rPr>
        <w:t>lignment</w:t>
      </w:r>
      <w:r w:rsidRPr="005629D6">
        <w:rPr>
          <w:b/>
          <w:bCs/>
        </w:rPr>
        <w:t xml:space="preserve"> &amp; TM Domain Assignments</w:t>
      </w:r>
      <w:r w:rsidR="008C30A9" w:rsidRPr="005629D6">
        <w:rPr>
          <w:b/>
          <w:bCs/>
        </w:rPr>
        <w:t xml:space="preserve">. </w:t>
      </w:r>
      <w:r w:rsidR="0036628F" w:rsidRPr="005629D6">
        <w:t xml:space="preserve">Sequence alignments were performed using </w:t>
      </w:r>
      <w:proofErr w:type="spellStart"/>
      <w:r w:rsidR="0036628F" w:rsidRPr="005629D6">
        <w:t>Clust</w:t>
      </w:r>
      <w:r w:rsidR="00AF7787" w:rsidRPr="005629D6">
        <w:t>al</w:t>
      </w:r>
      <w:proofErr w:type="spellEnd"/>
      <w:r w:rsidR="0036628F" w:rsidRPr="005629D6">
        <w:t xml:space="preserve"> Omega and the PRALINE server.</w:t>
      </w:r>
      <w:r w:rsidR="0036628F" w:rsidRPr="005629D6">
        <w:fldChar w:fldCharType="begin" w:fldLock="1"/>
      </w:r>
      <w:r w:rsidR="00723DD9" w:rsidRPr="005629D6">
        <w:instrText>ADDIN CSL_CITATION {"citationItems":[{"id":"ITEM-1","itemData":{"author":[{"dropping-particle":"","family":"Heringa","given":"Jasp","non-dropping-particle":"","parse-names":false,"suffix":""}],"container-title":"Computers &amp; Chemistry","id":"ITEM-1","issued":{"date-parts":[["1999"]]},"page":"341-364","title":"Two strategies for sequence comparison: profile-preprocessed and secondary structure-induced multiple alignment","type":"article-journal","volume":"23"},"uris":["http://www.mendeley.com/documents/?uuid=763dcadf-4b64-4bd4-a186-5b86b49ba7e8"]},{"id":"ITEM-2","itemData":{"DOI":"10.1093/bioinformatics/btm636","ISSN":"13674803","abstract":"Motivation: Membrane-bound proteins are a special class of proteins. The regions that insert into the cell-membrane have a profoundly different hydrophobicity pattern compared with soluble proteins. Multiple alignment techniques use scoring schemes tailored for sequences of soluble proteins and are therefore in principle not optimal to align membrane-bound proteins. Results: Transmembrane (TM) regions in protein sequences can be reliably recognized using state-of-the-art sequence prediction techniques. Furthermore, membrane-specific scoring matrices are available. We have developed a new alignment method, called PRALINE™, which integrates these two features to enhance multiple sequence alignment. We tested our algorithm on the TM alignment benchmark set by Bahr et al. (2001), and showed that the quality of TM alignments can be significantly improved compared with the quality produced by a standard multiple alignment technique. The results clearly indicate that the incorporation of these new elements into current state-of-the-art alignment methods is crucial for optimizing the alignment of TM proteins. © The Author 2008. Published by Oxford University Press. All rights reserved.","author":[{"dropping-particle":"","family":"Pirovano","given":"Walter","non-dropping-particle":"","parse-names":false,"suffix":""},{"dropping-particle":"","family":"Feenstra","given":"K. Anton","non-dropping-particle":"","parse-names":false,"suffix":""},{"dropping-particle":"","family":"Heringa","given":"Jaap","non-dropping-particle":"","parse-names":false,"suffix":""}],"container-title":"Bioinformatics","id":"ITEM-2","issue":"4","issued":{"date-parts":[["2008"]]},"page":"492-497","title":"PRALINE™: A strategy for improved multiple alignment of transmembrane proteins","type":"article-journal","volume":"24"},"uris":["http://www.mendeley.com/documents/?uuid=62cf5643-040e-4e1c-8ae1-efe47bc383f0"]}],"mendeley":{"formattedCitation":"&lt;sup&gt;42,43&lt;/sup&gt;","plainTextFormattedCitation":"42,43","previouslyFormattedCitation":"&lt;sup&gt;42,43&lt;/sup&gt;"},"properties":{"noteIndex":0},"schema":"https://github.com/citation-style-language/schema/raw/master/csl-citation.json"}</w:instrText>
      </w:r>
      <w:r w:rsidR="0036628F" w:rsidRPr="005629D6">
        <w:fldChar w:fldCharType="separate"/>
      </w:r>
      <w:r w:rsidR="000D52F2" w:rsidRPr="005629D6">
        <w:rPr>
          <w:noProof/>
          <w:vertAlign w:val="superscript"/>
        </w:rPr>
        <w:t>42,43</w:t>
      </w:r>
      <w:r w:rsidR="0036628F" w:rsidRPr="005629D6">
        <w:fldChar w:fldCharType="end"/>
      </w:r>
      <w:r w:rsidR="0036628F" w:rsidRPr="005629D6">
        <w:t xml:space="preserve"> Transmembrane domain predication of the receptor proteins were performed using a consensus approach and four different serve</w:t>
      </w:r>
      <w:r w:rsidR="00053F38" w:rsidRPr="005629D6">
        <w:t>r</w:t>
      </w:r>
      <w:r w:rsidR="0036628F" w:rsidRPr="005629D6">
        <w:t xml:space="preserve">s – HMMTOP, </w:t>
      </w:r>
      <w:proofErr w:type="spellStart"/>
      <w:r w:rsidR="0036628F" w:rsidRPr="005629D6">
        <w:t>TMpred</w:t>
      </w:r>
      <w:proofErr w:type="spellEnd"/>
      <w:r w:rsidR="0036628F" w:rsidRPr="005629D6">
        <w:t>, PHOBIUS and TMHMM.</w:t>
      </w:r>
      <w:r w:rsidR="0036628F" w:rsidRPr="005629D6">
        <w:fldChar w:fldCharType="begin" w:fldLock="1"/>
      </w:r>
      <w:r w:rsidR="00723DD9" w:rsidRPr="005629D6">
        <w:instrText>ADDIN CSL_CITATION {"citationItems":[{"id":"ITEM-1","itemData":{"author":[{"dropping-particle":"","family":"Hofmann","given":"K","non-dropping-particle":"","parse-names":false,"suffix":""},{"dropping-particle":"","family":"Stoffel","given":"W","non-dropping-particle":"","parse-names":false,"suffix":""}],"container-title":"Biological Chemistry","id":"ITEM-1","issued":{"date-parts":[["1993"]]},"title":"TMbase - A database of membrane spanning proteins segments","type":"article-journal"},"uris":["http://www.mendeley.com/documents/?uuid=88979ad9-4394-4916-995c-4a3e60a36285"]},{"id":"ITEM-2","itemData":{"author":[{"dropping-particle":"","family":"Tusnady","given":"G E","non-dropping-particle":"","parse-names":false,"suffix":""},{"dropping-particle":"","family":"Simon","given":"I","non-dropping-particle":"","parse-names":false,"suffix":""}],"container-title":"Bioinformatics","id":"ITEM-2","issued":{"date-parts":[["2001"]]},"page":"849-850","title":"The HMMTOP transmembrane topology prediction server","type":"article-journal","volume":"17"},"uris":["http://www.mendeley.com/documents/?uuid=3b79fbb1-5b69-4cd8-9add-de92b03e0928"]},{"id":"ITEM-3","itemData":{"author":[{"dropping-particle":"","family":"Käll","given":"Lukas","non-dropping-particle":"","parse-names":false,"suffix":""},{"dropping-particle":"","family":"Krogh","given":"Anders","non-dropping-particle":"","parse-names":false,"suffix":""},{"dropping-particle":"","family":"Sonnhammer","given":"Erik L L","non-dropping-particle":"","parse-names":false,"suffix":""}],"container-title":"Journal of Molecular Biology","id":"ITEM-3","issue":"5","issued":{"date-parts":[["2004"]]},"page":"1027-1036","title":"A Combined Transmembrane Topology and Signal Peptide Prediction Method.","type":"article-journal","volume":"338"},"uris":["http://www.mendeley.com/documents/?uuid=bcd2cf11-5183-4d1a-ae61-251c37c83f9e"]},{"id":"ITEM-4","itemData":{"author":[{"dropping-particle":"","family":"Krogh","given":"Anders","non-dropping-particle":"","parse-names":false,"suffix":""},{"dropping-particle":"","family":"Larsson","given":"G","non-dropping-particle":"","parse-names":false,"suffix":""},{"dropping-particle":"","family":"Heijne","given":"G","non-dropping-particle":"von","parse-names":false,"suffix":""},{"dropping-particle":"","family":"Sonnhammer","given":"Erik L L","non-dropping-particle":"","parse-names":false,"suffix":""}],"container-title":"Journal of Molecular Biology","id":"ITEM-4","issue":"3","issued":{"date-parts":[["2001"]]},"page":"567-580","title":"Predicting transmembrane protein topology with a hidden Markov model: Application to complete genomes.","type":"article-journal","volume":"305"},"uris":["http://www.mendeley.com/documents/?uuid=b498e409-15f4-4f21-a322-09f357e5a002"]}],"mendeley":{"formattedCitation":"&lt;sup&gt;44–47&lt;/sup&gt;","plainTextFormattedCitation":"44–47","previouslyFormattedCitation":"&lt;sup&gt;44–47&lt;/sup&gt;"},"properties":{"noteIndex":0},"schema":"https://github.com/citation-style-language/schema/raw/master/csl-citation.json"}</w:instrText>
      </w:r>
      <w:r w:rsidR="0036628F" w:rsidRPr="005629D6">
        <w:fldChar w:fldCharType="separate"/>
      </w:r>
      <w:r w:rsidR="000D52F2" w:rsidRPr="005629D6">
        <w:rPr>
          <w:noProof/>
          <w:vertAlign w:val="superscript"/>
        </w:rPr>
        <w:t>44–47</w:t>
      </w:r>
      <w:r w:rsidR="0036628F" w:rsidRPr="005629D6">
        <w:fldChar w:fldCharType="end"/>
      </w:r>
      <w:r w:rsidR="0036628F" w:rsidRPr="005629D6">
        <w:t xml:space="preserve"> Alignments and conservation maps were analysed in GeneDoc</w:t>
      </w:r>
      <w:r w:rsidR="0036628F" w:rsidRPr="005629D6">
        <w:fldChar w:fldCharType="begin" w:fldLock="1"/>
      </w:r>
      <w:r w:rsidR="00723DD9" w:rsidRPr="005629D6">
        <w:instrText>ADDIN CSL_CITATION {"citationItems":[{"id":"ITEM-1","itemData":{"URL":"https://genedoc.software.informer.com/2.7/","id":"ITEM-1","issued":{"date-parts":[["0"]]},"title":"GeneDoc","type":"webpage"},"uris":["http://www.mendeley.com/documents/?uuid=9e2d36bb-c282-4052-b90e-053499558875"]}],"mendeley":{"formattedCitation":"&lt;sup&gt;48&lt;/sup&gt;","plainTextFormattedCitation":"48","previouslyFormattedCitation":"&lt;sup&gt;48&lt;/sup&gt;"},"properties":{"noteIndex":0},"schema":"https://github.com/citation-style-language/schema/raw/master/csl-citation.json"}</w:instrText>
      </w:r>
      <w:r w:rsidR="0036628F" w:rsidRPr="005629D6">
        <w:fldChar w:fldCharType="separate"/>
      </w:r>
      <w:r w:rsidR="000D52F2" w:rsidRPr="005629D6">
        <w:rPr>
          <w:noProof/>
          <w:vertAlign w:val="superscript"/>
        </w:rPr>
        <w:t>48</w:t>
      </w:r>
      <w:r w:rsidR="0036628F" w:rsidRPr="005629D6">
        <w:fldChar w:fldCharType="end"/>
      </w:r>
      <w:r w:rsidR="0036628F" w:rsidRPr="005629D6">
        <w:t xml:space="preserve">, and phylogenetic trees were generated in </w:t>
      </w:r>
      <w:proofErr w:type="spellStart"/>
      <w:r w:rsidR="0036628F" w:rsidRPr="005629D6">
        <w:t>FigTree</w:t>
      </w:r>
      <w:proofErr w:type="spellEnd"/>
      <w:r w:rsidR="0036628F" w:rsidRPr="005629D6">
        <w:t xml:space="preserve"> v1.4.3.</w:t>
      </w:r>
      <w:r w:rsidR="0036628F" w:rsidRPr="005629D6">
        <w:fldChar w:fldCharType="begin" w:fldLock="1"/>
      </w:r>
      <w:r w:rsidR="00723DD9" w:rsidRPr="005629D6">
        <w:instrText>ADDIN CSL_CITATION {"citationItems":[{"id":"ITEM-1","itemData":{"URL":"http://tree.bio.ed.ac.uk/software/figtree/","id":"ITEM-1","issued":{"date-parts":[["0"]]},"title":"FigTree","type":"webpage"},"uris":["http://www.mendeley.com/documents/?uuid=dce3d3af-ae65-46d4-b52d-ca7a52f069f0"]}],"mendeley":{"formattedCitation":"&lt;sup&gt;49&lt;/sup&gt;","plainTextFormattedCitation":"49","previouslyFormattedCitation":"&lt;sup&gt;49&lt;/sup&gt;"},"properties":{"noteIndex":0},"schema":"https://github.com/citation-style-language/schema/raw/master/csl-citation.json"}</w:instrText>
      </w:r>
      <w:r w:rsidR="0036628F" w:rsidRPr="005629D6">
        <w:fldChar w:fldCharType="separate"/>
      </w:r>
      <w:r w:rsidR="000D52F2" w:rsidRPr="005629D6">
        <w:rPr>
          <w:noProof/>
          <w:vertAlign w:val="superscript"/>
        </w:rPr>
        <w:t>49</w:t>
      </w:r>
      <w:r w:rsidR="0036628F" w:rsidRPr="005629D6">
        <w:fldChar w:fldCharType="end"/>
      </w:r>
    </w:p>
    <w:p w14:paraId="10B04C1A" w14:textId="3D4C3BD6" w:rsidR="00010F9F" w:rsidRPr="005629D6" w:rsidRDefault="00482428" w:rsidP="00096BF2">
      <w:r w:rsidRPr="005629D6">
        <w:rPr>
          <w:b/>
          <w:bCs/>
        </w:rPr>
        <w:t>Comparative Modelling</w:t>
      </w:r>
      <w:r w:rsidR="008C30A9" w:rsidRPr="005629D6">
        <w:rPr>
          <w:b/>
          <w:bCs/>
        </w:rPr>
        <w:t xml:space="preserve">. </w:t>
      </w:r>
      <w:r w:rsidR="00BF5830" w:rsidRPr="005629D6">
        <w:t xml:space="preserve">Homology based modelling was performed using the olfactory receptor co-receptor, </w:t>
      </w:r>
      <w:r w:rsidR="005B5741" w:rsidRPr="005629D6">
        <w:t>ORCO</w:t>
      </w:r>
      <w:r w:rsidR="00BF5830" w:rsidRPr="005629D6">
        <w:t xml:space="preserve">, from </w:t>
      </w:r>
      <w:proofErr w:type="spellStart"/>
      <w:r w:rsidR="00BF5830" w:rsidRPr="005629D6">
        <w:rPr>
          <w:i/>
          <w:iCs/>
        </w:rPr>
        <w:t>Apocrypta</w:t>
      </w:r>
      <w:proofErr w:type="spellEnd"/>
      <w:r w:rsidR="00BF5830" w:rsidRPr="005629D6">
        <w:rPr>
          <w:i/>
          <w:iCs/>
        </w:rPr>
        <w:t xml:space="preserve"> </w:t>
      </w:r>
      <w:proofErr w:type="spellStart"/>
      <w:r w:rsidR="00BF5830" w:rsidRPr="005629D6">
        <w:rPr>
          <w:i/>
          <w:iCs/>
        </w:rPr>
        <w:t>bakeri</w:t>
      </w:r>
      <w:proofErr w:type="spellEnd"/>
      <w:r w:rsidR="00BF5830" w:rsidRPr="005629D6">
        <w:rPr>
          <w:i/>
          <w:iCs/>
        </w:rPr>
        <w:t xml:space="preserve"> </w:t>
      </w:r>
      <w:r w:rsidR="00BF5830" w:rsidRPr="005629D6">
        <w:t xml:space="preserve">as a template. The structure of </w:t>
      </w:r>
      <w:proofErr w:type="spellStart"/>
      <w:r w:rsidR="00C24EF2" w:rsidRPr="005629D6">
        <w:t>AbakORCO</w:t>
      </w:r>
      <w:proofErr w:type="spellEnd"/>
      <w:r w:rsidR="00BF5830" w:rsidRPr="005629D6">
        <w:t xml:space="preserve"> was obtained from the Protein Data Bank (PDB </w:t>
      </w:r>
      <w:r w:rsidR="002473F6" w:rsidRPr="005629D6">
        <w:t>ID</w:t>
      </w:r>
      <w:r w:rsidR="00BF5830" w:rsidRPr="005629D6">
        <w:t xml:space="preserve"> 6C70</w:t>
      </w:r>
      <w:r w:rsidR="002473F6" w:rsidRPr="005629D6">
        <w:t>; resolution 3.</w:t>
      </w:r>
      <w:r w:rsidR="002473F6" w:rsidRPr="005629D6">
        <w:rPr>
          <w:color w:val="000000" w:themeColor="text1"/>
        </w:rPr>
        <w:t>5</w:t>
      </w:r>
      <w:r w:rsidR="005B5741" w:rsidRPr="005629D6">
        <w:rPr>
          <w:color w:val="000000" w:themeColor="text1"/>
        </w:rPr>
        <w:t xml:space="preserve"> Å</w:t>
      </w:r>
      <w:r w:rsidR="00BF5830" w:rsidRPr="005629D6">
        <w:rPr>
          <w:color w:val="000000" w:themeColor="text1"/>
        </w:rPr>
        <w:t>).</w:t>
      </w:r>
      <w:r w:rsidR="00D031E8" w:rsidRPr="005629D6">
        <w:rPr>
          <w:color w:val="000000" w:themeColor="text1"/>
        </w:rPr>
        <w:t xml:space="preserve"> </w:t>
      </w:r>
      <w:r w:rsidR="001A3347" w:rsidRPr="005629D6">
        <w:t>Pairwise sequence alignment was performed using PRALINE</w:t>
      </w:r>
      <w:r w:rsidR="00C138A0" w:rsidRPr="005629D6">
        <w:fldChar w:fldCharType="begin" w:fldLock="1"/>
      </w:r>
      <w:r w:rsidR="00723DD9" w:rsidRPr="005629D6">
        <w:instrText>ADDIN CSL_CITATION {"citationItems":[{"id":"ITEM-1","itemData":{"DOI":"10.1093/bioinformatics/btm636","ISSN":"13674803","abstract":"Motivation: Membrane-bound proteins are a special class of proteins. The regions that insert into the cell-membrane have a profoundly different hydrophobicity pattern compared with soluble proteins. Multiple alignment techniques use scoring schemes tailored for sequences of soluble proteins and are therefore in principle not optimal to align membrane-bound proteins. Results: Transmembrane (TM) regions in protein sequences can be reliably recognized using state-of-the-art sequence prediction techniques. Furthermore, membrane-specific scoring matrices are available. We have developed a new alignment method, called PRALINE™, which integrates these two features to enhance multiple sequence alignment. We tested our algorithm on the TM alignment benchmark set by Bahr et al. (2001), and showed that the quality of TM alignments can be significantly improved compared with the quality produced by a standard multiple alignment technique. The results clearly indicate that the incorporation of these new elements into current state-of-the-art alignment methods is crucial for optimizing the alignment of TM proteins. © The Author 2008. Published by Oxford University Press. All rights reserved.","author":[{"dropping-particle":"","family":"Pirovano","given":"Walter","non-dropping-particle":"","parse-names":false,"suffix":""},{"dropping-particle":"","family":"Feenstra","given":"K. Anton","non-dropping-particle":"","parse-names":false,"suffix":""},{"dropping-particle":"","family":"Heringa","given":"Jaap","non-dropping-particle":"","parse-names":false,"suffix":""}],"container-title":"Bioinformatics","id":"ITEM-1","issue":"4","issued":{"date-parts":[["2008"]]},"page":"492-497","title":"PRALINE™: A strategy for improved multiple alignment of transmembrane proteins","type":"article-journal","volume":"24"},"uris":["http://www.mendeley.com/documents/?uuid=62cf5643-040e-4e1c-8ae1-efe47bc383f0"]}],"mendeley":{"formattedCitation":"&lt;sup&gt;43&lt;/sup&gt;","plainTextFormattedCitation":"43","previouslyFormattedCitation":"&lt;sup&gt;43&lt;/sup&gt;"},"properties":{"noteIndex":0},"schema":"https://github.com/citation-style-language/schema/raw/master/csl-citation.json"}</w:instrText>
      </w:r>
      <w:r w:rsidR="00C138A0" w:rsidRPr="005629D6">
        <w:fldChar w:fldCharType="separate"/>
      </w:r>
      <w:r w:rsidR="000D52F2" w:rsidRPr="005629D6">
        <w:rPr>
          <w:noProof/>
          <w:vertAlign w:val="superscript"/>
        </w:rPr>
        <w:t>43</w:t>
      </w:r>
      <w:r w:rsidR="00C138A0" w:rsidRPr="005629D6">
        <w:fldChar w:fldCharType="end"/>
      </w:r>
      <w:r w:rsidR="001A3347" w:rsidRPr="005629D6">
        <w:t xml:space="preserve"> and the predicted transmembrane domains </w:t>
      </w:r>
      <w:r w:rsidR="006A5735" w:rsidRPr="005629D6">
        <w:t xml:space="preserve">were </w:t>
      </w:r>
      <w:r w:rsidR="001A3347" w:rsidRPr="005629D6">
        <w:rPr>
          <w:color w:val="000000" w:themeColor="text1"/>
        </w:rPr>
        <w:t>manually aligned and annotated.</w:t>
      </w:r>
      <w:r w:rsidR="00D031E8" w:rsidRPr="005629D6">
        <w:rPr>
          <w:color w:val="000000" w:themeColor="text1"/>
        </w:rPr>
        <w:t xml:space="preserve"> </w:t>
      </w:r>
      <w:r w:rsidR="006A5735" w:rsidRPr="005629D6">
        <w:rPr>
          <w:color w:val="000000" w:themeColor="text1"/>
        </w:rPr>
        <w:t xml:space="preserve">The available ORCO structure </w:t>
      </w:r>
      <w:r w:rsidR="00867C46" w:rsidRPr="005629D6">
        <w:rPr>
          <w:color w:val="000000" w:themeColor="text1"/>
        </w:rPr>
        <w:t>shares a</w:t>
      </w:r>
      <w:r w:rsidR="006A5735" w:rsidRPr="005629D6">
        <w:rPr>
          <w:color w:val="000000" w:themeColor="text1"/>
        </w:rPr>
        <w:t xml:space="preserve"> generally</w:t>
      </w:r>
      <w:r w:rsidR="00867C46" w:rsidRPr="005629D6">
        <w:rPr>
          <w:color w:val="000000" w:themeColor="text1"/>
        </w:rPr>
        <w:t xml:space="preserve"> low sequence identity with </w:t>
      </w:r>
      <w:r w:rsidR="00053F38" w:rsidRPr="005629D6">
        <w:rPr>
          <w:color w:val="000000" w:themeColor="text1"/>
        </w:rPr>
        <w:t xml:space="preserve">pea aphid, </w:t>
      </w:r>
      <w:proofErr w:type="spellStart"/>
      <w:r w:rsidR="00867C46" w:rsidRPr="005629D6">
        <w:rPr>
          <w:i/>
          <w:iCs/>
          <w:color w:val="000000" w:themeColor="text1"/>
        </w:rPr>
        <w:t>A</w:t>
      </w:r>
      <w:r w:rsidR="00053F38" w:rsidRPr="005629D6">
        <w:rPr>
          <w:i/>
          <w:iCs/>
          <w:color w:val="000000" w:themeColor="text1"/>
        </w:rPr>
        <w:t>cyrthosiphon</w:t>
      </w:r>
      <w:proofErr w:type="spellEnd"/>
      <w:r w:rsidR="00867C46" w:rsidRPr="005629D6">
        <w:rPr>
          <w:i/>
          <w:iCs/>
          <w:color w:val="000000" w:themeColor="text1"/>
        </w:rPr>
        <w:t xml:space="preserve"> </w:t>
      </w:r>
      <w:proofErr w:type="spellStart"/>
      <w:r w:rsidR="00867C46" w:rsidRPr="005629D6">
        <w:rPr>
          <w:i/>
          <w:iCs/>
          <w:color w:val="000000" w:themeColor="text1"/>
        </w:rPr>
        <w:t>pisum</w:t>
      </w:r>
      <w:proofErr w:type="spellEnd"/>
      <w:r w:rsidR="00867C46" w:rsidRPr="005629D6">
        <w:rPr>
          <w:color w:val="000000" w:themeColor="text1"/>
        </w:rPr>
        <w:t xml:space="preserve"> </w:t>
      </w:r>
      <w:r w:rsidR="00053F38" w:rsidRPr="005629D6">
        <w:rPr>
          <w:color w:val="000000" w:themeColor="text1"/>
        </w:rPr>
        <w:t>ORs,</w:t>
      </w:r>
      <w:r w:rsidR="006A5735" w:rsidRPr="005629D6">
        <w:rPr>
          <w:color w:val="000000" w:themeColor="text1"/>
        </w:rPr>
        <w:t xml:space="preserve"> however, the general seven transmembrane structure should be conserved</w:t>
      </w:r>
      <w:r w:rsidR="008B0872" w:rsidRPr="005629D6">
        <w:rPr>
          <w:color w:val="000000" w:themeColor="text1"/>
        </w:rPr>
        <w:t xml:space="preserve">. </w:t>
      </w:r>
      <w:r w:rsidR="00D031E8" w:rsidRPr="005629D6">
        <w:rPr>
          <w:color w:val="000000" w:themeColor="text1"/>
        </w:rPr>
        <w:t>Th</w:t>
      </w:r>
      <w:r w:rsidR="006A5735" w:rsidRPr="005629D6">
        <w:rPr>
          <w:color w:val="000000" w:themeColor="text1"/>
        </w:rPr>
        <w:t>e</w:t>
      </w:r>
      <w:r w:rsidR="00D031E8" w:rsidRPr="005629D6">
        <w:rPr>
          <w:color w:val="000000" w:themeColor="text1"/>
        </w:rPr>
        <w:t xml:space="preserve"> </w:t>
      </w:r>
      <w:r w:rsidR="006A5735" w:rsidRPr="005629D6">
        <w:rPr>
          <w:color w:val="000000" w:themeColor="text1"/>
        </w:rPr>
        <w:t xml:space="preserve">pairwise </w:t>
      </w:r>
      <w:r w:rsidR="00D031E8" w:rsidRPr="005629D6">
        <w:rPr>
          <w:color w:val="000000" w:themeColor="text1"/>
        </w:rPr>
        <w:t>alignment served as a template for</w:t>
      </w:r>
      <w:r w:rsidR="00717524" w:rsidRPr="005629D6">
        <w:rPr>
          <w:color w:val="000000" w:themeColor="text1"/>
        </w:rPr>
        <w:t xml:space="preserve"> </w:t>
      </w:r>
      <w:r w:rsidR="00D031E8" w:rsidRPr="005629D6">
        <w:rPr>
          <w:color w:val="000000" w:themeColor="text1"/>
        </w:rPr>
        <w:t xml:space="preserve">homology modelling </w:t>
      </w:r>
      <w:r w:rsidR="006A5735" w:rsidRPr="005629D6">
        <w:rPr>
          <w:color w:val="000000" w:themeColor="text1"/>
        </w:rPr>
        <w:t>using</w:t>
      </w:r>
      <w:r w:rsidR="00D031E8" w:rsidRPr="005629D6">
        <w:rPr>
          <w:color w:val="000000" w:themeColor="text1"/>
        </w:rPr>
        <w:t xml:space="preserve"> MODELLER</w:t>
      </w:r>
      <w:r w:rsidR="001A3347" w:rsidRPr="005629D6">
        <w:rPr>
          <w:color w:val="000000" w:themeColor="text1"/>
        </w:rPr>
        <w:t xml:space="preserve"> 9.3</w:t>
      </w:r>
      <w:r w:rsidR="006A5735" w:rsidRPr="005629D6">
        <w:rPr>
          <w:color w:val="000000" w:themeColor="text1"/>
        </w:rPr>
        <w:t xml:space="preserve"> </w:t>
      </w:r>
      <w:r w:rsidR="00CF0109" w:rsidRPr="005629D6">
        <w:rPr>
          <w:color w:val="000000" w:themeColor="text1"/>
        </w:rPr>
        <w:t>with loop refinement</w:t>
      </w:r>
      <w:r w:rsidR="00CC3FCF" w:rsidRPr="005629D6">
        <w:rPr>
          <w:color w:val="000000" w:themeColor="text1"/>
        </w:rPr>
        <w:t>.</w:t>
      </w:r>
      <w:r w:rsidR="006A5735" w:rsidRPr="005629D6">
        <w:fldChar w:fldCharType="begin" w:fldLock="1"/>
      </w:r>
      <w:r w:rsidR="00723DD9" w:rsidRPr="005629D6">
        <w:instrText>ADDIN CSL_CITATION {"citationItems":[{"id":"ITEM-1","itemData":{"DOI":"doi:10.1002/cpbi.3","author":[{"dropping-particle":"","family":"Webb","given":"Benjamin","non-dropping-particle":"","parse-names":false,"suffix":""},{"dropping-particle":"","family":"Sali","given":"Andrej","non-dropping-particle":"","parse-names":false,"suffix":""}],"container-title":"Current Protocols in Bioinformatics","id":"ITEM-1","issue":"5.6","issued":{"date-parts":[["2017"]]},"page":"1-37","title":"Comparative Protein Structure Modeling Using MODELLER","type":"article-journal","volume":"54"},"uris":["http://www.mendeley.com/documents/?uuid=ca86df18-4f8f-4e3b-9707-2c88909ef2ec"]}],"mendeley":{"formattedCitation":"&lt;sup&gt;50&lt;/sup&gt;","plainTextFormattedCitation":"50","previouslyFormattedCitation":"&lt;sup&gt;50&lt;/sup&gt;"},"properties":{"noteIndex":0},"schema":"https://github.com/citation-style-language/schema/raw/master/csl-citation.json"}</w:instrText>
      </w:r>
      <w:r w:rsidR="006A5735" w:rsidRPr="005629D6">
        <w:fldChar w:fldCharType="separate"/>
      </w:r>
      <w:r w:rsidR="000D52F2" w:rsidRPr="005629D6">
        <w:rPr>
          <w:noProof/>
          <w:vertAlign w:val="superscript"/>
        </w:rPr>
        <w:t>50</w:t>
      </w:r>
      <w:r w:rsidR="006A5735" w:rsidRPr="005629D6">
        <w:fldChar w:fldCharType="end"/>
      </w:r>
      <w:r w:rsidR="00BC0DE8" w:rsidRPr="005629D6">
        <w:rPr>
          <w:color w:val="000000" w:themeColor="text1"/>
        </w:rPr>
        <w:t xml:space="preserve"> For ORCO, a 42-residue section of intracellular loop (IL3) was excised (Ser245 to Glu286) as this loop was not present in </w:t>
      </w:r>
      <w:r w:rsidR="00BC0DE8" w:rsidRPr="005629D6">
        <w:rPr>
          <w:i/>
          <w:iCs/>
          <w:color w:val="000000" w:themeColor="text1"/>
        </w:rPr>
        <w:t xml:space="preserve">A. </w:t>
      </w:r>
      <w:proofErr w:type="spellStart"/>
      <w:r w:rsidR="00BC0DE8" w:rsidRPr="005629D6">
        <w:rPr>
          <w:i/>
          <w:iCs/>
          <w:color w:val="000000" w:themeColor="text1"/>
        </w:rPr>
        <w:t>bakeri</w:t>
      </w:r>
      <w:proofErr w:type="spellEnd"/>
      <w:r w:rsidR="00BC0DE8" w:rsidRPr="005629D6">
        <w:rPr>
          <w:color w:val="000000" w:themeColor="text1"/>
        </w:rPr>
        <w:t xml:space="preserve"> ORCO. For other ORs, t</w:t>
      </w:r>
      <w:r w:rsidR="00CF0109" w:rsidRPr="005629D6">
        <w:rPr>
          <w:color w:val="000000" w:themeColor="text1"/>
        </w:rPr>
        <w:t xml:space="preserve">he secondary structure of long extracellular loops were individually </w:t>
      </w:r>
      <w:r w:rsidR="009F2A1C" w:rsidRPr="005629D6">
        <w:rPr>
          <w:color w:val="000000" w:themeColor="text1"/>
        </w:rPr>
        <w:t xml:space="preserve">predicted using the </w:t>
      </w:r>
      <w:proofErr w:type="spellStart"/>
      <w:r w:rsidR="009F2A1C" w:rsidRPr="005629D6">
        <w:t>iTASSER</w:t>
      </w:r>
      <w:proofErr w:type="spellEnd"/>
      <w:r w:rsidR="009F2A1C" w:rsidRPr="005629D6">
        <w:t xml:space="preserve"> server</w:t>
      </w:r>
      <w:r w:rsidR="00CC3FCF" w:rsidRPr="005629D6">
        <w:t>.</w:t>
      </w:r>
      <w:r w:rsidR="009F2A1C" w:rsidRPr="005629D6">
        <w:fldChar w:fldCharType="begin" w:fldLock="1"/>
      </w:r>
      <w:r w:rsidR="00723DD9" w:rsidRPr="005629D6">
        <w:instrText xml:space="preserve">ADDIN CSL_CITATION {"citationItems":[{"id":"ITEM-1","itemData":{"DOI":"10.1529/biophysj.106.084293","ISBN":"0006-3495 (Print)","ISSN":"00063495","PMID":"16963505","abstract":"This study involves the development of a rapid comparative modeling tool for homologous sequences by extension of the TASSER methodology, developed for tertiary structure prediction. This comparative modeling procedure was validated on a representative benchmark set of proteins in the Protein Data Bank composed of 901 single domain proteins (41-200 residues) having sequence identities between 35-90% with respect to the template. Using a Monte Carlo search scheme with the length of runs optimized for weakly/nonhomologous proteins, TASSER often provides appreciable improvement in structure quality over the initial template. However, on average, this requires </w:instrText>
      </w:r>
      <w:r w:rsidR="00723DD9" w:rsidRPr="005629D6">
        <w:rPr>
          <w:rFonts w:ascii="Cambria Math" w:hAnsi="Cambria Math" w:cs="Cambria Math"/>
        </w:rPr>
        <w:instrText>∼</w:instrText>
      </w:r>
      <w:r w:rsidR="00723DD9" w:rsidRPr="005629D6">
        <w:instrText xml:space="preserve">29 h of CPU time per sequence. Since homologous proteins are unlikely to require the extent of conformational search as weakly/nonhomologous proteins, TASSER's parameters were optimized to reduce the required CPU time to </w:instrText>
      </w:r>
      <w:r w:rsidR="00723DD9" w:rsidRPr="005629D6">
        <w:rPr>
          <w:rFonts w:ascii="Cambria Math" w:hAnsi="Cambria Math" w:cs="Cambria Math"/>
        </w:rPr>
        <w:instrText>∼</w:instrText>
      </w:r>
      <w:r w:rsidR="00723DD9" w:rsidRPr="005629D6">
        <w:instrText xml:space="preserve">17 min, while retaining TASSER's ability to improve structure quality. Using this optimized TASSER (TASSER-Lite), we find an average improvement in the aligned region of </w:instrText>
      </w:r>
      <w:r w:rsidR="00723DD9" w:rsidRPr="005629D6">
        <w:rPr>
          <w:rFonts w:ascii="Cambria Math" w:hAnsi="Cambria Math" w:cs="Cambria Math"/>
        </w:rPr>
        <w:instrText>∼</w:instrText>
      </w:r>
      <w:r w:rsidR="00723DD9" w:rsidRPr="005629D6">
        <w:instrText>10% in root mean-square deviation from native over the initial template. Comparison of TASSER-Lite with the widely used comparative modeling tool MODELLER showed that TASSER-Lite yields final models that are closer to the native. TASSER-Lite is provided on the web at http://cssb.biology.gatech.edu/skolnick/webservice/tasserlite/index. html. © 2006 by the Biophysical Society.","author":[{"dropping-particle":"","family":"Pandit","given":"Shashi Bhushan","non-dropping-particle":"","parse-names":false,"suffix":""},{"dropping-particle":"","family":"Zhang","given":"Yang","non-dropping-particle":"","parse-names":false,"suffix":""},{"dropping-particle":"","family":"Skolnick","given":"Jeffrey","non-dropping-particle":"","parse-names":false,"suffix":""}],"container-title":"Biophysical Journal","id":"ITEM-1","issue":"11","issued":{"date-parts":[["2006"]]},"page":"4180-4190","title":"TASSER-lite: An automated tool for protein comparative modeling","type":"article-journal","volume":"91"},"uris":["http://www.mendeley.com/documents/?uuid=2e9166a3-3f9b-411a-a9b5-2af95e327962"]}],"mendeley":{"formattedCitation":"&lt;sup&gt;51&lt;/sup&gt;","plainTextFormattedCitation":"51","previouslyFormattedCitation":"&lt;sup&gt;51&lt;/sup&gt;"},"properties":{"noteIndex":0},"schema":"https://github.com/citation-style-language/schema/raw/master/csl-citation.json"}</w:instrText>
      </w:r>
      <w:r w:rsidR="009F2A1C" w:rsidRPr="005629D6">
        <w:fldChar w:fldCharType="separate"/>
      </w:r>
      <w:r w:rsidR="000D52F2" w:rsidRPr="005629D6">
        <w:rPr>
          <w:noProof/>
          <w:vertAlign w:val="superscript"/>
        </w:rPr>
        <w:t>51</w:t>
      </w:r>
      <w:r w:rsidR="009F2A1C" w:rsidRPr="005629D6">
        <w:fldChar w:fldCharType="end"/>
      </w:r>
      <w:r w:rsidR="00D031E8" w:rsidRPr="005629D6">
        <w:t xml:space="preserve"> </w:t>
      </w:r>
      <w:r w:rsidR="00C138A0" w:rsidRPr="005629D6">
        <w:t xml:space="preserve">Approximately </w:t>
      </w:r>
      <w:r w:rsidR="009F2A1C" w:rsidRPr="005629D6">
        <w:t>2</w:t>
      </w:r>
      <w:r w:rsidR="00BC0DE8" w:rsidRPr="005629D6">
        <w:t>0</w:t>
      </w:r>
      <w:r w:rsidR="003055AC" w:rsidRPr="005629D6">
        <w:t xml:space="preserve"> models were generated for each protein</w:t>
      </w:r>
      <w:r w:rsidR="004E246B" w:rsidRPr="005629D6">
        <w:t xml:space="preserve">, and </w:t>
      </w:r>
      <w:r w:rsidR="000427D9" w:rsidRPr="005629D6">
        <w:t xml:space="preserve">these </w:t>
      </w:r>
      <w:r w:rsidR="004E246B" w:rsidRPr="005629D6">
        <w:t xml:space="preserve">were subsequently </w:t>
      </w:r>
      <w:r w:rsidR="006D1C57" w:rsidRPr="005629D6">
        <w:t>ranked</w:t>
      </w:r>
      <w:r w:rsidR="004E246B" w:rsidRPr="005629D6">
        <w:t xml:space="preserve"> using discrete optimised protein energy (DOPE)</w:t>
      </w:r>
      <w:r w:rsidR="000917B1" w:rsidRPr="005629D6">
        <w:t>.</w:t>
      </w:r>
      <w:r w:rsidR="004E246B" w:rsidRPr="005629D6">
        <w:t xml:space="preserve"> </w:t>
      </w:r>
      <w:r w:rsidR="00010F9F" w:rsidRPr="005629D6">
        <w:t xml:space="preserve">Individual units were </w:t>
      </w:r>
      <w:r w:rsidR="00096BF2" w:rsidRPr="005629D6">
        <w:t>compiled</w:t>
      </w:r>
      <w:r w:rsidR="00010F9F" w:rsidRPr="005629D6">
        <w:t xml:space="preserve"> into tetramers using Sam</w:t>
      </w:r>
      <w:r w:rsidR="00096BF2" w:rsidRPr="005629D6">
        <w:t>, a F</w:t>
      </w:r>
      <w:r w:rsidR="0038271B" w:rsidRPr="005629D6">
        <w:t xml:space="preserve">ast Fourier </w:t>
      </w:r>
      <w:r w:rsidR="00096BF2" w:rsidRPr="005629D6">
        <w:t>T</w:t>
      </w:r>
      <w:r w:rsidR="0038271B" w:rsidRPr="005629D6">
        <w:t>ransform (FFT)</w:t>
      </w:r>
      <w:r w:rsidR="00096BF2" w:rsidRPr="005629D6">
        <w:t>-based protein docking program</w:t>
      </w:r>
      <w:r w:rsidR="006D1C57" w:rsidRPr="005629D6">
        <w:t xml:space="preserve"> for </w:t>
      </w:r>
      <w:r w:rsidR="00E372BE" w:rsidRPr="005629D6">
        <w:t>visualisation</w:t>
      </w:r>
      <w:r w:rsidR="00096BF2" w:rsidRPr="005629D6">
        <w:fldChar w:fldCharType="begin" w:fldLock="1"/>
      </w:r>
      <w:r w:rsidR="00723DD9" w:rsidRPr="005629D6">
        <w:instrText>ADDIN CSL_CITATION {"citationItems":[{"id":"ITEM-1","itemData":{"DOI":"10.1107/S1600576715022931","ISSN":"16005767","abstract":"A novel fast Fourier transform-based ab inito docking algorithm called SAM is presented, for building perfectly symmetrical models of protein complexes with arbitrary point group symmetry. The basic approach uses a novel and very fast one-dimensional symmetry-constrained spherical polar Fourier search to assemble cyclic Cn systems from a given protein monomer. Structures with higher-order (Dn, T, O and I) point group symmetries may be built using a subsequent symmetry-constrained Fourier domain search to assemble trimeric sub-units. The results reported here show that the SAM algorithm can correctly assemble monomers of up to around 500 residues to produce a near-native complex structure with the given point group symmetry in 17 out of 18 test cases. The SAM program may be downloaded for academic use at http://sam.loria.fr/.","author":[{"dropping-particle":"","family":"Ritchie","given":"David W.","non-dropping-particle":"","parse-names":false,"suffix":""},{"dropping-particle":"","family":"Grudinin","given":"Sergei","non-dropping-particle":"","parse-names":false,"suffix":""}],"container-title":"Journal of Applied Crystallography","id":"ITEM-1","issued":{"date-parts":[["2016"]]},"page":"158-167","title":"Spherical polar Fourier assembly of protein complexes with arbitrary point group symmetry","type":"article-journal","volume":"49"},"uris":["http://www.mendeley.com/documents/?uuid=a661bfec-cc1a-433f-9b49-69859d213c3d"]}],"mendeley":{"formattedCitation":"&lt;sup&gt;52&lt;/sup&gt;","plainTextFormattedCitation":"52","previouslyFormattedCitation":"&lt;sup&gt;52&lt;/sup&gt;"},"properties":{"noteIndex":0},"schema":"https://github.com/citation-style-language/schema/raw/master/csl-citation.json"}</w:instrText>
      </w:r>
      <w:r w:rsidR="00096BF2" w:rsidRPr="005629D6">
        <w:fldChar w:fldCharType="separate"/>
      </w:r>
      <w:r w:rsidR="000D52F2" w:rsidRPr="005629D6">
        <w:rPr>
          <w:noProof/>
          <w:vertAlign w:val="superscript"/>
        </w:rPr>
        <w:t>52</w:t>
      </w:r>
      <w:r w:rsidR="00096BF2" w:rsidRPr="005629D6">
        <w:fldChar w:fldCharType="end"/>
      </w:r>
      <w:r w:rsidR="00096BF2" w:rsidRPr="005629D6">
        <w:t>, and all structures were visualised and analysed in PyMol</w:t>
      </w:r>
      <w:r w:rsidR="00CC3FCF" w:rsidRPr="005629D6">
        <w:t>.</w:t>
      </w:r>
      <w:r w:rsidR="00096BF2" w:rsidRPr="005629D6">
        <w:fldChar w:fldCharType="begin" w:fldLock="1"/>
      </w:r>
      <w:r w:rsidR="00723DD9" w:rsidRPr="005629D6">
        <w:instrText>ADDIN CSL_CITATION {"citationItems":[{"id":"ITEM-1","itemData":{"author":[{"dropping-particle":"","family":"Schrödinger","given":"LLC","non-dropping-particle":"","parse-names":false,"suffix":""}],"id":"ITEM-1","issued":{"date-parts":[["2015"]]},"number":"2.0","title":"The PyMOL Molecular Graphics System","type":"article"},"uris":["http://www.mendeley.com/documents/?uuid=aeeb6d5a-6a00-40bc-9017-b0457c1528f6"]}],"mendeley":{"formattedCitation":"&lt;sup&gt;53&lt;/sup&gt;","plainTextFormattedCitation":"53","previouslyFormattedCitation":"&lt;sup&gt;53&lt;/sup&gt;"},"properties":{"noteIndex":0},"schema":"https://github.com/citation-style-language/schema/raw/master/csl-citation.json"}</w:instrText>
      </w:r>
      <w:r w:rsidR="00096BF2" w:rsidRPr="005629D6">
        <w:fldChar w:fldCharType="separate"/>
      </w:r>
      <w:r w:rsidR="000D52F2" w:rsidRPr="005629D6">
        <w:rPr>
          <w:noProof/>
          <w:vertAlign w:val="superscript"/>
        </w:rPr>
        <w:t>53</w:t>
      </w:r>
      <w:r w:rsidR="00096BF2" w:rsidRPr="005629D6">
        <w:fldChar w:fldCharType="end"/>
      </w:r>
    </w:p>
    <w:p w14:paraId="0A4A65E3" w14:textId="48F1A2AB" w:rsidR="00E111D9" w:rsidRPr="005629D6" w:rsidRDefault="00E111D9" w:rsidP="00096BF2">
      <w:proofErr w:type="spellStart"/>
      <w:r w:rsidRPr="005629D6">
        <w:rPr>
          <w:b/>
          <w:bCs/>
        </w:rPr>
        <w:t>AlphaFold</w:t>
      </w:r>
      <w:proofErr w:type="spellEnd"/>
      <w:r w:rsidRPr="005629D6">
        <w:rPr>
          <w:b/>
          <w:bCs/>
        </w:rPr>
        <w:t xml:space="preserve"> Modelling.</w:t>
      </w:r>
      <w:r w:rsidR="00694320" w:rsidRPr="005629D6">
        <w:rPr>
          <w:b/>
          <w:bCs/>
        </w:rPr>
        <w:t xml:space="preserve"> </w:t>
      </w:r>
      <w:r w:rsidR="00694320" w:rsidRPr="005629D6">
        <w:t>In addition to comparative modelling, models were generated using</w:t>
      </w:r>
      <w:r w:rsidR="00E372BE" w:rsidRPr="005629D6">
        <w:t xml:space="preserve"> the</w:t>
      </w:r>
      <w:r w:rsidR="00EE6CCD" w:rsidRPr="005629D6">
        <w:t xml:space="preserve"> </w:t>
      </w:r>
      <w:proofErr w:type="spellStart"/>
      <w:r w:rsidR="00EE6CCD" w:rsidRPr="005629D6">
        <w:t>AlphaFold</w:t>
      </w:r>
      <w:proofErr w:type="spellEnd"/>
      <w:r w:rsidR="00E372BE" w:rsidRPr="005629D6">
        <w:t xml:space="preserve"> server</w:t>
      </w:r>
      <w:r w:rsidR="00EE6CCD" w:rsidRPr="005629D6">
        <w:t xml:space="preserve">. </w:t>
      </w:r>
      <w:r w:rsidR="00723DD9" w:rsidRPr="005629D6">
        <w:fldChar w:fldCharType="begin" w:fldLock="1"/>
      </w:r>
      <w:r w:rsidR="007C627B" w:rsidRPr="005629D6">
        <w:instrText>ADDIN CSL_CITATION {"citationItems":[{"id":"ITEM-1","itemData":{"DOI":"10.1038/s41586-021-03819-2","ISSN":"14764687","PMID":"34265844","abstract":"Proteins are essential to life, and understanding their structure can facilitate a mechanistic understanding of their function. Through an enormous experimental effort1–4, the structures of around 100,000 unique proteins have been determined5, but this represents a small fraction of the billions of known protein sequences6,7. Structural coverage is bottlenecked by the months to years of painstaking effort required to determine a single protein structure. Accurate computational approaches are needed to address this gap and to enable large-scale structural bioinformatics. Predicting the 3-D structure that a protein will adopt based solely on its amino acid sequence, the structure prediction component of the ‘protein folding problem’8, has been an important open research problem for more than 50 years9. Despite recent progress10–14, existing methods fall far short of atomic accuracy, especially when no homologous structure is available. Here we provide the first computational method that can regularly predict protein structures with atomic accuracy even where no similar structure is known. We validated an entirely redesigned version of our neural network-based model, AlphaFold, in the challenging 14th Critical Assessment of protein Structure Prediction (CASP14)15, demonstrating accuracy competitive with experiment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author":[{"dropping-particle":"","family":"Jumper","given":"John","non-dropping-particle":"","parse-names":false,"suffix":""},{"dropping-particle":"","family":"Evans","given":"Richard","non-dropping-particle":"","parse-names":false,"suffix":""},{"dropping-particle":"","family":"Pritzel","given":"Alexander","non-dropping-particle":"","parse-names":false,"suffix":""},{"dropping-particle":"","family":"Green","given":"Tim","non-dropping-particle":"","parse-names":false,"suffix":""},{"dropping-particle":"","family":"Figurnov","given":"Michael","non-dropping-particle":"","parse-names":false,"suffix":""},{"dropping-particle":"","family":"Ronneberger","given":"Olaf","non-dropping-particle":"","parse-names":false,"suffix":""},{"dropping-particle":"","family":"Tunyasuvunakool","given":"Kathryn","non-dropping-particle":"","parse-names":false,"suffix":""},{"dropping-particle":"","family":"Bates","given":"Russ","non-dropping-particle":"","parse-names":false,"suffix":""},{"dropping-particle":"","family":"Žídek","given":"Augustin","non-dropping-particle":"","parse-names":false,"suffix":""},{"dropping-particle":"","family":"Potapenko","given":"Anna","non-dropping-particle":"","parse-names":false,"suffix":""},{"dropping-particle":"","family":"Bridgland","given":"Alex","non-dropping-particle":"","parse-names":false,"suffix":""},{"dropping-particle":"","family":"Meyer","given":"Clemens","non-dropping-particle":"","parse-names":false,"suffix":""},{"dropping-particle":"","family":"Kohl","given":"Simon A.A.","non-dropping-particle":"","parse-names":false,"suffix":""},{"dropping-particle":"","family":"Ballard","given":"Andrew J.","non-dropping-particle":"","parse-names":false,"suffix":""},{"dropping-particle":"","family":"Cowie","given":"Andrew","non-dropping-particle":"","parse-names":false,"suffix":""},{"dropping-particle":"","family":"Romera-Paredes","given":"Bernardino","non-dropping-particle":"","parse-names":false,"suffix":""},{"dropping-particle":"","family":"Nikolov","given":"Stanislav","non-dropping-particle":"","parse-names":false,"suffix":""},{"dropping-particle":"","family":"Jain","given":"Rishub","non-dropping-particle":"","parse-names":false,"suffix":""},{"dropping-particle":"","family":"Adler","given":"Jonas","non-dropping-particle":"","parse-names":false,"suffix":""},{"dropping-particle":"","family":"Back","given":"Trevor","non-dropping-particle":"","parse-names":false,"suffix":""},{"dropping-particle":"","family":"Petersen","given":"Stig","non-dropping-particle":"","parse-names":false,"suffix":""},{"dropping-particle":"","family":"Reiman","given":"David","non-dropping-particle":"","parse-names":false,"suffix":""},{"dropping-particle":"","family":"Clancy","given":"Ellen","non-dropping-particle":"","parse-names":false,"suffix":""},{"dropping-particle":"","family":"Zielinski","given":"Michal","non-dropping-particle":"","parse-names":false,"suffix":""},{"dropping-particle":"","family":"Steinegger","given":"Martin","non-dropping-particle":"","parse-names":false,"suffix":""},{"dropping-particle":"","family":"Pacholska","given":"Michalina","non-dropping-particle":"","parse-names":false,"suffix":""},{"dropping-particle":"","family":"Berghammer","given":"Tamas","non-dropping-particle":"","parse-names":false,"suffix":""},{"dropping-particle":"","family":"Bodenstein","given":"Sebastian","non-dropping-particle":"","parse-names":false,"suffix":""},{"dropping-particle":"","family":"Silver","given":"David","non-dropping-particle":"","parse-names":false,"suffix":""},{"dropping-particle":"","family":"Vinyals","given":"Oriol","non-dropping-particle":"","parse-names":false,"suffix":""},{"dropping-particle":"","family":"Senior","given":"Andrew W.","non-dropping-particle":"","parse-names":false,"suffix":""},{"dropping-particle":"","family":"Kavukcuoglu","given":"Koray","non-dropping-particle":"","parse-names":false,"suffix":""},{"dropping-particle":"","family":"Kohli","given":"Pushmeet","non-dropping-particle":"","parse-names":false,"suffix":""},{"dropping-particle":"","family":"Hassabis","given":"Demis","non-dropping-particle":"","parse-names":false,"suffix":""}],"container-title":"Nature","id":"ITEM-1","issue":"August","issued":{"date-parts":[["2021"]]},"publisher":"Springer US","title":"Highly accurate protein structure prediction with AlphaFold","type":"article-journal","volume":"596"},"uris":["http://www.mendeley.com/documents/?uuid=d00f2fcd-7e6e-476d-a274-aa9fa48dc5c4"]}],"mendeley":{"formattedCitation":"&lt;sup&gt;54&lt;/sup&gt;","plainTextFormattedCitation":"54","previouslyFormattedCitation":"&lt;sup&gt;54&lt;/sup&gt;"},"properties":{"noteIndex":0},"schema":"https://github.com/citation-style-language/schema/raw/master/csl-citation.json"}</w:instrText>
      </w:r>
      <w:r w:rsidR="00723DD9" w:rsidRPr="005629D6">
        <w:fldChar w:fldCharType="separate"/>
      </w:r>
      <w:r w:rsidR="00723DD9" w:rsidRPr="005629D6">
        <w:rPr>
          <w:noProof/>
          <w:vertAlign w:val="superscript"/>
        </w:rPr>
        <w:t>54</w:t>
      </w:r>
      <w:r w:rsidR="00723DD9" w:rsidRPr="005629D6">
        <w:fldChar w:fldCharType="end"/>
      </w:r>
    </w:p>
    <w:p w14:paraId="24A98112" w14:textId="2A1F04AB" w:rsidR="00E111D9" w:rsidRPr="005629D6" w:rsidRDefault="00EF41D2" w:rsidP="00096BF2">
      <w:pPr>
        <w:rPr>
          <w:b/>
          <w:bCs/>
        </w:rPr>
      </w:pPr>
      <w:r w:rsidRPr="005629D6">
        <w:rPr>
          <w:b/>
          <w:bCs/>
        </w:rPr>
        <w:t>Energy</w:t>
      </w:r>
      <w:r w:rsidR="009311D4" w:rsidRPr="005629D6">
        <w:rPr>
          <w:b/>
          <w:bCs/>
        </w:rPr>
        <w:t xml:space="preserve"> Minimisation</w:t>
      </w:r>
      <w:r w:rsidRPr="005629D6">
        <w:rPr>
          <w:b/>
          <w:bCs/>
        </w:rPr>
        <w:t xml:space="preserve"> and Model </w:t>
      </w:r>
      <w:r w:rsidR="00E372BE" w:rsidRPr="005629D6">
        <w:rPr>
          <w:b/>
          <w:bCs/>
        </w:rPr>
        <w:t>Analysis</w:t>
      </w:r>
      <w:r w:rsidR="009311D4" w:rsidRPr="005629D6">
        <w:rPr>
          <w:b/>
          <w:bCs/>
        </w:rPr>
        <w:t>.</w:t>
      </w:r>
      <w:r w:rsidR="003761D5" w:rsidRPr="005629D6">
        <w:rPr>
          <w:b/>
          <w:bCs/>
        </w:rPr>
        <w:t xml:space="preserve"> </w:t>
      </w:r>
      <w:r w:rsidR="003761D5" w:rsidRPr="005629D6">
        <w:t xml:space="preserve">Protein models were compiled into a lipid bilayer </w:t>
      </w:r>
      <w:r w:rsidR="003761D5" w:rsidRPr="005629D6">
        <w:rPr>
          <w:color w:val="000000" w:themeColor="text1"/>
        </w:rPr>
        <w:t>of</w:t>
      </w:r>
      <w:r w:rsidR="00E372BE" w:rsidRPr="005629D6">
        <w:rPr>
          <w:color w:val="000000" w:themeColor="text1"/>
        </w:rPr>
        <w:t xml:space="preserve"> 128 molecules of</w:t>
      </w:r>
      <w:r w:rsidR="003761D5" w:rsidRPr="005629D6">
        <w:rPr>
          <w:color w:val="000000" w:themeColor="text1"/>
        </w:rPr>
        <w:t xml:space="preserve"> </w:t>
      </w:r>
      <w:proofErr w:type="spellStart"/>
      <w:r w:rsidR="003761D5" w:rsidRPr="005629D6">
        <w:rPr>
          <w:rFonts w:cstheme="minorHAnsi"/>
          <w:color w:val="000000" w:themeColor="text1"/>
          <w:shd w:val="clear" w:color="auto" w:fill="FFFFFF"/>
        </w:rPr>
        <w:t>dipalmitoylphosphatidylcholine</w:t>
      </w:r>
      <w:proofErr w:type="spellEnd"/>
      <w:r w:rsidR="003761D5" w:rsidRPr="005629D6">
        <w:rPr>
          <w:color w:val="000000" w:themeColor="text1"/>
        </w:rPr>
        <w:t xml:space="preserve"> (DPPC</w:t>
      </w:r>
      <w:r w:rsidR="003761D5" w:rsidRPr="005629D6">
        <w:t>) using GROMACS before docking.</w:t>
      </w:r>
      <w:r w:rsidR="003761D5" w:rsidRPr="005629D6">
        <w:fldChar w:fldCharType="begin" w:fldLock="1"/>
      </w:r>
      <w:r w:rsidR="00581459" w:rsidRPr="005629D6">
        <w:instrText>ADDIN CSL_CITATION {"citationItems":[{"id":"ITEM-1","itemData":{"DOI":"10.1002/jcc.20291","ISSN":"01928651","PMID":"16211538","abstract":"This article describes the software suite GROMACS (Groningen MAchine for Chemical Simulation) that was developed at the University of Groningen, The Netherlands, in the early 1990s. The software, written in ANSI C, originates from a parallel hardware project, and is well suited for parallelization on processor clusters. By careful optimization of neighbor searching and of inner loop performance, GROMACS is a very fast program for molecular dynamics simulation. It does not have a force field of its own, but is compatible with GROMOS, OPLS, AMBER, and ENCAD force fields. In addition, it can handle polarizable shell models and flexible constraints. The program is versatile, as force routines can be added by the user, tabulated functions can be specified, and analyses can be easily customized. Nonequilibrium dynamics and free energy determinations are incorporated. Interfaces with popular quantum-chemical packages (MOPAC, GAMES-UK, GAUSSIAN) are provided to perform mixed MM/QM simulations. The package includes about 100 utility and analysis programs. GROMACS is in the public domain and distributed (with source code and documentation) under the GNU General Public License. It is maintained by a group of developers from the Universities of Groningen, Uppsala, and Stockholm, and the Max Planck Institute for Polymer Research in Mainz. Its Web site is http://www.gromacs.org. © 2005 Wiley Periodicals, Inc.","author":[{"dropping-particle":"","family":"Spoel","given":"David","non-dropping-particle":"Van Der","parse-names":false,"suffix":""},{"dropping-particle":"","family":"Lindahl","given":"Erik","non-dropping-particle":"","parse-names":false,"suffix":""},{"dropping-particle":"","family":"Hess","given":"Berk","non-dropping-particle":"","parse-names":false,"suffix":""},{"dropping-particle":"","family":"Groenhof","given":"Gerrit","non-dropping-particle":"","parse-names":false,"suffix":""},{"dropping-particle":"","family":"Mark","given":"Alan E.","non-dropping-particle":"","parse-names":false,"suffix":""},{"dropping-particle":"","family":"Berendsen","given":"Herman J.C.","non-dropping-particle":"","parse-names":false,"suffix":""}],"container-title":"Journal of Computational Chemistry","id":"ITEM-1","issue":"16","issued":{"date-parts":[["2005"]]},"page":"1701-1718","title":"GROMACS: Fast, flexible, and free","type":"article-journal","volume":"26"},"uris":["http://www.mendeley.com/documents/?uuid=67aadde7-0181-47d1-a6bc-ce702d196bc5"]},{"id":"ITEM-2","itemData":{"author":[{"dropping-particle":"","family":"Peter Tieleman","given":"","non-dropping-particle":"","parse-names":false,"suffix":""}],"id":"ITEM-2","issued":{"date-parts":[["2002"]]},"title":"Biocomputing Group","type":"webpage"},"uris":["http://www.mendeley.com/documents/?uuid=a3da8ca3-4758-44bb-a36e-27c8fcbafef0","http://www.mendeley.com/documents/?uuid=d32a48b2-5a78-40c7-9a7e-7e84b06c2b07"]}],"mendeley":{"formattedCitation":"&lt;sup&gt;55,56&lt;/sup&gt;","plainTextFormattedCitation":"55,56","previouslyFormattedCitation":"&lt;sup&gt;55,56&lt;/sup&gt;"},"properties":{"noteIndex":0},"schema":"https://github.com/citation-style-language/schema/raw/master/csl-citation.json"}</w:instrText>
      </w:r>
      <w:r w:rsidR="003761D5" w:rsidRPr="005629D6">
        <w:fldChar w:fldCharType="separate"/>
      </w:r>
      <w:r w:rsidR="00642F4D" w:rsidRPr="005629D6">
        <w:rPr>
          <w:noProof/>
          <w:vertAlign w:val="superscript"/>
        </w:rPr>
        <w:t>55,56</w:t>
      </w:r>
      <w:r w:rsidR="003761D5" w:rsidRPr="005629D6">
        <w:fldChar w:fldCharType="end"/>
      </w:r>
      <w:r w:rsidRPr="005629D6">
        <w:t xml:space="preserve"> </w:t>
      </w:r>
      <w:r w:rsidR="00E372BE" w:rsidRPr="005629D6">
        <w:t>The systems were solvated, neutralised and energy minimised</w:t>
      </w:r>
      <w:r w:rsidR="00AD34EB" w:rsidRPr="005629D6">
        <w:t xml:space="preserve"> using the </w:t>
      </w:r>
      <w:r w:rsidR="00705F84" w:rsidRPr="005629D6">
        <w:t>C</w:t>
      </w:r>
      <w:r w:rsidR="00DF3258" w:rsidRPr="005629D6">
        <w:t>HARMM36</w:t>
      </w:r>
      <w:r w:rsidR="00B71A75" w:rsidRPr="005629D6">
        <w:t xml:space="preserve"> force field.</w:t>
      </w:r>
      <w:r w:rsidR="00E372BE" w:rsidRPr="005629D6">
        <w:t xml:space="preserve"> </w:t>
      </w:r>
      <w:r w:rsidR="00B71A75" w:rsidRPr="005629D6">
        <w:t xml:space="preserve">SPC water molecules were used, and </w:t>
      </w:r>
      <w:r w:rsidR="00501578" w:rsidRPr="005629D6">
        <w:t>sodium (Na</w:t>
      </w:r>
      <w:r w:rsidR="00501578" w:rsidRPr="005629D6">
        <w:rPr>
          <w:vertAlign w:val="superscript"/>
        </w:rPr>
        <w:t>+</w:t>
      </w:r>
      <w:r w:rsidR="00501578" w:rsidRPr="005629D6">
        <w:t>)</w:t>
      </w:r>
      <w:r w:rsidR="00B71A75" w:rsidRPr="005629D6">
        <w:t xml:space="preserve"> and </w:t>
      </w:r>
      <w:r w:rsidR="00501578" w:rsidRPr="005629D6">
        <w:t>chloride (Cl</w:t>
      </w:r>
      <w:r w:rsidR="00501578" w:rsidRPr="005629D6">
        <w:rPr>
          <w:vertAlign w:val="superscript"/>
        </w:rPr>
        <w:t>-</w:t>
      </w:r>
      <w:r w:rsidR="00501578" w:rsidRPr="005629D6">
        <w:t>)</w:t>
      </w:r>
      <w:r w:rsidR="00B71A75" w:rsidRPr="005629D6">
        <w:t xml:space="preserve"> ions for neutralisation. </w:t>
      </w:r>
      <w:r w:rsidR="00E372BE" w:rsidRPr="005629D6">
        <w:t xml:space="preserve"> </w:t>
      </w:r>
      <w:r w:rsidR="00401EB9" w:rsidRPr="005629D6">
        <w:t xml:space="preserve">Each model was </w:t>
      </w:r>
      <w:r w:rsidR="00B71A75" w:rsidRPr="005629D6">
        <w:t xml:space="preserve">then </w:t>
      </w:r>
      <w:r w:rsidRPr="005629D6">
        <w:t>assessed using discrete optimised protein energy (DOPE)</w:t>
      </w:r>
      <w:r w:rsidR="00401EB9" w:rsidRPr="005629D6">
        <w:t xml:space="preserve"> and a Ramachandran plot (</w:t>
      </w:r>
      <w:proofErr w:type="spellStart"/>
      <w:r w:rsidR="00DE3850" w:rsidRPr="005629D6">
        <w:t>Molprobity</w:t>
      </w:r>
      <w:proofErr w:type="spellEnd"/>
      <w:r w:rsidR="00DE3850" w:rsidRPr="005629D6">
        <w:t>)</w:t>
      </w:r>
      <w:r w:rsidR="00AD34EB" w:rsidRPr="005629D6">
        <w:t xml:space="preserve">. </w:t>
      </w:r>
      <w:r w:rsidR="00642F4D" w:rsidRPr="005629D6">
        <w:fldChar w:fldCharType="begin" w:fldLock="1"/>
      </w:r>
      <w:r w:rsidR="00581459" w:rsidRPr="005629D6">
        <w:instrText>ADDIN CSL_CITATION {"citationItems":[{"id":"ITEM-1","itemData":{"DOI":"doi:10.1002/cpbi.3","author":[{"dropping-particle":"","family":"Webb","given":"Benjamin","non-dropping-particle":"","parse-names":false,"suffix":""},{"dropping-particle":"","family":"Sali","given":"Andrej","non-dropping-particle":"","parse-names":false,"suffix":""}],"container-title":"Current Protocols in Bioinformatics","id":"ITEM-1","issue":"5.6","issued":{"date-parts":[["2017"]]},"page":"1-37","title":"Comparative Protein Structure Modeling Using MODELLER","type":"article-journal","volume":"54"},"uris":["http://www.mendeley.com/documents/?uuid=ca86df18-4f8f-4e3b-9707-2c88909ef2ec"]},{"id":"ITEM-2","itemData":{"DOI":"10.1107/S0907444909042073","ISSN":"09074449","abstract":"MolProbity is a structure-validation web service that provides broad-spectrum solidly based evaluation of model quality at both the global and local levels for both proteins and nucleic acids. It relies heavily on the power and sensitivity provided by optimized hydrogen placement and all-atom contact analysis, complemented by updated versions of covalent-geometry and torsion-angle criteria. Some of the local corrections can be performed automatically in MolProbity and all of the diagnostics are presented in chart and graphical forms that help guide manual rebuilding. X-ray crystallography provides a wealth of biologically important molecular data in the form of atomic three-dimensional structures of proteins, nucleic acids and increasingly large complexes in multiple forms and states. Advances in automation, in everything from crystallization to data collection to phasing to model building to refinement, have made solving a structure using crystallo-graphy easier than ever. However, despite these improvements, local errors that can affect biological interpretation are widespread at low resolution and even high-resolution structures nearly all contain at least a few local errors such as Ramachandran outliers, flipped branched protein side chains and incorrect sugar puckers. It is critical both for the crystallographer and for the end user that there are easy and reliable methods to diagnose and correct these sorts of errors in structures. MolProbity is the authors contribution to helping solve this problem and this article reviews its general capabilities, reports on recent enhancements and usage, and presents evidence that the resulting improvements are now beneficially affecting the global database. © 2010 International Union of Crystallography Printed in Singapore - all rights reserved.","author":[{"dropping-particle":"","family":"Chen","given":"Vincent B.","non-dropping-particle":"","parse-names":false,"suffix":""},{"dropping-particle":"","family":"Arendall","given":"W. Bryan","non-dropping-particle":"","parse-names":false,"suffix":""},{"dropping-particle":"","family":"Headd","given":"Jeffrey J.","non-dropping-particle":"","parse-names":false,"suffix":""},{"dropping-particle":"","family":"Keedy","given":"Daniel A.","non-dropping-particle":"","parse-names":false,"suffix":""},{"dropping-particle":"","family":"Immormino","given":"Robert M.","non-dropping-particle":"","parse-names":false,"suffix":""},{"dropping-particle":"","family":"Kapral","given":"Gary J.","non-dropping-particle":"","parse-names":false,"suffix":""},{"dropping-particle":"","family":"Murray","given":"Laura W.","non-dropping-particle":"","parse-names":false,"suffix":""},{"dropping-particle":"","family":"Richardson","given":"Jane S.","non-dropping-particle":"","parse-names":false,"suffix":""},{"dropping-particle":"","family":"Richardson","given":"David C.","non-dropping-particle":"","parse-names":false,"suffix":""}],"container-title":"Acta Crystallographica Section D: Biological Crystallography","id":"ITEM-2","issue":"1","issued":{"date-parts":[["2010"]]},"page":"12-21","title":"MolProbity: All-atom structure validation for macromolecular crystallography","type":"article-journal","volume":"66"},"uris":["http://www.mendeley.com/documents/?uuid=df2bbb6a-0af2-4d30-9912-78408da3a901"]},{"id":"ITEM-3","itemData":{"DOI":"10.1002/pro.3330","ISSN":"1469896X","PMID":"29067766","abstract":"This paper describes the current update on macromolecular model validation services that are provided at the MolProbity website, emphasizing changes and additions since the previous review in 2010. There have been many infrastructure improvements, including rewrite of previous Java utilities to now use existing or newly written Python utilities in the open-source CCTBX portion of the Phenix software system. This improves long-term maintainability and enhances the thorough integration of MolProbity-style validation within Phenix. There is now a complete MolProbity mirror site at http://molprobity.manchester.ac.uk. GitHub serves our open-source code, reference datasets, and the resulting multi-dimensional distributions that define most validation criteria. Coordinate output after Asn/Gln/His “flip” correction is now more idealized, since the post-refinement step has apparently often been skipped in the past. Two distinct sets of heavy-atom-to-hydrogen distances and accompanying van der Waals radii have been researched and improved in accuracy, one for the electron-cloud-center positions suitable for X-ray crystallography and one for nuclear positions. New validations include messages at input about problem-causing format irregularities, updates of Ramachandran and rotamer criteria from the million quality-filtered residues in a new reference dataset, the CaBLAM Cα-CO virtual-angle analysis of backbone and secondary structure for cryoEM or low-resolution X-ray, and flagging of the very rare cis-nonProline and twisted peptides which have recently been greatly overused. Due to wide application of MolProbity validation and corrections by the research community, in Phenix, and at the worldwide Protein Data Bank, newly deposited structures have continued to improve greatly as measured by MolProbity's unique all-atom clashscore.","author":[{"dropping-particle":"","family":"Williams","given":"Christopher J.","non-dropping-particle":"","parse-names":false,"suffix":""},{"dropping-particle":"","family":"Headd","given":"Jeffrey J.","non-dropping-particle":"","parse-names":false,"suffix":""},{"dropping-particle":"","family":"Moriarty","given":"Nigel W.","non-dropping-particle":"","parse-names":false,"suffix":""},{"dropping-particle":"","family":"Prisant","given":"Michael G.","non-dropping-particle":"","parse-names":false,"suffix":""},{"dropping-particle":"","family":"Videau","given":"Lizbeth L.","non-dropping-particle":"","parse-names":false,"suffix":""},{"dropping-particle":"","family":"Deis","given":"Lindsay N.","non-dropping-particle":"","parse-names":false,"suffix":""},{"dropping-particle":"","family":"Verma","given":"Vishal","non-dropping-particle":"","parse-names":false,"suffix":""},{"dropping-particle":"","family":"Keedy","given":"Daniel A.","non-dropping-particle":"","parse-names":false,"suffix":""},{"dropping-particle":"","family":"Hintze","given":"Bradley J.","non-dropping-particle":"","parse-names":false,"suffix":""},{"dropping-particle":"","family":"Chen","given":"Vincent B.","non-dropping-particle":"","parse-names":false,"suffix":""},{"dropping-particle":"","family":"Jain","given":"Swati","non-dropping-particle":"","parse-names":false,"suffix":""},{"dropping-particle":"","family":"Lewis","given":"Steven M.","non-dropping-particle":"","parse-names":false,"suffix":""},{"dropping-particle":"","family":"Arendall","given":"W. Bryan","non-dropping-particle":"","parse-names":false,"suffix":""},{"dropping-particle":"","family":"Snoeyink","given":"Jack","non-dropping-particle":"","parse-names":false,"suffix":""},{"dropping-particle":"","family":"Adams","given":"Paul D.","non-dropping-particle":"","parse-names":false,"suffix":""},{"dropping-particle":"","family":"Lovell","given":"Simon C.","non-dropping-particle":"","parse-names":false,"suffix":""},{"dropping-particle":"","family":"Richardson","given":"Jane S.","non-dropping-particle":"","parse-names":false,"suffix":""},{"dropping-particle":"","family":"Richardson","given":"David C.","non-dropping-particle":"","parse-names":false,"suffix":""}],"container-title":"Protein Science","id":"ITEM-3","issue":"1","issued":{"date-parts":[["2018"]]},"page":"293-315","title":"MolProbity: More and better reference data for improved all-atom structure validation","type":"article-journal","volume":"27"},"uris":["http://www.mendeley.com/documents/?uuid=4cb0ab71-e3e9-4d14-a1e9-091639dc7389"]}],"mendeley":{"formattedCitation":"&lt;sup&gt;50,57,58&lt;/sup&gt;","plainTextFormattedCitation":"50,57,58","previouslyFormattedCitation":"&lt;sup&gt;50,57,58&lt;/sup&gt;"},"properties":{"noteIndex":0},"schema":"https://github.com/citation-style-language/schema/raw/master/csl-citation.json"}</w:instrText>
      </w:r>
      <w:r w:rsidR="00642F4D" w:rsidRPr="005629D6">
        <w:fldChar w:fldCharType="separate"/>
      </w:r>
      <w:r w:rsidR="00642F4D" w:rsidRPr="005629D6">
        <w:rPr>
          <w:noProof/>
          <w:vertAlign w:val="superscript"/>
        </w:rPr>
        <w:t>50,57,58</w:t>
      </w:r>
      <w:r w:rsidR="00642F4D" w:rsidRPr="005629D6">
        <w:fldChar w:fldCharType="end"/>
      </w:r>
      <w:r w:rsidR="00581459" w:rsidRPr="005629D6">
        <w:t xml:space="preserve"> For docking</w:t>
      </w:r>
      <w:r w:rsidR="00501578" w:rsidRPr="005629D6">
        <w:t xml:space="preserve"> procedures</w:t>
      </w:r>
      <w:r w:rsidR="00581459" w:rsidRPr="005629D6">
        <w:t>, water molecules were removed.</w:t>
      </w:r>
    </w:p>
    <w:p w14:paraId="1EFB5CBB" w14:textId="43A2D049" w:rsidR="006A2D57" w:rsidRPr="005629D6" w:rsidRDefault="00482428" w:rsidP="00BF5830">
      <w:r w:rsidRPr="005629D6">
        <w:rPr>
          <w:b/>
          <w:bCs/>
        </w:rPr>
        <w:t>Docking Studies</w:t>
      </w:r>
      <w:r w:rsidR="00BC0394" w:rsidRPr="005629D6">
        <w:rPr>
          <w:b/>
          <w:bCs/>
        </w:rPr>
        <w:t>.</w:t>
      </w:r>
      <w:r w:rsidR="00BC0394" w:rsidRPr="005629D6">
        <w:t xml:space="preserve"> </w:t>
      </w:r>
      <w:r w:rsidR="00F3550A" w:rsidRPr="005629D6">
        <w:t xml:space="preserve">The </w:t>
      </w:r>
      <w:r w:rsidR="00A203B4" w:rsidRPr="005629D6">
        <w:t>selected</w:t>
      </w:r>
      <w:r w:rsidR="00F3550A" w:rsidRPr="005629D6">
        <w:t xml:space="preserve"> models were carried forward for docking studies. File preparation, docking and subsequent analysis were </w:t>
      </w:r>
      <w:r w:rsidR="00173C11" w:rsidRPr="005629D6">
        <w:t xml:space="preserve">all </w:t>
      </w:r>
      <w:r w:rsidR="00F3550A" w:rsidRPr="005629D6">
        <w:t>performed using</w:t>
      </w:r>
      <w:r w:rsidR="00776987" w:rsidRPr="005629D6">
        <w:t xml:space="preserve"> either</w:t>
      </w:r>
      <w:r w:rsidR="00F3550A" w:rsidRPr="005629D6">
        <w:t xml:space="preserve"> </w:t>
      </w:r>
      <w:proofErr w:type="spellStart"/>
      <w:r w:rsidR="00F3550A" w:rsidRPr="005629D6">
        <w:t>AutoDock</w:t>
      </w:r>
      <w:proofErr w:type="spellEnd"/>
      <w:r w:rsidR="00F3550A" w:rsidRPr="005629D6">
        <w:t xml:space="preserve"> v4.2 </w:t>
      </w:r>
      <w:r w:rsidR="00173C11" w:rsidRPr="005629D6">
        <w:t>and</w:t>
      </w:r>
      <w:r w:rsidR="00F3550A" w:rsidRPr="005629D6">
        <w:t xml:space="preserve"> the Racoon virtual screening tool</w:t>
      </w:r>
      <w:r w:rsidR="00776987" w:rsidRPr="005629D6">
        <w:t xml:space="preserve">, or </w:t>
      </w:r>
      <w:proofErr w:type="spellStart"/>
      <w:r w:rsidR="00776987" w:rsidRPr="005629D6">
        <w:t>Autodock</w:t>
      </w:r>
      <w:proofErr w:type="spellEnd"/>
      <w:r w:rsidR="00776987" w:rsidRPr="005629D6">
        <w:t xml:space="preserve"> Vina</w:t>
      </w:r>
      <w:r w:rsidR="00CC3FCF" w:rsidRPr="005629D6">
        <w:t>.</w:t>
      </w:r>
      <w:r w:rsidR="00776987" w:rsidRPr="005629D6">
        <w:fldChar w:fldCharType="begin" w:fldLock="1"/>
      </w:r>
      <w:r w:rsidR="00205BCC" w:rsidRPr="005629D6">
        <w:instrText>ADDIN CSL_CITATION {"citationItems":[{"id":"ITEM-1","itemData":{"DOI":"10.1126/science.287.5461.2185","ISBN":"0036-8075; 0036-8075","ISSN":"0036-8075","PMID":"10731132","abstract":"The fly Drosophila melanogaster is one of the most intensively studied organisms in biology and serves as a model system for the investigation of many developmental and cellular processes common to higher eukaryotes, including humans. We have determined the nucleotide sequence of nearly all of the similar to 120-megabase euchromatic portion of the Drosophila genome using a whole-genome shotgun sequencing strategy supported by extensive clone-based sequence and a high-quality bacterial artificial chromosome physical map. Efforts are under way to close the remaining gaps; however, the sequence is of sufficient accuracy and Contiguity to be declared substantially complete and to support an initial analysis of genome structure and preliminary gene annotation and interpretation. The genome encodes similar to 13,600 genes, somewhat fewer than the smaller Caenorhabditis elegans genome, but with comparable functional diversity.","author":[{"dropping-particle":"","family":"Adams","given":"MD","non-dropping-particle":"","parse-names":false,"suffix":""},{"dropping-particle":"","family":"Celniker","given":"SE","non-dropping-particle":"","parse-names":false,"suffix":""},{"dropping-particle":"","family":"Holt","given":"RA","non-dropping-particle":"","parse-names":false,"suffix":""},{"dropping-particle":"","family":"Evans","given":"CA","non-dropping-particle":"","parse-names":false,"suffix":""},{"dropping-particle":"","family":"Gocyane","given":"JD","non-dropping-particle":"","parse-names":false,"suffix":""},{"dropping-particle":"","family":"Amanatides","given":"PG","non-dropping-particle":"","parse-names":false,"suffix":""},{"dropping-particle":"","family":"Scherer","given":"SE","non-dropping-particle":"","parse-names":false,"suffix":""},{"dropping-particle":"","family":"Li","given":"PW","non-dropping-particle":"","parse-names":false,"suffix":""},{"dropping-particle":"","family":"Hoskins","given":"RA","non-dropping-particle":"","parse-names":false,"suffix":""}],"container-title":"Science","id":"ITEM-1","issue":"March","issued":{"date-parts":[["2000"]]},"page":"2185-2195","title":"The genome sequence of Drosophila melanogaster","type":"article-journal","volume":"287"},"uris":["http://www.mendeley.com/documents/?uuid=e5aec798-1d6a-4625-8449-8c95fbb2b96e"]},{"id":"ITEM-2","itemData":{"DOI":"DOI 10.1002/jcc.21334","ISBN":"1096-987X","ISSN":"1096-987X","author":[{"dropping-particle":"","family":"Trott","given":"Oleg","non-dropping-particle":"","parse-names":false,"suffix":""},{"dropping-particle":"","family":"Olson","given":"Arthur J.","non-dropping-particle":"","parse-names":false,"suffix":""}],"container-title":"Journal of computational chemistry","id":"ITEM-2","issued":{"date-parts":[["2010"]]},"page":"455-461","title":"AutoDock Vina: Improving the Speed and Accuracy ofDocking with a New Scoring Function, EfficientOptimization, and Multithreading","type":"article-journal","volume":"31"},"uris":["http://www.mendeley.com/documents/?uuid=c9e4af4b-8bdb-4d21-bb89-a832b0cf2973"]}],"mendeley":{"formattedCitation":"&lt;sup&gt;59,60&lt;/sup&gt;","plainTextFormattedCitation":"59,60","previouslyFormattedCitation":"&lt;sup&gt;59,60&lt;/sup&gt;"},"properties":{"noteIndex":0},"schema":"https://github.com/citation-style-language/schema/raw/master/csl-citation.json"}</w:instrText>
      </w:r>
      <w:r w:rsidR="00776987" w:rsidRPr="005629D6">
        <w:fldChar w:fldCharType="separate"/>
      </w:r>
      <w:r w:rsidR="001F1ED2" w:rsidRPr="005629D6">
        <w:rPr>
          <w:noProof/>
          <w:vertAlign w:val="superscript"/>
        </w:rPr>
        <w:t>59,60</w:t>
      </w:r>
      <w:r w:rsidR="00776987" w:rsidRPr="005629D6">
        <w:fldChar w:fldCharType="end"/>
      </w:r>
      <w:r w:rsidR="001A427A" w:rsidRPr="005629D6">
        <w:t xml:space="preserve"> </w:t>
      </w:r>
      <w:r w:rsidR="00DD4EE3" w:rsidRPr="005629D6">
        <w:t>A grid</w:t>
      </w:r>
      <w:r w:rsidR="006A152A" w:rsidRPr="005629D6">
        <w:t xml:space="preserve"> containing the extracellular region of the receptor</w:t>
      </w:r>
      <w:r w:rsidR="00173C11" w:rsidRPr="005629D6">
        <w:t>,</w:t>
      </w:r>
      <w:r w:rsidR="00FF2C8C" w:rsidRPr="005629D6">
        <w:t xml:space="preserve"> centred on the central pocket of the receptor and with size </w:t>
      </w:r>
      <w:r w:rsidR="006A152A" w:rsidRPr="005629D6">
        <w:t>110 x 60 x 95</w:t>
      </w:r>
      <w:r w:rsidR="001F1ED2" w:rsidRPr="005629D6">
        <w:t xml:space="preserve"> </w:t>
      </w:r>
      <w:r w:rsidR="00597AA2" w:rsidRPr="005629D6">
        <w:rPr>
          <w:lang w:val="en-US"/>
        </w:rPr>
        <w:t>Å</w:t>
      </w:r>
      <w:r w:rsidR="00173C11" w:rsidRPr="005629D6">
        <w:t xml:space="preserve"> containing</w:t>
      </w:r>
      <w:r w:rsidR="00DD4EE3" w:rsidRPr="005629D6">
        <w:t xml:space="preserve"> the extracellular region of the receptor</w:t>
      </w:r>
      <w:r w:rsidR="00173C11" w:rsidRPr="005629D6">
        <w:t>,</w:t>
      </w:r>
      <w:r w:rsidR="00DD4EE3" w:rsidRPr="005629D6">
        <w:t xml:space="preserve"> was provided for docking</w:t>
      </w:r>
      <w:r w:rsidR="006A152A" w:rsidRPr="005629D6">
        <w:t xml:space="preserve">. For </w:t>
      </w:r>
      <w:proofErr w:type="spellStart"/>
      <w:r w:rsidR="006A152A" w:rsidRPr="005629D6">
        <w:t>AutoDock</w:t>
      </w:r>
      <w:proofErr w:type="spellEnd"/>
      <w:r w:rsidR="006A152A" w:rsidRPr="005629D6">
        <w:t xml:space="preserve"> 4.2,</w:t>
      </w:r>
      <w:r w:rsidR="00DD4EE3" w:rsidRPr="005629D6">
        <w:t xml:space="preserve"> a </w:t>
      </w:r>
      <w:r w:rsidR="00F3550A" w:rsidRPr="005629D6">
        <w:t>Lamarckian GA algorithm with a semi-flexible docking approach was used to assess potential binding interactions between the receptor and ligands.</w:t>
      </w:r>
      <w:r w:rsidR="00930496" w:rsidRPr="005629D6">
        <w:t xml:space="preserve"> Each </w:t>
      </w:r>
      <w:proofErr w:type="spellStart"/>
      <w:r w:rsidR="00930496" w:rsidRPr="005629D6">
        <w:t>Autodock</w:t>
      </w:r>
      <w:proofErr w:type="spellEnd"/>
      <w:r w:rsidR="00930496" w:rsidRPr="005629D6">
        <w:t xml:space="preserve"> 4.2 run generated 20 </w:t>
      </w:r>
      <w:r w:rsidR="004C0C12" w:rsidRPr="005629D6">
        <w:t>docked poses</w:t>
      </w:r>
      <w:r w:rsidR="00930496" w:rsidRPr="005629D6">
        <w:t xml:space="preserve">. For </w:t>
      </w:r>
      <w:proofErr w:type="spellStart"/>
      <w:r w:rsidR="00930496" w:rsidRPr="005629D6">
        <w:t>Autodock</w:t>
      </w:r>
      <w:proofErr w:type="spellEnd"/>
      <w:r w:rsidR="00930496" w:rsidRPr="005629D6">
        <w:t xml:space="preserve"> Vina, </w:t>
      </w:r>
      <w:r w:rsidR="004C0C12" w:rsidRPr="005629D6">
        <w:t xml:space="preserve">an exhaustiveness of 100, energy range of 50 and 8 CPUs were used to generate 20 </w:t>
      </w:r>
      <w:r w:rsidR="004C0C12" w:rsidRPr="005629D6">
        <w:lastRenderedPageBreak/>
        <w:t>docked poses.</w:t>
      </w:r>
      <w:r w:rsidR="00F3550A" w:rsidRPr="005629D6">
        <w:t xml:space="preserve"> Potential binding sites were then identified by observing</w:t>
      </w:r>
      <w:r w:rsidR="00DD4EE3" w:rsidRPr="005629D6">
        <w:t xml:space="preserve"> predicted kinetic data and</w:t>
      </w:r>
      <w:r w:rsidR="00F3550A" w:rsidRPr="005629D6">
        <w:t xml:space="preserve"> residue interactions for each ligand</w:t>
      </w:r>
      <w:r w:rsidR="00743896" w:rsidRPr="005629D6">
        <w:t>-protein complex.</w:t>
      </w:r>
    </w:p>
    <w:p w14:paraId="5C79A0E6" w14:textId="6C5F986C" w:rsidR="00E7530E" w:rsidRPr="005629D6" w:rsidRDefault="00E7530E" w:rsidP="00BF5830">
      <w:r w:rsidRPr="005629D6">
        <w:rPr>
          <w:b/>
          <w:bCs/>
        </w:rPr>
        <w:t xml:space="preserve">Molecular Dynamics. </w:t>
      </w:r>
      <w:r w:rsidRPr="005629D6">
        <w:t xml:space="preserve">In order to study the interaction between </w:t>
      </w:r>
      <w:proofErr w:type="spellStart"/>
      <w:r w:rsidRPr="005629D6">
        <w:t>ApisORCO</w:t>
      </w:r>
      <w:proofErr w:type="spellEnd"/>
      <w:r w:rsidRPr="005629D6">
        <w:t xml:space="preserve"> and VUAA1 in more detail, molecular dynamics were performed</w:t>
      </w:r>
      <w:r w:rsidR="00205BCC" w:rsidRPr="005629D6">
        <w:t xml:space="preserve"> using GROMACS</w:t>
      </w:r>
      <w:r w:rsidRPr="005629D6">
        <w:t>.</w:t>
      </w:r>
      <w:r w:rsidR="00205BCC" w:rsidRPr="005629D6">
        <w:fldChar w:fldCharType="begin" w:fldLock="1"/>
      </w:r>
      <w:r w:rsidR="00111502" w:rsidRPr="005629D6">
        <w:instrText>ADDIN CSL_CITATION {"citationItems":[{"id":"ITEM-1","itemData":{"DOI":"10.1002/jcc.20291","ISSN":"01928651","PMID":"16211538","abstract":"This article describes the software suite GROMACS (Groningen MAchine for Chemical Simulation) that was developed at the University of Groningen, The Netherlands, in the early 1990s. The software, written in ANSI C, originates from a parallel hardware project, and is well suited for parallelization on processor clusters. By careful optimization of neighbor searching and of inner loop performance, GROMACS is a very fast program for molecular dynamics simulation. It does not have a force field of its own, but is compatible with GROMOS, OPLS, AMBER, and ENCAD force fields. In addition, it can handle polarizable shell models and flexible constraints. The program is versatile, as force routines can be added by the user, tabulated functions can be specified, and analyses can be easily customized. Nonequilibrium dynamics and free energy determinations are incorporated. Interfaces with popular quantum-chemical packages (MOPAC, GAMES-UK, GAUSSIAN) are provided to perform mixed MM/QM simulations. The package includes about 100 utility and analysis programs. GROMACS is in the public domain and distributed (with source code and documentation) under the GNU General Public License. It is maintained by a group of developers from the Universities of Groningen, Uppsala, and Stockholm, and the Max Planck Institute for Polymer Research in Mainz. Its Web site is http://www.gromacs.org. © 2005 Wiley Periodicals, Inc.","author":[{"dropping-particle":"","family":"Spoel","given":"David","non-dropping-particle":"Van Der","parse-names":false,"suffix":""},{"dropping-particle":"","family":"Lindahl","given":"Erik","non-dropping-particle":"","parse-names":false,"suffix":""},{"dropping-particle":"","family":"Hess","given":"Berk","non-dropping-particle":"","parse-names":false,"suffix":""},{"dropping-particle":"","family":"Groenhof","given":"Gerrit","non-dropping-particle":"","parse-names":false,"suffix":""},{"dropping-particle":"","family":"Mark","given":"Alan E.","non-dropping-particle":"","parse-names":false,"suffix":""},{"dropping-particle":"","family":"Berendsen","given":"Herman J.C.","non-dropping-particle":"","parse-names":false,"suffix":""}],"container-title":"Journal of Computational Chemistry","id":"ITEM-1","issue":"16","issued":{"date-parts":[["2005"]]},"page":"1701-1718","title":"GROMACS: Fast, flexible, and free","type":"article-journal","volume":"26"},"uris":["http://www.mendeley.com/documents/?uuid=67aadde7-0181-47d1-a6bc-ce702d196bc5"]}],"mendeley":{"formattedCitation":"&lt;sup&gt;55&lt;/sup&gt;","plainTextFormattedCitation":"55","previouslyFormattedCitation":"&lt;sup&gt;55&lt;/sup&gt;"},"properties":{"noteIndex":0},"schema":"https://github.com/citation-style-language/schema/raw/master/csl-citation.json"}</w:instrText>
      </w:r>
      <w:r w:rsidR="00205BCC" w:rsidRPr="005629D6">
        <w:fldChar w:fldCharType="separate"/>
      </w:r>
      <w:r w:rsidR="00205BCC" w:rsidRPr="005629D6">
        <w:rPr>
          <w:noProof/>
          <w:vertAlign w:val="superscript"/>
        </w:rPr>
        <w:t>55</w:t>
      </w:r>
      <w:r w:rsidR="00205BCC" w:rsidRPr="005629D6">
        <w:fldChar w:fldCharType="end"/>
      </w:r>
      <w:r w:rsidRPr="005629D6">
        <w:t xml:space="preserve"> </w:t>
      </w:r>
      <w:r w:rsidR="00205BCC" w:rsidRPr="005629D6">
        <w:t xml:space="preserve">A system including </w:t>
      </w:r>
      <w:proofErr w:type="spellStart"/>
      <w:r w:rsidR="00205BCC" w:rsidRPr="005629D6">
        <w:t>ApisORCO</w:t>
      </w:r>
      <w:proofErr w:type="spellEnd"/>
      <w:r w:rsidR="00205BCC" w:rsidRPr="005629D6">
        <w:t xml:space="preserve"> and docked VUAA1 ligand was simulated. </w:t>
      </w:r>
      <w:r w:rsidR="004F4F54" w:rsidRPr="005629D6">
        <w:t>T</w:t>
      </w:r>
      <w:r w:rsidR="00205BCC" w:rsidRPr="005629D6">
        <w:t>he complex was solvated in a</w:t>
      </w:r>
      <w:r w:rsidR="00387387" w:rsidRPr="005629D6">
        <w:t xml:space="preserve"> cubic </w:t>
      </w:r>
      <w:r w:rsidR="00205BCC" w:rsidRPr="005629D6">
        <w:t xml:space="preserve">20.0 x 20.0 x 20.0 nm box with </w:t>
      </w:r>
      <w:r w:rsidR="00334615" w:rsidRPr="005629D6">
        <w:t>182179</w:t>
      </w:r>
      <w:r w:rsidR="00387387" w:rsidRPr="005629D6">
        <w:t xml:space="preserve"> </w:t>
      </w:r>
      <w:r w:rsidR="00205BCC" w:rsidRPr="005629D6">
        <w:t xml:space="preserve">SPC water molecules, then the overall charge of -3 neutralised with 3 </w:t>
      </w:r>
      <w:r w:rsidR="004F4F54" w:rsidRPr="005629D6">
        <w:t>sodium</w:t>
      </w:r>
      <w:r w:rsidR="00205BCC" w:rsidRPr="005629D6">
        <w:t xml:space="preserve"> ions.</w:t>
      </w:r>
      <w:r w:rsidR="008B1A18" w:rsidRPr="005629D6">
        <w:t xml:space="preserve"> The system was equilibrated </w:t>
      </w:r>
      <w:r w:rsidR="00550CFF" w:rsidRPr="005629D6">
        <w:t xml:space="preserve">over 100 </w:t>
      </w:r>
      <w:proofErr w:type="spellStart"/>
      <w:r w:rsidR="00550CFF" w:rsidRPr="005629D6">
        <w:t>ps</w:t>
      </w:r>
      <w:proofErr w:type="spellEnd"/>
      <w:r w:rsidR="00550CFF" w:rsidRPr="005629D6">
        <w:t xml:space="preserve"> to 300 K and 1.0 bar pressure. </w:t>
      </w:r>
      <w:r w:rsidR="0051485D" w:rsidRPr="005629D6">
        <w:t xml:space="preserve">The ligand, excluding hydrogen atoms, was constrained. </w:t>
      </w:r>
      <w:r w:rsidR="004F4F54" w:rsidRPr="005629D6">
        <w:t>A</w:t>
      </w:r>
      <w:r w:rsidR="00550CFF" w:rsidRPr="005629D6">
        <w:t xml:space="preserve"> simulation of </w:t>
      </w:r>
      <w:r w:rsidR="005E2B9B" w:rsidRPr="005629D6">
        <w:t>15</w:t>
      </w:r>
      <w:r w:rsidR="00550CFF" w:rsidRPr="005629D6">
        <w:t xml:space="preserve"> ns was performed, with coordinates recorded in 50 </w:t>
      </w:r>
      <w:proofErr w:type="spellStart"/>
      <w:r w:rsidR="00550CFF" w:rsidRPr="005629D6">
        <w:t>ps</w:t>
      </w:r>
      <w:proofErr w:type="spellEnd"/>
      <w:r w:rsidR="00550CFF" w:rsidRPr="005629D6">
        <w:t xml:space="preserve"> intervals. </w:t>
      </w:r>
    </w:p>
    <w:p w14:paraId="32718AAC" w14:textId="4BFA8729" w:rsidR="00B821AC" w:rsidRPr="005629D6" w:rsidRDefault="00AA74DF" w:rsidP="006A2D57">
      <w:pPr>
        <w:pStyle w:val="Heading1"/>
        <w:rPr>
          <w:rStyle w:val="Heading1Char"/>
        </w:rPr>
      </w:pPr>
      <w:r w:rsidRPr="005629D6">
        <w:rPr>
          <w:rStyle w:val="Heading1Char"/>
        </w:rPr>
        <w:t xml:space="preserve">Results </w:t>
      </w:r>
    </w:p>
    <w:p w14:paraId="57B1EC98" w14:textId="4DB288E0" w:rsidR="009C013F" w:rsidRPr="005629D6" w:rsidRDefault="00AA74DF" w:rsidP="004B34F8">
      <w:pPr>
        <w:rPr>
          <w:color w:val="000000" w:themeColor="text1"/>
        </w:rPr>
      </w:pPr>
      <w:r w:rsidRPr="005629D6">
        <w:rPr>
          <w:b/>
          <w:bCs/>
        </w:rPr>
        <w:t>Sequence alignments</w:t>
      </w:r>
      <w:r w:rsidR="00536E03" w:rsidRPr="005629D6">
        <w:rPr>
          <w:b/>
          <w:bCs/>
        </w:rPr>
        <w:t xml:space="preserve"> and transmembrane domain assignment</w:t>
      </w:r>
      <w:r w:rsidR="007230BA" w:rsidRPr="005629D6">
        <w:rPr>
          <w:b/>
          <w:bCs/>
        </w:rPr>
        <w:t xml:space="preserve">. </w:t>
      </w:r>
      <w:r w:rsidR="00A22992" w:rsidRPr="005629D6">
        <w:rPr>
          <w:color w:val="000000" w:themeColor="text1"/>
        </w:rPr>
        <w:t xml:space="preserve">Three </w:t>
      </w:r>
      <w:r w:rsidR="00053F38" w:rsidRPr="005629D6">
        <w:rPr>
          <w:color w:val="000000" w:themeColor="text1"/>
        </w:rPr>
        <w:t>ORs</w:t>
      </w:r>
      <w:r w:rsidR="00A22992" w:rsidRPr="005629D6">
        <w:rPr>
          <w:color w:val="000000" w:themeColor="text1"/>
        </w:rPr>
        <w:t xml:space="preserve"> from </w:t>
      </w:r>
      <w:r w:rsidR="00053F38" w:rsidRPr="005629D6">
        <w:rPr>
          <w:color w:val="000000" w:themeColor="text1"/>
        </w:rPr>
        <w:t xml:space="preserve">the pea aphid, </w:t>
      </w:r>
      <w:proofErr w:type="spellStart"/>
      <w:r w:rsidR="00A22992" w:rsidRPr="005629D6">
        <w:rPr>
          <w:i/>
          <w:iCs/>
          <w:color w:val="000000" w:themeColor="text1"/>
        </w:rPr>
        <w:t>A</w:t>
      </w:r>
      <w:r w:rsidR="00053F38" w:rsidRPr="005629D6">
        <w:rPr>
          <w:i/>
          <w:iCs/>
          <w:color w:val="000000" w:themeColor="text1"/>
        </w:rPr>
        <w:t>cyrthosiphon</w:t>
      </w:r>
      <w:proofErr w:type="spellEnd"/>
      <w:r w:rsidR="00A22992" w:rsidRPr="005629D6">
        <w:rPr>
          <w:i/>
          <w:iCs/>
          <w:color w:val="000000" w:themeColor="text1"/>
        </w:rPr>
        <w:t xml:space="preserve"> </w:t>
      </w:r>
      <w:proofErr w:type="spellStart"/>
      <w:r w:rsidR="00A22992" w:rsidRPr="005629D6">
        <w:rPr>
          <w:i/>
          <w:iCs/>
          <w:color w:val="000000" w:themeColor="text1"/>
        </w:rPr>
        <w:t>pisum</w:t>
      </w:r>
      <w:proofErr w:type="spellEnd"/>
      <w:r w:rsidR="00053F38" w:rsidRPr="005629D6">
        <w:rPr>
          <w:i/>
          <w:iCs/>
          <w:color w:val="000000" w:themeColor="text1"/>
        </w:rPr>
        <w:t>,</w:t>
      </w:r>
      <w:r w:rsidR="00A22992" w:rsidRPr="005629D6">
        <w:rPr>
          <w:color w:val="000000" w:themeColor="text1"/>
        </w:rPr>
        <w:t xml:space="preserve"> were initially chosen for modelling for their known activity, with an additional six </w:t>
      </w:r>
      <w:r w:rsidR="00053F38" w:rsidRPr="005629D6">
        <w:rPr>
          <w:color w:val="000000" w:themeColor="text1"/>
        </w:rPr>
        <w:t xml:space="preserve">ORs </w:t>
      </w:r>
      <w:r w:rsidR="00A22992" w:rsidRPr="005629D6">
        <w:rPr>
          <w:color w:val="000000" w:themeColor="text1"/>
        </w:rPr>
        <w:t xml:space="preserve">chosen for their high conservation within aphids. </w:t>
      </w:r>
      <w:r w:rsidR="008A751B" w:rsidRPr="005629D6">
        <w:rPr>
          <w:color w:val="000000" w:themeColor="text1"/>
        </w:rPr>
        <w:t>Apis</w:t>
      </w:r>
      <w:r w:rsidR="00A22992" w:rsidRPr="005629D6">
        <w:rPr>
          <w:color w:val="000000" w:themeColor="text1"/>
        </w:rPr>
        <w:t xml:space="preserve">OR4 and </w:t>
      </w:r>
      <w:r w:rsidR="008A751B" w:rsidRPr="005629D6">
        <w:rPr>
          <w:color w:val="000000" w:themeColor="text1"/>
        </w:rPr>
        <w:t>Apis</w:t>
      </w:r>
      <w:r w:rsidR="00A22992" w:rsidRPr="005629D6">
        <w:rPr>
          <w:color w:val="000000" w:themeColor="text1"/>
        </w:rPr>
        <w:t xml:space="preserve">OR5 have known functional activity and the olfactory co-receptor (ORCO) possesses the highest similarity to the template protein, </w:t>
      </w:r>
      <w:proofErr w:type="spellStart"/>
      <w:r w:rsidR="008A751B" w:rsidRPr="005629D6">
        <w:rPr>
          <w:color w:val="000000" w:themeColor="text1"/>
        </w:rPr>
        <w:t>Abak</w:t>
      </w:r>
      <w:r w:rsidR="00A22992" w:rsidRPr="005629D6">
        <w:rPr>
          <w:color w:val="000000" w:themeColor="text1"/>
        </w:rPr>
        <w:t>ORCO</w:t>
      </w:r>
      <w:proofErr w:type="spellEnd"/>
      <w:r w:rsidR="00A22992" w:rsidRPr="005629D6">
        <w:rPr>
          <w:color w:val="000000" w:themeColor="text1"/>
        </w:rPr>
        <w:t xml:space="preserve"> from </w:t>
      </w:r>
      <w:proofErr w:type="spellStart"/>
      <w:r w:rsidR="00A22992" w:rsidRPr="005629D6">
        <w:rPr>
          <w:i/>
          <w:iCs/>
          <w:color w:val="000000" w:themeColor="text1"/>
        </w:rPr>
        <w:t>Apocrypta</w:t>
      </w:r>
      <w:proofErr w:type="spellEnd"/>
      <w:r w:rsidR="00A22992" w:rsidRPr="005629D6">
        <w:rPr>
          <w:i/>
          <w:iCs/>
          <w:color w:val="000000" w:themeColor="text1"/>
        </w:rPr>
        <w:t xml:space="preserve"> </w:t>
      </w:r>
      <w:proofErr w:type="spellStart"/>
      <w:r w:rsidR="00A22992" w:rsidRPr="005629D6">
        <w:rPr>
          <w:i/>
          <w:iCs/>
          <w:color w:val="000000" w:themeColor="text1"/>
        </w:rPr>
        <w:t>bakeri</w:t>
      </w:r>
      <w:proofErr w:type="spellEnd"/>
      <w:r w:rsidR="00A22992" w:rsidRPr="005629D6">
        <w:rPr>
          <w:i/>
          <w:iCs/>
          <w:color w:val="000000" w:themeColor="text1"/>
        </w:rPr>
        <w:t xml:space="preserve">, </w:t>
      </w:r>
      <w:r w:rsidR="00A22992" w:rsidRPr="005629D6">
        <w:rPr>
          <w:color w:val="000000" w:themeColor="text1"/>
        </w:rPr>
        <w:t>in addition to being critical for the function of all other ORs.</w:t>
      </w:r>
      <w:r w:rsidR="00A22992" w:rsidRPr="005629D6">
        <w:rPr>
          <w:i/>
          <w:iCs/>
          <w:color w:val="000000" w:themeColor="text1"/>
        </w:rPr>
        <w:fldChar w:fldCharType="begin" w:fldLock="1"/>
      </w:r>
      <w:r w:rsidR="000D52F2" w:rsidRPr="005629D6">
        <w:rPr>
          <w:i/>
          <w:iCs/>
          <w:color w:val="000000" w:themeColor="text1"/>
        </w:rPr>
        <w:instrText>ADDIN CSL_CITATION {"citationItems":[{"id":"ITEM-1","itemData":{"DOI":"10.1111/1744-7917.12510","ISSN":"17447917","abstract":"The sensitive olfactory system is necessary for survival of insects. Odorant receptors (ORs) are located on the dendrites of olfactory receptor neurons and play a critical role in odor detection. Insect ORs are functionally analyzed via heterologous expression in a Xenopus oocyte system using a two-electrode voltage-clamp (TEVC) electrophysiological recording. Here, we have identified a novel OR in the pea aphid, Acyrthosiphon pisum, then we cloned and named it ApisOR4. We analyzed the ApisOR4 tissue expression patterns and found expression only in antennae tissues. Further functional analysis using TEVC revealed that ApisOR4 is broadly tuned to eight volatiles, which elicit electrophysiological response in pea aphid antennae. This study provides an initial functional analysis of aphid ORs and identifies candidate volatiles to be used in developing new strategies for aphid control.","author":[{"dropping-particle":"Bin","family":"Zhang","given":"Rui","non-dropping-particle":"","parse-names":false,"suffix":""},{"dropping-particle":"","family":"Liu","given":"Yang","non-dropping-particle":"","parse-names":false,"suffix":""},{"dropping-particle":"","family":"Yan","given":"Shan Chun","non-dropping-particle":"","parse-names":false,"suffix":""},{"dropping-particle":"","family":"Wang","given":"Gui Rong","non-dropping-particle":"","parse-names":false,"suffix":""}],"container-title":"Insect Science","id":"ITEM-1","issue":"1","issued":{"date-parts":[["2019"]]},"page":"58-67","title":"Identification and functional characterization of an odorant receptor in pea aphid, Acyrthosiphon pisum","type":"article-journal","volume":"26"},"uris":["http://www.mendeley.com/documents/?uuid=68bbaab8-8f01-4596-a815-9e8b93d72662"]},{"id":"ITEM-2","itemData":{"DOI":"10.1016/j.cub.2016.10.013","ISBN":"09609822","ISSN":"09609822","PMID":"27916525","abstract":"The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Biology","id":"ITEM-2","issue":"1","issued":{"date-parts":[["2017"]]},"page":"55-61","publisher":"Elsevier Ltd.","title":"Molecular Basis of Alarm Pheromone Detection in Aphids","type":"article-journal","volume":"27"},"uris":["http://www.mendeley.com/documents/?uuid=7ba4c0fd-5186-44f3-b962-69bddb791a8e"]}],"mendeley":{"formattedCitation":"&lt;sup&gt;20,37&lt;/sup&gt;","plainTextFormattedCitation":"20,37","previouslyFormattedCitation":"&lt;sup&gt;20,37&lt;/sup&gt;"},"properties":{"noteIndex":0},"schema":"https://github.com/citation-style-language/schema/raw/master/csl-citation.json"}</w:instrText>
      </w:r>
      <w:r w:rsidR="00A22992" w:rsidRPr="005629D6">
        <w:rPr>
          <w:i/>
          <w:iCs/>
          <w:color w:val="000000" w:themeColor="text1"/>
        </w:rPr>
        <w:fldChar w:fldCharType="separate"/>
      </w:r>
      <w:r w:rsidR="002F2ECE" w:rsidRPr="005629D6">
        <w:rPr>
          <w:iCs/>
          <w:noProof/>
          <w:color w:val="000000" w:themeColor="text1"/>
          <w:vertAlign w:val="superscript"/>
        </w:rPr>
        <w:t>20,37</w:t>
      </w:r>
      <w:r w:rsidR="00A22992" w:rsidRPr="005629D6">
        <w:rPr>
          <w:i/>
          <w:iCs/>
          <w:color w:val="000000" w:themeColor="text1"/>
        </w:rPr>
        <w:fldChar w:fldCharType="end"/>
      </w:r>
      <w:r w:rsidR="00A22992" w:rsidRPr="005629D6">
        <w:rPr>
          <w:color w:val="000000" w:themeColor="text1"/>
        </w:rPr>
        <w:t xml:space="preserve">  Pair-wise sequence alignments and transmembrane domain assignment of all receptors showed a generally low sequence identity (</w:t>
      </w:r>
      <w:r w:rsidR="008A751B" w:rsidRPr="005629D6">
        <w:rPr>
          <w:color w:val="000000" w:themeColor="text1"/>
        </w:rPr>
        <w:t>Apis</w:t>
      </w:r>
      <w:r w:rsidR="00A22992" w:rsidRPr="005629D6">
        <w:rPr>
          <w:color w:val="000000" w:themeColor="text1"/>
        </w:rPr>
        <w:t xml:space="preserve">OR2 20%, </w:t>
      </w:r>
      <w:r w:rsidR="008A751B" w:rsidRPr="005629D6">
        <w:rPr>
          <w:color w:val="000000" w:themeColor="text1"/>
        </w:rPr>
        <w:t>Apis</w:t>
      </w:r>
      <w:r w:rsidR="00A22992" w:rsidRPr="005629D6">
        <w:rPr>
          <w:color w:val="000000" w:themeColor="text1"/>
        </w:rPr>
        <w:t xml:space="preserve">OR4 19%, </w:t>
      </w:r>
      <w:r w:rsidR="008A751B" w:rsidRPr="005629D6">
        <w:rPr>
          <w:color w:val="000000" w:themeColor="text1"/>
        </w:rPr>
        <w:t>Apis</w:t>
      </w:r>
      <w:r w:rsidR="00A22992" w:rsidRPr="005629D6">
        <w:rPr>
          <w:color w:val="000000" w:themeColor="text1"/>
        </w:rPr>
        <w:t xml:space="preserve">OR5 18%, </w:t>
      </w:r>
      <w:r w:rsidR="008A751B" w:rsidRPr="005629D6">
        <w:rPr>
          <w:color w:val="000000" w:themeColor="text1"/>
        </w:rPr>
        <w:t>Apis</w:t>
      </w:r>
      <w:r w:rsidR="00A22992" w:rsidRPr="005629D6">
        <w:rPr>
          <w:color w:val="000000" w:themeColor="text1"/>
        </w:rPr>
        <w:t xml:space="preserve">OR10 17%, </w:t>
      </w:r>
      <w:r w:rsidR="008A751B" w:rsidRPr="005629D6">
        <w:rPr>
          <w:color w:val="000000" w:themeColor="text1"/>
        </w:rPr>
        <w:t>Apis</w:t>
      </w:r>
      <w:r w:rsidR="00A22992" w:rsidRPr="005629D6">
        <w:rPr>
          <w:color w:val="000000" w:themeColor="text1"/>
        </w:rPr>
        <w:t xml:space="preserve">OR17 17%, </w:t>
      </w:r>
      <w:r w:rsidR="008A751B" w:rsidRPr="005629D6">
        <w:rPr>
          <w:color w:val="000000" w:themeColor="text1"/>
        </w:rPr>
        <w:t>Apis</w:t>
      </w:r>
      <w:r w:rsidR="00A22992" w:rsidRPr="005629D6">
        <w:rPr>
          <w:color w:val="000000" w:themeColor="text1"/>
        </w:rPr>
        <w:t xml:space="preserve">OR20 19%, </w:t>
      </w:r>
      <w:r w:rsidR="008A751B" w:rsidRPr="005629D6">
        <w:rPr>
          <w:color w:val="000000" w:themeColor="text1"/>
        </w:rPr>
        <w:t>Apis</w:t>
      </w:r>
      <w:r w:rsidR="00A22992" w:rsidRPr="005629D6">
        <w:rPr>
          <w:color w:val="000000" w:themeColor="text1"/>
        </w:rPr>
        <w:t xml:space="preserve">OR22c 20% and </w:t>
      </w:r>
      <w:r w:rsidR="008A751B" w:rsidRPr="005629D6">
        <w:rPr>
          <w:color w:val="000000" w:themeColor="text1"/>
        </w:rPr>
        <w:t>Apis</w:t>
      </w:r>
      <w:r w:rsidR="00A22992" w:rsidRPr="005629D6">
        <w:rPr>
          <w:color w:val="000000" w:themeColor="text1"/>
        </w:rPr>
        <w:t xml:space="preserve">OR39 17%; </w:t>
      </w:r>
      <w:proofErr w:type="spellStart"/>
      <w:r w:rsidR="00A22992" w:rsidRPr="005629D6">
        <w:rPr>
          <w:color w:val="000000" w:themeColor="text1"/>
        </w:rPr>
        <w:t>Clustal</w:t>
      </w:r>
      <w:proofErr w:type="spellEnd"/>
      <w:r w:rsidR="00A22992" w:rsidRPr="005629D6">
        <w:rPr>
          <w:color w:val="000000" w:themeColor="text1"/>
        </w:rPr>
        <w:t xml:space="preserve"> Omega</w:t>
      </w:r>
      <w:r w:rsidR="00A22992" w:rsidRPr="005629D6">
        <w:rPr>
          <w:color w:val="000000" w:themeColor="text1"/>
        </w:rPr>
        <w:fldChar w:fldCharType="begin" w:fldLock="1"/>
      </w:r>
      <w:r w:rsidR="00205BCC" w:rsidRPr="005629D6">
        <w:rPr>
          <w:color w:val="000000" w:themeColor="text1"/>
        </w:rPr>
        <w:instrText>ADDIN CSL_CITATION {"citationItems":[{"id":"ITEM-1","itemData":{"DOI":"10.1093/nar/gkz268","ISSN":"13624962","abstract":"The EMBL-EBI provides free access to popular bioinformatics sequence analysis applications as well as to a full-featured text search engine with powerful cross-referencing and data retrieval capabilities. Access to these services is provided via user-friendly web interfaces and via established RESTful and SOAP Web Services APIs (https://www.ebi.ac.uk/seqdb/confluence/display/JDSAT/EMBL-EBI+Web+Services+APIs+-+Data+Retrieval). Both systems have been developed with the same core principles that allow them to integrate an ever-increasing volume of biological data, making them an integral part of many popular data resources provided at the EMBL-EBI. Here, we describe the latest improvements made to the frameworks which enhance the interconnectivity between public EMBL-EBI resources and ultimately enhance biological data discoverability, accessibility, interoperability and reusability.","author":[{"dropping-particle":"","family":"Madeira","given":"Fábio","non-dropping-particle":"","parse-names":false,"suffix":""},{"dropping-particle":"","family":"Park","given":"Young Mi","non-dropping-particle":"","parse-names":false,"suffix":""},{"dropping-particle":"","family":"Lee","given":"Joon","non-dropping-particle":"","parse-names":false,"suffix":""},{"dropping-particle":"","family":"Buso","given":"Nicola","non-dropping-particle":"","parse-names":false,"suffix":""},{"dropping-particle":"","family":"Gur","given":"Tamer","non-dropping-particle":"","parse-names":false,"suffix":""},{"dropping-particle":"","family":"Madhusoodanan","given":"Nandana","non-dropping-particle":"","parse-names":false,"suffix":""},{"dropping-particle":"","family":"Basutkar","given":"Prasad","non-dropping-particle":"","parse-names":false,"suffix":""},{"dropping-particle":"","family":"Tivey","given":"Adrian R.N.","non-dropping-particle":"","parse-names":false,"suffix":""},{"dropping-particle":"","family":"Potter","given":"Simon C.","non-dropping-particle":"","parse-names":false,"suffix":""},{"dropping-particle":"","family":"Finn","given":"Robert D.","non-dropping-particle":"","parse-names":false,"suffix":""},{"dropping-particle":"","family":"Lopez","given":"Rodrigo","non-dropping-particle":"","parse-names":false,"suffix":""}],"container-title":"Nucleic acids research","id":"ITEM-1","issue":"W1","issued":{"date-parts":[["2019"]]},"page":"W636-W641","title":"The EMBL-EBI search and sequence analysis tools APIs in 2019","type":"article-journal","volume":"47"},"uris":["http://www.mendeley.com/documents/?uuid=cf872fb4-1f36-4e6d-b376-f7e23a2f11d7"]}],"mendeley":{"formattedCitation":"&lt;sup&gt;61&lt;/sup&gt;","plainTextFormattedCitation":"61","previouslyFormattedCitation":"&lt;sup&gt;61&lt;/sup&gt;"},"properties":{"noteIndex":0},"schema":"https://github.com/citation-style-language/schema/raw/master/csl-citation.json"}</w:instrText>
      </w:r>
      <w:r w:rsidR="00A22992" w:rsidRPr="005629D6">
        <w:rPr>
          <w:color w:val="000000" w:themeColor="text1"/>
        </w:rPr>
        <w:fldChar w:fldCharType="separate"/>
      </w:r>
      <w:r w:rsidR="001F1ED2" w:rsidRPr="005629D6">
        <w:rPr>
          <w:noProof/>
          <w:color w:val="000000" w:themeColor="text1"/>
          <w:vertAlign w:val="superscript"/>
        </w:rPr>
        <w:t>61</w:t>
      </w:r>
      <w:r w:rsidR="00A22992" w:rsidRPr="005629D6">
        <w:rPr>
          <w:color w:val="000000" w:themeColor="text1"/>
        </w:rPr>
        <w:fldChar w:fldCharType="end"/>
      </w:r>
      <w:r w:rsidR="00A22992" w:rsidRPr="005629D6">
        <w:rPr>
          <w:color w:val="000000" w:themeColor="text1"/>
        </w:rPr>
        <w:t>), comparable to other insect OR modelling studies</w:t>
      </w:r>
      <w:r w:rsidR="00A22992" w:rsidRPr="005629D6">
        <w:rPr>
          <w:color w:val="000000" w:themeColor="text1"/>
        </w:rPr>
        <w:fldChar w:fldCharType="begin" w:fldLock="1"/>
      </w:r>
      <w:r w:rsidR="000D52F2" w:rsidRPr="005629D6">
        <w:rPr>
          <w:color w:val="000000" w:themeColor="text1"/>
        </w:rPr>
        <w:instrText>ADDIN CSL_CITATION {"citationItems":[{"id":"ITEM-1","itemData":{"DOI":"10.3389/fncel.2019.00134","ISSN":"16625102","abstract":"Chemical signaling is ubiquitous and employs a variety of receptor types to detect the cacophony of molecules relevant for each living organism. Insects, our most diverse taxon, have evolved unique olfactory receptors with as little as 10% sequence identity between receptor types. We have identified a promiscuous volatile, 2-methyltetrahydro-3-furanone (coffee furanone), that elicits chemosensory and behavioral activity across multiple insect orders and receptors. In vivo and in vitro physiology showed that coffee furanone was detected by roughly 80% of the recorded neurons expressing the insect-specific olfactory receptor complex in the antenna of Drosophila melanogaster, at concentrations similar to other known, and less promiscuous, ligands. Neurons expressing specialized receptors, other chemoreceptor types, or mutants lacking the complex entirely did not respond to this compound. This indicates that coffee furanone is a promiscuous ligand for the insect olfactory receptor complex itself and did not induce non-specific cellular responses. In addition, we present homology modeling and docking studies with selected olfactory receptors that suggest conserved interaction regions for both coffee furanone and known ligands. Apart from its physiological activity, this known food additive elicits a behavioral response for several insects, including mosquitoes, flies, and cockroaches. A broad-scale behaviorally active molecule non-toxic to humans thus has significant implications for health and agriculture. Coffee furanone serves as a unique tool to unlock molecular, physiological, and behavioral relationships across this diverse receptor family and animal taxa.","author":[{"dropping-particle":"","family":"Batra","given":"Srishti","non-dropping-particle":"","parse-names":false,"suffix":""},{"dropping-particle":"","family":"Corcoran","given":"Jacob","non-dropping-particle":"","parse-names":false,"suffix":""},{"dropping-particle":"","family":"Zhang","given":"Dan Dan","non-dropping-particle":"","parse-names":false,"suffix":""},{"dropping-particle":"","family":"Pal","given":"Pramit","non-dropping-particle":"","parse-names":false,"suffix":""},{"dropping-particle":"","family":"Umesh","given":"K. P.","non-dropping-particle":"","parse-names":false,"suffix":""},{"dropping-particle":"","family":"Kulkarni","given":"Renuka","non-dropping-particle":"","parse-names":false,"suffix":""},{"dropping-particle":"","family":"Löfstedt","given":"Christer","non-dropping-particle":"","parse-names":false,"suffix":""},{"dropping-particle":"","family":"Sowdhamini","given":"Ramanathan","non-dropping-particle":"","parse-names":false,"suffix":""},{"dropping-particle":"","family":"Olsson","given":"Shannon B.","non-dropping-particle":"","parse-names":false,"suffix":""}],"container-title":"Frontiers in Cellular Neuroscience","id":"ITEM-1","issue":"April","issued":{"date-parts":[["2019"]]},"page":"1-13","title":"A functional agonist of insect olfactory receptors: Behavior, physiology and structure","type":"article-journal","volume":"13"},"uris":["http://www.mendeley.com/documents/?uuid=c84d31e1-54f8-4b5e-bb04-55e733675bb1"]}],"mendeley":{"formattedCitation":"&lt;sup&gt;23&lt;/sup&gt;","plainTextFormattedCitation":"23","previouslyFormattedCitation":"&lt;sup&gt;23&lt;/sup&gt;"},"properties":{"noteIndex":0},"schema":"https://github.com/citation-style-language/schema/raw/master/csl-citation.json"}</w:instrText>
      </w:r>
      <w:r w:rsidR="00A22992" w:rsidRPr="005629D6">
        <w:rPr>
          <w:color w:val="000000" w:themeColor="text1"/>
        </w:rPr>
        <w:fldChar w:fldCharType="separate"/>
      </w:r>
      <w:r w:rsidR="002F2ECE" w:rsidRPr="005629D6">
        <w:rPr>
          <w:noProof/>
          <w:color w:val="000000" w:themeColor="text1"/>
          <w:vertAlign w:val="superscript"/>
        </w:rPr>
        <w:t>23</w:t>
      </w:r>
      <w:r w:rsidR="00A22992" w:rsidRPr="005629D6">
        <w:rPr>
          <w:color w:val="000000" w:themeColor="text1"/>
        </w:rPr>
        <w:fldChar w:fldCharType="end"/>
      </w:r>
      <w:r w:rsidR="00A22992" w:rsidRPr="005629D6">
        <w:rPr>
          <w:color w:val="000000" w:themeColor="text1"/>
        </w:rPr>
        <w:t xml:space="preserve">, with the exception of </w:t>
      </w:r>
      <w:proofErr w:type="spellStart"/>
      <w:r w:rsidR="008A751B" w:rsidRPr="005629D6">
        <w:rPr>
          <w:color w:val="000000" w:themeColor="text1"/>
        </w:rPr>
        <w:t>Apis</w:t>
      </w:r>
      <w:r w:rsidR="00A22992" w:rsidRPr="005629D6">
        <w:rPr>
          <w:color w:val="000000" w:themeColor="text1"/>
        </w:rPr>
        <w:t>ORCO</w:t>
      </w:r>
      <w:proofErr w:type="spellEnd"/>
      <w:r w:rsidR="00A22992" w:rsidRPr="005629D6">
        <w:rPr>
          <w:color w:val="000000" w:themeColor="text1"/>
        </w:rPr>
        <w:t xml:space="preserve"> which shares 57% identity with </w:t>
      </w:r>
      <w:proofErr w:type="spellStart"/>
      <w:r w:rsidR="008A751B" w:rsidRPr="005629D6">
        <w:rPr>
          <w:color w:val="000000" w:themeColor="text1"/>
        </w:rPr>
        <w:t>Abak</w:t>
      </w:r>
      <w:r w:rsidR="00A22992" w:rsidRPr="005629D6">
        <w:rPr>
          <w:color w:val="000000" w:themeColor="text1"/>
        </w:rPr>
        <w:t>ORCO</w:t>
      </w:r>
      <w:proofErr w:type="spellEnd"/>
      <w:r w:rsidR="00A22992" w:rsidRPr="005629D6">
        <w:rPr>
          <w:color w:val="000000" w:themeColor="text1"/>
        </w:rPr>
        <w:t>. Each protein had 7 predicted transmembrane domains, as expected (</w:t>
      </w:r>
      <w:r w:rsidR="004B34F8" w:rsidRPr="005629D6">
        <w:rPr>
          <w:color w:val="000000" w:themeColor="text1"/>
        </w:rPr>
        <w:t>Supplementary Data Figure S1</w:t>
      </w:r>
      <w:r w:rsidR="00D820F6" w:rsidRPr="005629D6">
        <w:rPr>
          <w:color w:val="000000" w:themeColor="text1"/>
        </w:rPr>
        <w:t xml:space="preserve">; </w:t>
      </w:r>
      <w:r w:rsidR="00B141E1" w:rsidRPr="005629D6">
        <w:rPr>
          <w:color w:val="000000" w:themeColor="text1"/>
        </w:rPr>
        <w:t xml:space="preserve">Supplementary Data </w:t>
      </w:r>
      <w:r w:rsidR="00D820F6" w:rsidRPr="005629D6">
        <w:rPr>
          <w:color w:val="000000" w:themeColor="text1"/>
        </w:rPr>
        <w:t>Table S1</w:t>
      </w:r>
      <w:r w:rsidR="00A22992" w:rsidRPr="005629D6">
        <w:rPr>
          <w:color w:val="000000" w:themeColor="text1"/>
        </w:rPr>
        <w:t xml:space="preserve">). </w:t>
      </w:r>
      <w:proofErr w:type="spellStart"/>
      <w:r w:rsidR="007F5F4F" w:rsidRPr="005629D6">
        <w:rPr>
          <w:color w:val="000000" w:themeColor="text1"/>
        </w:rPr>
        <w:t>Apis</w:t>
      </w:r>
      <w:r w:rsidR="00A22992" w:rsidRPr="005629D6">
        <w:rPr>
          <w:color w:val="000000" w:themeColor="text1"/>
        </w:rPr>
        <w:t>ORCO</w:t>
      </w:r>
      <w:proofErr w:type="spellEnd"/>
      <w:r w:rsidR="00A22992" w:rsidRPr="005629D6">
        <w:rPr>
          <w:color w:val="000000" w:themeColor="text1"/>
        </w:rPr>
        <w:t xml:space="preserve"> ha</w:t>
      </w:r>
      <w:r w:rsidR="00865609" w:rsidRPr="005629D6">
        <w:rPr>
          <w:color w:val="000000" w:themeColor="text1"/>
        </w:rPr>
        <w:t>d</w:t>
      </w:r>
      <w:r w:rsidR="00A22992" w:rsidRPr="005629D6">
        <w:rPr>
          <w:color w:val="000000" w:themeColor="text1"/>
        </w:rPr>
        <w:t xml:space="preserve"> a relatively long predicted intracellular loop 3 of 41 residues (residue 211-336) compared with </w:t>
      </w:r>
      <w:r w:rsidR="00C255C1" w:rsidRPr="005629D6">
        <w:rPr>
          <w:color w:val="000000" w:themeColor="text1"/>
        </w:rPr>
        <w:t xml:space="preserve">the </w:t>
      </w:r>
      <w:r w:rsidR="00A22992" w:rsidRPr="005629D6">
        <w:rPr>
          <w:color w:val="000000" w:themeColor="text1"/>
        </w:rPr>
        <w:t>intracellular loop 3</w:t>
      </w:r>
      <w:r w:rsidR="00C255C1" w:rsidRPr="005629D6">
        <w:rPr>
          <w:color w:val="000000" w:themeColor="text1"/>
        </w:rPr>
        <w:t xml:space="preserve"> of 5 residues from </w:t>
      </w:r>
      <w:proofErr w:type="spellStart"/>
      <w:r w:rsidR="00C255C1" w:rsidRPr="005629D6">
        <w:rPr>
          <w:color w:val="000000" w:themeColor="text1"/>
        </w:rPr>
        <w:t>AbakORCO</w:t>
      </w:r>
      <w:proofErr w:type="spellEnd"/>
      <w:r w:rsidR="00A22992" w:rsidRPr="005629D6">
        <w:rPr>
          <w:color w:val="000000" w:themeColor="text1"/>
        </w:rPr>
        <w:t xml:space="preserve">. All other predictions were </w:t>
      </w:r>
      <w:proofErr w:type="gramStart"/>
      <w:r w:rsidR="00A22992" w:rsidRPr="005629D6">
        <w:rPr>
          <w:color w:val="000000" w:themeColor="text1"/>
        </w:rPr>
        <w:t>similar to</w:t>
      </w:r>
      <w:proofErr w:type="gramEnd"/>
      <w:r w:rsidR="00A22992" w:rsidRPr="005629D6">
        <w:rPr>
          <w:color w:val="000000" w:themeColor="text1"/>
        </w:rPr>
        <w:t xml:space="preserve"> </w:t>
      </w:r>
      <w:r w:rsidR="00C255C1" w:rsidRPr="005629D6">
        <w:rPr>
          <w:color w:val="000000" w:themeColor="text1"/>
        </w:rPr>
        <w:t xml:space="preserve">the </w:t>
      </w:r>
      <w:r w:rsidR="00A22992" w:rsidRPr="005629D6">
        <w:rPr>
          <w:color w:val="000000" w:themeColor="text1"/>
        </w:rPr>
        <w:t>transmembrane domains</w:t>
      </w:r>
      <w:r w:rsidR="00C255C1" w:rsidRPr="005629D6">
        <w:rPr>
          <w:i/>
          <w:iCs/>
          <w:color w:val="000000" w:themeColor="text1"/>
        </w:rPr>
        <w:t xml:space="preserve"> </w:t>
      </w:r>
      <w:r w:rsidR="00C255C1" w:rsidRPr="005629D6">
        <w:rPr>
          <w:color w:val="000000" w:themeColor="text1"/>
        </w:rPr>
        <w:t>in</w:t>
      </w:r>
      <w:r w:rsidR="00C255C1" w:rsidRPr="005629D6">
        <w:rPr>
          <w:i/>
          <w:iCs/>
          <w:color w:val="000000" w:themeColor="text1"/>
        </w:rPr>
        <w:t xml:space="preserve"> </w:t>
      </w:r>
      <w:proofErr w:type="spellStart"/>
      <w:r w:rsidR="00C255C1" w:rsidRPr="005629D6">
        <w:rPr>
          <w:color w:val="000000" w:themeColor="text1"/>
        </w:rPr>
        <w:t>AbakORCO</w:t>
      </w:r>
      <w:proofErr w:type="spellEnd"/>
      <w:r w:rsidR="00A22992" w:rsidRPr="005629D6">
        <w:rPr>
          <w:color w:val="000000" w:themeColor="text1"/>
        </w:rPr>
        <w:t xml:space="preserve">, with the exception of a long C-terminus segment in </w:t>
      </w:r>
      <w:r w:rsidR="007F5F4F" w:rsidRPr="005629D6">
        <w:rPr>
          <w:color w:val="000000" w:themeColor="text1"/>
        </w:rPr>
        <w:t>Apis</w:t>
      </w:r>
      <w:r w:rsidR="00A22992" w:rsidRPr="005629D6">
        <w:rPr>
          <w:color w:val="000000" w:themeColor="text1"/>
        </w:rPr>
        <w:t>OR4.</w:t>
      </w:r>
    </w:p>
    <w:p w14:paraId="3362A7CB" w14:textId="4B0089F8" w:rsidR="001270FF" w:rsidRPr="005629D6" w:rsidRDefault="009311D4" w:rsidP="001270FF">
      <w:pPr>
        <w:rPr>
          <w:noProof/>
        </w:rPr>
      </w:pPr>
      <w:r w:rsidRPr="005629D6">
        <w:rPr>
          <w:b/>
          <w:bCs/>
        </w:rPr>
        <w:t>Insect OR Models</w:t>
      </w:r>
      <w:r w:rsidR="007230BA" w:rsidRPr="005629D6">
        <w:rPr>
          <w:b/>
          <w:bCs/>
        </w:rPr>
        <w:t xml:space="preserve">. </w:t>
      </w:r>
      <w:r w:rsidR="00EA3FF7" w:rsidRPr="005629D6">
        <w:rPr>
          <w:color w:val="000000" w:themeColor="text1"/>
        </w:rPr>
        <w:t xml:space="preserve">Homology models of insect ORs were generated using MODELLER 9.3 with a template of </w:t>
      </w:r>
      <w:proofErr w:type="spellStart"/>
      <w:r w:rsidR="008A751B" w:rsidRPr="005629D6">
        <w:rPr>
          <w:color w:val="000000" w:themeColor="text1"/>
        </w:rPr>
        <w:t>Abak</w:t>
      </w:r>
      <w:r w:rsidR="00EA3FF7" w:rsidRPr="005629D6">
        <w:rPr>
          <w:color w:val="000000" w:themeColor="text1"/>
        </w:rPr>
        <w:t>ORCO</w:t>
      </w:r>
      <w:proofErr w:type="spellEnd"/>
      <w:r w:rsidR="00EA3FF7" w:rsidRPr="005629D6">
        <w:rPr>
          <w:color w:val="000000" w:themeColor="text1"/>
        </w:rPr>
        <w:t xml:space="preserve"> (Figure </w:t>
      </w:r>
      <w:r w:rsidR="007D518F" w:rsidRPr="005629D6">
        <w:rPr>
          <w:color w:val="000000" w:themeColor="text1"/>
        </w:rPr>
        <w:t>1</w:t>
      </w:r>
      <w:r w:rsidR="00EA3FF7" w:rsidRPr="005629D6">
        <w:rPr>
          <w:color w:val="000000" w:themeColor="text1"/>
        </w:rPr>
        <w:t xml:space="preserve">). Ligand-binding should take place in the extracellular domain of the protein, which includes multiple extracellular loops. For </w:t>
      </w:r>
      <w:proofErr w:type="spellStart"/>
      <w:r w:rsidR="007F5F4F" w:rsidRPr="005629D6">
        <w:rPr>
          <w:color w:val="000000" w:themeColor="text1"/>
        </w:rPr>
        <w:t>Apis</w:t>
      </w:r>
      <w:r w:rsidR="00EA3FF7" w:rsidRPr="005629D6">
        <w:rPr>
          <w:color w:val="000000" w:themeColor="text1"/>
        </w:rPr>
        <w:t>ORCO</w:t>
      </w:r>
      <w:proofErr w:type="spellEnd"/>
      <w:r w:rsidR="00EA3FF7" w:rsidRPr="005629D6">
        <w:rPr>
          <w:color w:val="000000" w:themeColor="text1"/>
        </w:rPr>
        <w:t xml:space="preserve">, the removal of 42-residue section of intracellular loop (IL3) improved the protein model. For other proteins, each loop was modelled individually with </w:t>
      </w:r>
      <w:proofErr w:type="spellStart"/>
      <w:r w:rsidR="00EA3FF7" w:rsidRPr="005629D6">
        <w:rPr>
          <w:color w:val="000000" w:themeColor="text1"/>
        </w:rPr>
        <w:t>iTASSER</w:t>
      </w:r>
      <w:proofErr w:type="spellEnd"/>
      <w:r w:rsidR="00EA3FF7" w:rsidRPr="005629D6">
        <w:rPr>
          <w:color w:val="000000" w:themeColor="text1"/>
        </w:rPr>
        <w:t xml:space="preserve">, though, for </w:t>
      </w:r>
      <w:r w:rsidR="007F5F4F" w:rsidRPr="005629D6">
        <w:rPr>
          <w:color w:val="000000" w:themeColor="text1"/>
        </w:rPr>
        <w:t>Apis</w:t>
      </w:r>
      <w:r w:rsidR="00EA3FF7" w:rsidRPr="005629D6">
        <w:rPr>
          <w:color w:val="000000" w:themeColor="text1"/>
        </w:rPr>
        <w:t xml:space="preserve">OR2, </w:t>
      </w:r>
      <w:r w:rsidR="007F5F4F" w:rsidRPr="005629D6">
        <w:rPr>
          <w:color w:val="000000" w:themeColor="text1"/>
        </w:rPr>
        <w:t>Apis</w:t>
      </w:r>
      <w:r w:rsidR="00EA3FF7" w:rsidRPr="005629D6">
        <w:rPr>
          <w:color w:val="000000" w:themeColor="text1"/>
        </w:rPr>
        <w:t xml:space="preserve">OR4 and </w:t>
      </w:r>
      <w:r w:rsidR="007F5F4F" w:rsidRPr="005629D6">
        <w:rPr>
          <w:color w:val="000000" w:themeColor="text1"/>
        </w:rPr>
        <w:t>Apis</w:t>
      </w:r>
      <w:r w:rsidR="00EA3FF7" w:rsidRPr="005629D6">
        <w:rPr>
          <w:color w:val="000000" w:themeColor="text1"/>
        </w:rPr>
        <w:t>OR5, modelling of the longest loop, extracellular-loop 2, was the most critical in reducing the overall protei</w:t>
      </w:r>
      <w:r w:rsidR="00C255C1" w:rsidRPr="005629D6">
        <w:rPr>
          <w:color w:val="000000" w:themeColor="text1"/>
        </w:rPr>
        <w:t>n</w:t>
      </w:r>
      <w:r w:rsidR="00EA3FF7" w:rsidRPr="005629D6">
        <w:rPr>
          <w:color w:val="000000" w:themeColor="text1"/>
        </w:rPr>
        <w:t xml:space="preserve"> energy. This loop of the OR protein, in addition to extracellular loop 3, has been shown to possesses critical binding domains in other insect ORs in previous work, and is particularly long in comparison to other loop portions of the protein</w:t>
      </w:r>
      <w:r w:rsidR="00E31718" w:rsidRPr="005629D6">
        <w:rPr>
          <w:color w:val="000000" w:themeColor="text1"/>
        </w:rPr>
        <w:t>.</w:t>
      </w:r>
      <w:r w:rsidR="00E31718" w:rsidRPr="005629D6">
        <w:rPr>
          <w:color w:val="000000" w:themeColor="text1"/>
        </w:rPr>
        <w:fldChar w:fldCharType="begin" w:fldLock="1"/>
      </w:r>
      <w:r w:rsidR="000D52F2" w:rsidRPr="005629D6">
        <w:rPr>
          <w:color w:val="000000" w:themeColor="text1"/>
        </w:rPr>
        <w:instrText>ADDIN CSL_CITATION {"citationItems":[{"id":"ITEM-1","itemData":{"DOI":"10.3389/fncel.2019.00134","ISSN":"16625102","abstract":"Chemical signaling is ubiquitous and employs a variety of receptor types to detect the cacophony of molecules relevant for each living organism. Insects, our most diverse taxon, have evolved unique olfactory receptors with as little as 10% sequence identity between receptor types. We have identified a promiscuous volatile, 2-methyltetrahydro-3-furanone (coffee furanone), that elicits chemosensory and behavioral activity across multiple insect orders and receptors. In vivo and in vitro physiology showed that coffee furanone was detected by roughly 80% of the recorded neurons expressing the insect-specific olfactory receptor complex in the antenna of Drosophila melanogaster, at concentrations similar to other known, and less promiscuous, ligands. Neurons expressing specialized receptors, other chemoreceptor types, or mutants lacking the complex entirely did not respond to this compound. This indicates that coffee furanone is a promiscuous ligand for the insect olfactory receptor complex itself and did not induce non-specific cellular responses. In addition, we present homology modeling and docking studies with selected olfactory receptors that suggest conserved interaction regions for both coffee furanone and known ligands. Apart from its physiological activity, this known food additive elicits a behavioral response for several insects, including mosquitoes, flies, and cockroaches. A broad-scale behaviorally active molecule non-toxic to humans thus has significant implications for health and agriculture. Coffee furanone serves as a unique tool to unlock molecular, physiological, and behavioral relationships across this diverse receptor family and animal taxa.","author":[{"dropping-particle":"","family":"Batra","given":"Srishti","non-dropping-particle":"","parse-names":false,"suffix":""},{"dropping-particle":"","family":"Corcoran","given":"Jacob","non-dropping-particle":"","parse-names":false,"suffix":""},{"dropping-particle":"","family":"Zhang","given":"Dan Dan","non-dropping-particle":"","parse-names":false,"suffix":""},{"dropping-particle":"","family":"Pal","given":"Pramit","non-dropping-particle":"","parse-names":false,"suffix":""},{"dropping-particle":"","family":"Umesh","given":"K. P.","non-dropping-particle":"","parse-names":false,"suffix":""},{"dropping-particle":"","family":"Kulkarni","given":"Renuka","non-dropping-particle":"","parse-names":false,"suffix":""},{"dropping-particle":"","family":"Löfstedt","given":"Christer","non-dropping-particle":"","parse-names":false,"suffix":""},{"dropping-particle":"","family":"Sowdhamini","given":"Ramanathan","non-dropping-particle":"","parse-names":false,"suffix":""},{"dropping-particle":"","family":"Olsson","given":"Shannon B.","non-dropping-particle":"","parse-names":false,"suffix":""}],"container-title":"Frontiers in Cellular Neuroscience","id":"ITEM-1","issue":"April","issued":{"date-parts":[["2019"]]},"page":"1-13","title":"A functional agonist of insect olfactory receptors: Behavior, physiology and structure","type":"article-journal","volume":"13"},"uris":["http://www.mendeley.com/documents/?uuid=c84d31e1-54f8-4b5e-bb04-55e733675bb1"]},{"id":"ITEM-2","itemData":{"DOI":"10.1016/j.bbrc.2013.05.015","ISSN":"0006291X","abstract":"Odorant receptors (ORs) are essential for insect survival in the environment and thus are ideal molecular targets for the design of insect-inspired modern green chemicals to control populations of agricultural pests and insects of medical importance. Although insect ORs are known for more than a decade, their structural biology is still in its infancy. Here, we unravel the first structural features of ORs from the malaria mosquito, the Southern house mosquito and the silkworm moth. The second extracellular loops (ECL-2s) of their predicted structures are much longer than ECL-1s and ECL-3s. The 27 amino-acid-residue-long of the ECL-2s in mosquito and the 43 amino-acid-residue-long ECL2s in moth ORs are well-conserved. About one-third of the residues are identical, including 3-4 Pro residues. Thorough examination of well-conserved residues in these structures, by point mutation and functional assay with the Xenopus oocyte recording system, strongly suggest that these \"loops\" include three β-turns and some degree of folding. In the Southern house mosquito three Pro residues in ECL-2 are essential for full activation of the receptor, which is finely tuned to the oviposition attractant 3-methylindole. Additionally, the \"corner residues\" of prolines, including Gly, Tyr, and Leu are functionally important thus suggesting that turns are stabilized not only by backbone hydrogen bonds, but also by side-chain interactions. Examination of ECL-2s from a distant taxonomical group suggests these ECL-2 loops might be functionally important in all insect ORs. Two of the four Pro residues in the predicted ECL-2 of the bombykol receptor in the silkworm moth, BmorOR1, are essential for function. Experimental evidence indicates that these loops may not be specificity determinants, but they may form a cover to the yet-to-be-identified membrane embedded binding cavities of insect ORs. © 2013 The Authors.","author":[{"dropping-particle":"","family":"Xu","given":"Pingxi","non-dropping-particle":"","parse-names":false,"suffix":""},{"dropping-particle":"","family":"Leal","given":"Walter S.","non-dropping-particle":"","parse-names":false,"suffix":""}],"container-title":"Biochemical and Biophysical Research Communications","id":"ITEM-2","issue":"3","issued":{"date-parts":[["2013"]]},"page":"477-482","publisher":"Elsevier Inc.","title":"Probing insect odorant receptors with their cognate ligands: Insights into structural features","type":"article-journal","volume":"435"},"uris":["http://www.mendeley.com/documents/?uuid=b25991ce-1e3b-4e80-8861-37a22e72bf77"]}],"mendeley":{"formattedCitation":"&lt;sup&gt;22,23&lt;/sup&gt;","plainTextFormattedCitation":"22,23","previouslyFormattedCitation":"&lt;sup&gt;22,23&lt;/sup&gt;"},"properties":{"noteIndex":0},"schema":"https://github.com/citation-style-language/schema/raw/master/csl-citation.json"}</w:instrText>
      </w:r>
      <w:r w:rsidR="00E31718" w:rsidRPr="005629D6">
        <w:rPr>
          <w:color w:val="000000" w:themeColor="text1"/>
        </w:rPr>
        <w:fldChar w:fldCharType="separate"/>
      </w:r>
      <w:r w:rsidR="002F2ECE" w:rsidRPr="005629D6">
        <w:rPr>
          <w:noProof/>
          <w:color w:val="000000" w:themeColor="text1"/>
          <w:vertAlign w:val="superscript"/>
        </w:rPr>
        <w:t>22,23</w:t>
      </w:r>
      <w:r w:rsidR="00E31718" w:rsidRPr="005629D6">
        <w:rPr>
          <w:color w:val="000000" w:themeColor="text1"/>
        </w:rPr>
        <w:fldChar w:fldCharType="end"/>
      </w:r>
      <w:r w:rsidR="00EA3FF7" w:rsidRPr="005629D6">
        <w:rPr>
          <w:color w:val="000000" w:themeColor="text1"/>
        </w:rPr>
        <w:t xml:space="preserve"> The lowest energy predicted model, based on DOPE score (</w:t>
      </w:r>
      <w:r w:rsidR="007A19C5" w:rsidRPr="005629D6">
        <w:rPr>
          <w:color w:val="000000" w:themeColor="text1"/>
        </w:rPr>
        <w:t>Supplem</w:t>
      </w:r>
      <w:r w:rsidR="00B141E1" w:rsidRPr="005629D6">
        <w:rPr>
          <w:color w:val="000000" w:themeColor="text1"/>
        </w:rPr>
        <w:t xml:space="preserve">entary Data </w:t>
      </w:r>
      <w:r w:rsidR="00EA3FF7" w:rsidRPr="005629D6">
        <w:rPr>
          <w:color w:val="000000" w:themeColor="text1"/>
        </w:rPr>
        <w:t xml:space="preserve">Table </w:t>
      </w:r>
      <w:r w:rsidR="007A19C5" w:rsidRPr="005629D6">
        <w:rPr>
          <w:color w:val="000000" w:themeColor="text1"/>
        </w:rPr>
        <w:t>S</w:t>
      </w:r>
      <w:r w:rsidR="00C8597C" w:rsidRPr="005629D6">
        <w:rPr>
          <w:color w:val="000000" w:themeColor="text1"/>
        </w:rPr>
        <w:t>2</w:t>
      </w:r>
      <w:r w:rsidR="00EA3FF7" w:rsidRPr="005629D6">
        <w:rPr>
          <w:color w:val="000000" w:themeColor="text1"/>
        </w:rPr>
        <w:t>), was em</w:t>
      </w:r>
      <w:r w:rsidR="00EA3FF7" w:rsidRPr="005629D6">
        <w:t xml:space="preserve">bedded into a lipid </w:t>
      </w:r>
      <w:r w:rsidR="00EA3FF7" w:rsidRPr="005629D6">
        <w:rPr>
          <w:color w:val="000000" w:themeColor="text1"/>
        </w:rPr>
        <w:t xml:space="preserve">bilayer of 128 </w:t>
      </w:r>
      <w:proofErr w:type="spellStart"/>
      <w:r w:rsidR="00EA3FF7" w:rsidRPr="005629D6">
        <w:rPr>
          <w:rFonts w:cstheme="minorHAnsi"/>
          <w:color w:val="000000" w:themeColor="text1"/>
          <w:shd w:val="clear" w:color="auto" w:fill="FFFFFF"/>
        </w:rPr>
        <w:t>dipalmitoylphosphatidylcholine</w:t>
      </w:r>
      <w:proofErr w:type="spellEnd"/>
      <w:r w:rsidR="00EA3FF7" w:rsidRPr="005629D6">
        <w:rPr>
          <w:rFonts w:cstheme="minorHAnsi"/>
          <w:color w:val="000000" w:themeColor="text1"/>
          <w:shd w:val="clear" w:color="auto" w:fill="FFFFFF"/>
        </w:rPr>
        <w:t xml:space="preserve"> (</w:t>
      </w:r>
      <w:r w:rsidR="00EA3FF7" w:rsidRPr="005629D6">
        <w:rPr>
          <w:color w:val="000000" w:themeColor="text1"/>
        </w:rPr>
        <w:t xml:space="preserve">DPPC) molecules using GROMACS </w:t>
      </w:r>
      <w:r w:rsidR="00EA3FF7" w:rsidRPr="005629D6">
        <w:t>before screening ligands.</w:t>
      </w:r>
      <w:r w:rsidR="009C013F" w:rsidRPr="005629D6">
        <w:rPr>
          <w:noProof/>
        </w:rPr>
        <w:t xml:space="preserve"> </w:t>
      </w:r>
    </w:p>
    <w:p w14:paraId="4BEC8FC1" w14:textId="06ACD8DC" w:rsidR="009C013F" w:rsidRPr="005629D6" w:rsidRDefault="001270FF" w:rsidP="001270FF">
      <w:pPr>
        <w:jc w:val="center"/>
      </w:pPr>
      <w:r w:rsidRPr="005629D6">
        <w:rPr>
          <w:noProof/>
        </w:rPr>
        <w:lastRenderedPageBreak/>
        <w:drawing>
          <wp:inline distT="0" distB="0" distL="0" distR="0" wp14:anchorId="70240B47" wp14:editId="00794E9E">
            <wp:extent cx="4436198" cy="3342139"/>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39827" cy="3344873"/>
                    </a:xfrm>
                    <a:prstGeom prst="rect">
                      <a:avLst/>
                    </a:prstGeom>
                  </pic:spPr>
                </pic:pic>
              </a:graphicData>
            </a:graphic>
          </wp:inline>
        </w:drawing>
      </w:r>
      <w:r w:rsidRPr="005629D6">
        <w:br/>
      </w:r>
      <w:r w:rsidR="009C013F" w:rsidRPr="005629D6">
        <w:rPr>
          <w:b/>
          <w:bCs/>
          <w:szCs w:val="20"/>
        </w:rPr>
        <w:t xml:space="preserve">Figure </w:t>
      </w:r>
      <w:r w:rsidR="007D518F" w:rsidRPr="005629D6">
        <w:rPr>
          <w:b/>
          <w:bCs/>
          <w:szCs w:val="20"/>
        </w:rPr>
        <w:t>1</w:t>
      </w:r>
      <w:r w:rsidR="009C013F" w:rsidRPr="005629D6">
        <w:rPr>
          <w:b/>
          <w:bCs/>
          <w:szCs w:val="20"/>
        </w:rPr>
        <w:t xml:space="preserve">: </w:t>
      </w:r>
      <w:r w:rsidR="009C013F" w:rsidRPr="005629D6">
        <w:rPr>
          <w:szCs w:val="20"/>
        </w:rPr>
        <w:t>(</w:t>
      </w:r>
      <w:r w:rsidR="00BF4202" w:rsidRPr="005629D6">
        <w:rPr>
          <w:szCs w:val="20"/>
        </w:rPr>
        <w:t>A</w:t>
      </w:r>
      <w:r w:rsidR="009C013F" w:rsidRPr="005629D6">
        <w:rPr>
          <w:szCs w:val="20"/>
        </w:rPr>
        <w:t>) The general transmembrane domains of insect odorant receptors; (</w:t>
      </w:r>
      <w:r w:rsidR="00BF4202" w:rsidRPr="005629D6">
        <w:rPr>
          <w:szCs w:val="20"/>
        </w:rPr>
        <w:t>B</w:t>
      </w:r>
      <w:r w:rsidR="009C013F" w:rsidRPr="005629D6">
        <w:rPr>
          <w:szCs w:val="20"/>
        </w:rPr>
        <w:t xml:space="preserve">) Homology models of </w:t>
      </w:r>
      <w:proofErr w:type="spellStart"/>
      <w:r w:rsidR="009C013F" w:rsidRPr="005629D6">
        <w:rPr>
          <w:i/>
          <w:iCs/>
          <w:szCs w:val="20"/>
        </w:rPr>
        <w:t>Acyrthosiphon</w:t>
      </w:r>
      <w:proofErr w:type="spellEnd"/>
      <w:r w:rsidR="009C013F" w:rsidRPr="005629D6">
        <w:rPr>
          <w:i/>
          <w:iCs/>
          <w:szCs w:val="20"/>
        </w:rPr>
        <w:t xml:space="preserve"> </w:t>
      </w:r>
      <w:proofErr w:type="spellStart"/>
      <w:r w:rsidR="009C013F" w:rsidRPr="005629D6">
        <w:rPr>
          <w:i/>
          <w:iCs/>
          <w:szCs w:val="20"/>
        </w:rPr>
        <w:t>pisum</w:t>
      </w:r>
      <w:proofErr w:type="spellEnd"/>
      <w:r w:rsidR="009C013F" w:rsidRPr="005629D6">
        <w:rPr>
          <w:i/>
          <w:iCs/>
          <w:szCs w:val="20"/>
        </w:rPr>
        <w:t xml:space="preserve"> </w:t>
      </w:r>
      <w:r w:rsidR="009C013F" w:rsidRPr="005629D6">
        <w:rPr>
          <w:iCs/>
          <w:szCs w:val="20"/>
        </w:rPr>
        <w:t>OR</w:t>
      </w:r>
      <w:r w:rsidR="009C013F" w:rsidRPr="005629D6">
        <w:rPr>
          <w:szCs w:val="20"/>
        </w:rPr>
        <w:t>5 embedded in a lipid bilayer.</w:t>
      </w:r>
    </w:p>
    <w:p w14:paraId="7B8EEF6F" w14:textId="3AF709EC" w:rsidR="00EA3FF7" w:rsidRPr="005629D6" w:rsidRDefault="007F5F4F" w:rsidP="00EA3FF7">
      <w:r w:rsidRPr="005629D6">
        <w:t>As pre</w:t>
      </w:r>
      <w:r w:rsidR="008A751B" w:rsidRPr="005629D6">
        <w:t>d</w:t>
      </w:r>
      <w:r w:rsidRPr="005629D6">
        <w:t>i</w:t>
      </w:r>
      <w:r w:rsidR="008A751B" w:rsidRPr="005629D6">
        <w:t>c</w:t>
      </w:r>
      <w:r w:rsidRPr="005629D6">
        <w:t xml:space="preserve">ted, </w:t>
      </w:r>
      <w:r w:rsidR="00EA3FF7" w:rsidRPr="005629D6">
        <w:t>the most favourable models</w:t>
      </w:r>
      <w:r w:rsidRPr="005629D6">
        <w:t xml:space="preserve"> for each protein</w:t>
      </w:r>
      <w:r w:rsidR="00EA3FF7" w:rsidRPr="005629D6">
        <w:t xml:space="preserve"> had seven predicted transmembrane domains with an intracellular N-terminus and extracellular C-terminus. All selected models had over 98% allowed residues, with the exception of </w:t>
      </w:r>
      <w:r w:rsidRPr="005629D6">
        <w:t>Apis</w:t>
      </w:r>
      <w:r w:rsidR="00EA3FF7" w:rsidRPr="005629D6">
        <w:t xml:space="preserve">OR39 at 97.5%, with DOPE scores comparable to other insect OR models and the cryo-EM structure of </w:t>
      </w:r>
      <w:proofErr w:type="spellStart"/>
      <w:r w:rsidR="008A751B" w:rsidRPr="005629D6">
        <w:t>Abak</w:t>
      </w:r>
      <w:r w:rsidR="00EA3FF7" w:rsidRPr="005629D6">
        <w:t>ORCO</w:t>
      </w:r>
      <w:proofErr w:type="spellEnd"/>
      <w:r w:rsidR="00EA3FF7" w:rsidRPr="005629D6">
        <w:t xml:space="preserve"> (</w:t>
      </w:r>
      <w:r w:rsidR="00942FD3" w:rsidRPr="005629D6">
        <w:t xml:space="preserve">Supplementary Data </w:t>
      </w:r>
      <w:r w:rsidR="00EA3FF7" w:rsidRPr="005629D6">
        <w:t xml:space="preserve">Table </w:t>
      </w:r>
      <w:r w:rsidR="00942FD3" w:rsidRPr="005629D6">
        <w:t>S</w:t>
      </w:r>
      <w:r w:rsidR="00C8597C" w:rsidRPr="005629D6">
        <w:t>2</w:t>
      </w:r>
      <w:r w:rsidR="00EA3FF7" w:rsidRPr="005629D6">
        <w:t>).</w:t>
      </w:r>
      <w:r w:rsidR="00EA3FF7" w:rsidRPr="005629D6">
        <w:fldChar w:fldCharType="begin" w:fldLock="1"/>
      </w:r>
      <w:r w:rsidR="000D52F2" w:rsidRPr="005629D6">
        <w:instrText>ADDIN CSL_CITATION {"citationItems":[{"id":"ITEM-1","itemData":{"DOI":"10.3389/fncel.2019.00134","ISSN":"16625102","abstract":"Chemical signaling is ubiquitous and employs a variety of receptor types to detect the cacophony of molecules relevant for each living organism. Insects, our most diverse taxon, have evolved unique olfactory receptors with as little as 10% sequence identity between receptor types. We have identified a promiscuous volatile, 2-methyltetrahydro-3-furanone (coffee furanone), that elicits chemosensory and behavioral activity across multiple insect orders and receptors. In vivo and in vitro physiology showed that coffee furanone was detected by roughly 80% of the recorded neurons expressing the insect-specific olfactory receptor complex in the antenna of Drosophila melanogaster, at concentrations similar to other known, and less promiscuous, ligands. Neurons expressing specialized receptors, other chemoreceptor types, or mutants lacking the complex entirely did not respond to this compound. This indicates that coffee furanone is a promiscuous ligand for the insect olfactory receptor complex itself and did not induce non-specific cellular responses. In addition, we present homology modeling and docking studies with selected olfactory receptors that suggest conserved interaction regions for both coffee furanone and known ligands. Apart from its physiological activity, this known food additive elicits a behavioral response for several insects, including mosquitoes, flies, and cockroaches. A broad-scale behaviorally active molecule non-toxic to humans thus has significant implications for health and agriculture. Coffee furanone serves as a unique tool to unlock molecular, physiological, and behavioral relationships across this diverse receptor family and animal taxa.","author":[{"dropping-particle":"","family":"Batra","given":"Srishti","non-dropping-particle":"","parse-names":false,"suffix":""},{"dropping-particle":"","family":"Corcoran","given":"Jacob","non-dropping-particle":"","parse-names":false,"suffix":""},{"dropping-particle":"","family":"Zhang","given":"Dan Dan","non-dropping-particle":"","parse-names":false,"suffix":""},{"dropping-particle":"","family":"Pal","given":"Pramit","non-dropping-particle":"","parse-names":false,"suffix":""},{"dropping-particle":"","family":"Umesh","given":"K. P.","non-dropping-particle":"","parse-names":false,"suffix":""},{"dropping-particle":"","family":"Kulkarni","given":"Renuka","non-dropping-particle":"","parse-names":false,"suffix":""},{"dropping-particle":"","family":"Löfstedt","given":"Christer","non-dropping-particle":"","parse-names":false,"suffix":""},{"dropping-particle":"","family":"Sowdhamini","given":"Ramanathan","non-dropping-particle":"","parse-names":false,"suffix":""},{"dropping-particle":"","family":"Olsson","given":"Shannon B.","non-dropping-particle":"","parse-names":false,"suffix":""}],"container-title":"Frontiers in Cellular Neuroscience","id":"ITEM-1","issue":"April","issued":{"date-parts":[["2019"]]},"page":"1-13","title":"A functional agonist of insect olfactory receptors: Behavior, physiology and structure","type":"article-journal","volume":"13"},"uris":["http://www.mendeley.com/documents/?uuid=c84d31e1-54f8-4b5e-bb04-55e733675bb1"]},{"id":"ITEM-2","itemData":{"DOI":"10.1038/s41586-018-0420-8","ISSN":"14764687","PMID":"30111839","abstract":"The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-2","issue":"7719","issued":{"date-parts":[["2018"]]},"page":"447-452","publisher":"Springer US","title":"Cryo-EM structure of the insect olfactory receptor Orco","type":"article-journal","volume":"560"},"uris":["http://www.mendeley.com/documents/?uuid=39008980-944d-4b35-826d-38ce947c6ad8"]}],"mendeley":{"formattedCitation":"&lt;sup&gt;17,23&lt;/sup&gt;","plainTextFormattedCitation":"17,23","previouslyFormattedCitation":"&lt;sup&gt;17,23&lt;/sup&gt;"},"properties":{"noteIndex":0},"schema":"https://github.com/citation-style-language/schema/raw/master/csl-citation.json"}</w:instrText>
      </w:r>
      <w:r w:rsidR="00EA3FF7" w:rsidRPr="005629D6">
        <w:fldChar w:fldCharType="separate"/>
      </w:r>
      <w:r w:rsidR="002F2ECE" w:rsidRPr="005629D6">
        <w:rPr>
          <w:noProof/>
          <w:vertAlign w:val="superscript"/>
        </w:rPr>
        <w:t>17,23</w:t>
      </w:r>
      <w:r w:rsidR="00EA3FF7" w:rsidRPr="005629D6">
        <w:fldChar w:fldCharType="end"/>
      </w:r>
    </w:p>
    <w:p w14:paraId="3BA9A096" w14:textId="3781D55B" w:rsidR="00780DC1" w:rsidRPr="005629D6" w:rsidRDefault="00111502" w:rsidP="00EA3FF7">
      <w:r w:rsidRPr="005629D6">
        <w:t xml:space="preserve">In addition to comparative models, the highly-accurate </w:t>
      </w:r>
      <w:proofErr w:type="spellStart"/>
      <w:r w:rsidRPr="005629D6">
        <w:t>AlphaFold</w:t>
      </w:r>
      <w:proofErr w:type="spellEnd"/>
      <w:r w:rsidRPr="005629D6">
        <w:t xml:space="preserve"> protein prediction software was used to generated a further set of models for screening (Supplementary Data Figure S3).</w:t>
      </w:r>
      <w:r w:rsidRPr="005629D6">
        <w:fldChar w:fldCharType="begin" w:fldLock="1"/>
      </w:r>
      <w:r w:rsidR="004C517A" w:rsidRPr="005629D6">
        <w:instrText>ADDIN CSL_CITATION {"citationItems":[{"id":"ITEM-1","itemData":{"DOI":"10.1038/s41586-021-03819-2","ISSN":"14764687","PMID":"34265844","abstract":"Proteins are essential to life, and understanding their structure can facilitate a mechanistic understanding of their function. Through an enormous experimental effort1–4, the structures of around 100,000 unique proteins have been determined5, but this represents a small fraction of the billions of known protein sequences6,7. Structural coverage is bottlenecked by the months to years of painstaking effort required to determine a single protein structure. Accurate computational approaches are needed to address this gap and to enable large-scale structural bioinformatics. Predicting the 3-D structure that a protein will adopt based solely on its amino acid sequence, the structure prediction component of the ‘protein folding problem’8, has been an important open research problem for more than 50 years9. Despite recent progress10–14, existing methods fall far short of atomic accuracy, especially when no homologous structure is available. Here we provide the first computational method that can regularly predict protein structures with atomic accuracy even where no similar structure is known. We validated an entirely redesigned version of our neural network-based model, AlphaFold, in the challenging 14th Critical Assessment of protein Structure Prediction (CASP14)15, demonstrating accuracy competitive with experiment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author":[{"dropping-particle":"","family":"Jumper","given":"John","non-dropping-particle":"","parse-names":false,"suffix":""},{"dropping-particle":"","family":"Evans","given":"Richard","non-dropping-particle":"","parse-names":false,"suffix":""},{"dropping-particle":"","family":"Pritzel","given":"Alexander","non-dropping-particle":"","parse-names":false,"suffix":""},{"dropping-particle":"","family":"Green","given":"Tim","non-dropping-particle":"","parse-names":false,"suffix":""},{"dropping-particle":"","family":"Figurnov","given":"Michael","non-dropping-particle":"","parse-names":false,"suffix":""},{"dropping-particle":"","family":"Ronneberger","given":"Olaf","non-dropping-particle":"","parse-names":false,"suffix":""},{"dropping-particle":"","family":"Tunyasuvunakool","given":"Kathryn","non-dropping-particle":"","parse-names":false,"suffix":""},{"dropping-particle":"","family":"Bates","given":"Russ","non-dropping-particle":"","parse-names":false,"suffix":""},{"dropping-particle":"","family":"Žídek","given":"Augustin","non-dropping-particle":"","parse-names":false,"suffix":""},{"dropping-particle":"","family":"Potapenko","given":"Anna","non-dropping-particle":"","parse-names":false,"suffix":""},{"dropping-particle":"","family":"Bridgland","given":"Alex","non-dropping-particle":"","parse-names":false,"suffix":""},{"dropping-particle":"","family":"Meyer","given":"Clemens","non-dropping-particle":"","parse-names":false,"suffix":""},{"dropping-particle":"","family":"Kohl","given":"Simon A.A.","non-dropping-particle":"","parse-names":false,"suffix":""},{"dropping-particle":"","family":"Ballard","given":"Andrew J.","non-dropping-particle":"","parse-names":false,"suffix":""},{"dropping-particle":"","family":"Cowie","given":"Andrew","non-dropping-particle":"","parse-names":false,"suffix":""},{"dropping-particle":"","family":"Romera-Paredes","given":"Bernardino","non-dropping-particle":"","parse-names":false,"suffix":""},{"dropping-particle":"","family":"Nikolov","given":"Stanislav","non-dropping-particle":"","parse-names":false,"suffix":""},{"dropping-particle":"","family":"Jain","given":"Rishub","non-dropping-particle":"","parse-names":false,"suffix":""},{"dropping-particle":"","family":"Adler","given":"Jonas","non-dropping-particle":"","parse-names":false,"suffix":""},{"dropping-particle":"","family":"Back","given":"Trevor","non-dropping-particle":"","parse-names":false,"suffix":""},{"dropping-particle":"","family":"Petersen","given":"Stig","non-dropping-particle":"","parse-names":false,"suffix":""},{"dropping-particle":"","family":"Reiman","given":"David","non-dropping-particle":"","parse-names":false,"suffix":""},{"dropping-particle":"","family":"Clancy","given":"Ellen","non-dropping-particle":"","parse-names":false,"suffix":""},{"dropping-particle":"","family":"Zielinski","given":"Michal","non-dropping-particle":"","parse-names":false,"suffix":""},{"dropping-particle":"","family":"Steinegger","given":"Martin","non-dropping-particle":"","parse-names":false,"suffix":""},{"dropping-particle":"","family":"Pacholska","given":"Michalina","non-dropping-particle":"","parse-names":false,"suffix":""},{"dropping-particle":"","family":"Berghammer","given":"Tamas","non-dropping-particle":"","parse-names":false,"suffix":""},{"dropping-particle":"","family":"Bodenstein","given":"Sebastian","non-dropping-particle":"","parse-names":false,"suffix":""},{"dropping-particle":"","family":"Silver","given":"David","non-dropping-particle":"","parse-names":false,"suffix":""},{"dropping-particle":"","family":"Vinyals","given":"Oriol","non-dropping-particle":"","parse-names":false,"suffix":""},{"dropping-particle":"","family":"Senior","given":"Andrew W.","non-dropping-particle":"","parse-names":false,"suffix":""},{"dropping-particle":"","family":"Kavukcuoglu","given":"Koray","non-dropping-particle":"","parse-names":false,"suffix":""},{"dropping-particle":"","family":"Kohli","given":"Pushmeet","non-dropping-particle":"","parse-names":false,"suffix":""},{"dropping-particle":"","family":"Hassabis","given":"Demis","non-dropping-particle":"","parse-names":false,"suffix":""}],"container-title":"Nature","id":"ITEM-1","issue":"August","issued":{"date-parts":[["2021"]]},"publisher":"Springer US","title":"Highly accurate protein structure prediction with AlphaFold","type":"article-journal","volume":"596"},"uris":["http://www.mendeley.com/documents/?uuid=d00f2fcd-7e6e-476d-a274-aa9fa48dc5c4"]}],"mendeley":{"formattedCitation":"&lt;sup&gt;54&lt;/sup&gt;","plainTextFormattedCitation":"54","previouslyFormattedCitation":"&lt;sup&gt;54&lt;/sup&gt;"},"properties":{"noteIndex":0},"schema":"https://github.com/citation-style-language/schema/raw/master/csl-citation.json"}</w:instrText>
      </w:r>
      <w:r w:rsidRPr="005629D6">
        <w:fldChar w:fldCharType="separate"/>
      </w:r>
      <w:r w:rsidRPr="005629D6">
        <w:rPr>
          <w:noProof/>
          <w:vertAlign w:val="superscript"/>
        </w:rPr>
        <w:t>54</w:t>
      </w:r>
      <w:r w:rsidRPr="005629D6">
        <w:fldChar w:fldCharType="end"/>
      </w:r>
      <w:r w:rsidRPr="005629D6">
        <w:t xml:space="preserve"> </w:t>
      </w:r>
      <w:proofErr w:type="spellStart"/>
      <w:r w:rsidR="00E03828" w:rsidRPr="005629D6">
        <w:rPr>
          <w:szCs w:val="20"/>
        </w:rPr>
        <w:t>AlphaFold</w:t>
      </w:r>
      <w:proofErr w:type="spellEnd"/>
      <w:r w:rsidR="00E03828" w:rsidRPr="005629D6">
        <w:rPr>
          <w:szCs w:val="20"/>
        </w:rPr>
        <w:t xml:space="preserve"> is </w:t>
      </w:r>
      <w:r w:rsidR="001E6AE1" w:rsidRPr="005629D6">
        <w:rPr>
          <w:szCs w:val="20"/>
        </w:rPr>
        <w:t>superior</w:t>
      </w:r>
      <w:r w:rsidR="00E03828" w:rsidRPr="005629D6">
        <w:rPr>
          <w:szCs w:val="20"/>
        </w:rPr>
        <w:t xml:space="preserve"> to  model</w:t>
      </w:r>
      <w:r w:rsidR="001E6AE1" w:rsidRPr="005629D6">
        <w:rPr>
          <w:szCs w:val="20"/>
        </w:rPr>
        <w:t xml:space="preserve"> the</w:t>
      </w:r>
      <w:r w:rsidR="00E03828" w:rsidRPr="005629D6">
        <w:rPr>
          <w:szCs w:val="20"/>
        </w:rPr>
        <w:t xml:space="preserve"> interface,</w:t>
      </w:r>
      <w:r w:rsidR="001E6AE1" w:rsidRPr="005629D6">
        <w:rPr>
          <w:szCs w:val="20"/>
        </w:rPr>
        <w:t xml:space="preserve"> and</w:t>
      </w:r>
      <w:r w:rsidR="00E03828" w:rsidRPr="005629D6">
        <w:rPr>
          <w:szCs w:val="20"/>
        </w:rPr>
        <w:t xml:space="preserve"> doesn’t rely on homology modelling data.</w:t>
      </w:r>
      <w:r w:rsidR="00E03828" w:rsidRPr="005629D6">
        <w:rPr>
          <w:szCs w:val="20"/>
        </w:rPr>
        <w:fldChar w:fldCharType="begin" w:fldLock="1"/>
      </w:r>
      <w:r w:rsidR="00896256" w:rsidRPr="005629D6">
        <w:rPr>
          <w:szCs w:val="20"/>
        </w:rPr>
        <w:instrText>ADDIN CSL_CITATION {"citationItems":[{"id":"ITEM-1","itemData":{"DOI":"10.1038/s41586-021-03819-2","ISSN":"14764687","PMID":"34265844","abstract":"Proteins are essential to life, and understanding their structure can facilitate a mechanistic understanding of their function. Through an enormous experimental effort1–4, the structures of around 100,000 unique proteins have been determined5, but this represents a small fraction of the billions of known protein sequences6,7. Structural coverage is bottlenecked by the months to years of painstaking effort required to determine a single protein structure. Accurate computational approaches are needed to address this gap and to enable large-scale structural bioinformatics. Predicting the 3-D structure that a protein will adopt based solely on its amino acid sequence, the structure prediction component of the ‘protein folding problem’8, has been an important open research problem for more than 50 years9. Despite recent progress10–14, existing methods fall far short of atomic accuracy, especially when no homologous structure is available. Here we provide the first computational method that can regularly predict protein structures with atomic accuracy even where no similar structure is known. We validated an entirely redesigned version of our neural network-based model, AlphaFold, in the challenging 14th Critical Assessment of protein Structure Prediction (CASP14)15, demonstrating accuracy competitive with experiment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author":[{"dropping-particle":"","family":"Jumper","given":"John","non-dropping-particle":"","parse-names":false,"suffix":""},{"dropping-particle":"","family":"Evans","given":"Richard","non-dropping-particle":"","parse-names":false,"suffix":""},{"dropping-particle":"","family":"Pritzel","given":"Alexander","non-dropping-particle":"","parse-names":false,"suffix":""},{"dropping-particle":"","family":"Green","given":"Tim","non-dropping-particle":"","parse-names":false,"suffix":""},{"dropping-particle":"","family":"Figurnov","given":"Michael","non-dropping-particle":"","parse-names":false,"suffix":""},{"dropping-particle":"","family":"Ronneberger","given":"Olaf","non-dropping-particle":"","parse-names":false,"suffix":""},{"dropping-particle":"","family":"Tunyasuvunakool","given":"Kathryn","non-dropping-particle":"","parse-names":false,"suffix":""},{"dropping-particle":"","family":"Bates","given":"Russ","non-dropping-particle":"","parse-names":false,"suffix":""},{"dropping-particle":"","family":"Žídek","given":"Augustin","non-dropping-particle":"","parse-names":false,"suffix":""},{"dropping-particle":"","family":"Potapenko","given":"Anna","non-dropping-particle":"","parse-names":false,"suffix":""},{"dropping-particle":"","family":"Bridgland","given":"Alex","non-dropping-particle":"","parse-names":false,"suffix":""},{"dropping-particle":"","family":"Meyer","given":"Clemens","non-dropping-particle":"","parse-names":false,"suffix":""},{"dropping-particle":"","family":"Kohl","given":"Simon A.A.","non-dropping-particle":"","parse-names":false,"suffix":""},{"dropping-particle":"","family":"Ballard","given":"Andrew J.","non-dropping-particle":"","parse-names":false,"suffix":""},{"dropping-particle":"","family":"Cowie","given":"Andrew","non-dropping-particle":"","parse-names":false,"suffix":""},{"dropping-particle":"","family":"Romera-Paredes","given":"Bernardino","non-dropping-particle":"","parse-names":false,"suffix":""},{"dropping-particle":"","family":"Nikolov","given":"Stanislav","non-dropping-particle":"","parse-names":false,"suffix":""},{"dropping-particle":"","family":"Jain","given":"Rishub","non-dropping-particle":"","parse-names":false,"suffix":""},{"dropping-particle":"","family":"Adler","given":"Jonas","non-dropping-particle":"","parse-names":false,"suffix":""},{"dropping-particle":"","family":"Back","given":"Trevor","non-dropping-particle":"","parse-names":false,"suffix":""},{"dropping-particle":"","family":"Petersen","given":"Stig","non-dropping-particle":"","parse-names":false,"suffix":""},{"dropping-particle":"","family":"Reiman","given":"David","non-dropping-particle":"","parse-names":false,"suffix":""},{"dropping-particle":"","family":"Clancy","given":"Ellen","non-dropping-particle":"","parse-names":false,"suffix":""},{"dropping-particle":"","family":"Zielinski","given":"Michal","non-dropping-particle":"","parse-names":false,"suffix":""},{"dropping-particle":"","family":"Steinegger","given":"Martin","non-dropping-particle":"","parse-names":false,"suffix":""},{"dropping-particle":"","family":"Pacholska","given":"Michalina","non-dropping-particle":"","parse-names":false,"suffix":""},{"dropping-particle":"","family":"Berghammer","given":"Tamas","non-dropping-particle":"","parse-names":false,"suffix":""},{"dropping-particle":"","family":"Bodenstein","given":"Sebastian","non-dropping-particle":"","parse-names":false,"suffix":""},{"dropping-particle":"","family":"Silver","given":"David","non-dropping-particle":"","parse-names":false,"suffix":""},{"dropping-particle":"","family":"Vinyals","given":"Oriol","non-dropping-particle":"","parse-names":false,"suffix":""},{"dropping-particle":"","family":"Senior","given":"Andrew W.","non-dropping-particle":"","parse-names":false,"suffix":""},{"dropping-particle":"","family":"Kavukcuoglu","given":"Koray","non-dropping-particle":"","parse-names":false,"suffix":""},{"dropping-particle":"","family":"Kohli","given":"Pushmeet","non-dropping-particle":"","parse-names":false,"suffix":""},{"dropping-particle":"","family":"Hassabis","given":"Demis","non-dropping-particle":"","parse-names":false,"suffix":""}],"container-title":"Nature","id":"ITEM-1","issue":"August","issued":{"date-parts":[["2021"]]},"publisher":"Springer US","title":"Highly accurate protein structure prediction with AlphaFold","type":"article-journal","volume":"596"},"uris":["http://www.mendeley.com/documents/?uuid=d00f2fcd-7e6e-476d-a274-aa9fa48dc5c4"]}],"mendeley":{"formattedCitation":"&lt;sup&gt;54&lt;/sup&gt;","plainTextFormattedCitation":"54","previouslyFormattedCitation":"&lt;sup&gt;54&lt;/sup&gt;"},"properties":{"noteIndex":0},"schema":"https://github.com/citation-style-language/schema/raw/master/csl-citation.json"}</w:instrText>
      </w:r>
      <w:r w:rsidR="00E03828" w:rsidRPr="005629D6">
        <w:rPr>
          <w:szCs w:val="20"/>
        </w:rPr>
        <w:fldChar w:fldCharType="separate"/>
      </w:r>
      <w:r w:rsidR="00E03828" w:rsidRPr="005629D6">
        <w:rPr>
          <w:noProof/>
          <w:szCs w:val="20"/>
          <w:vertAlign w:val="superscript"/>
        </w:rPr>
        <w:t>54</w:t>
      </w:r>
      <w:r w:rsidR="00E03828" w:rsidRPr="005629D6">
        <w:rPr>
          <w:szCs w:val="20"/>
        </w:rPr>
        <w:fldChar w:fldCharType="end"/>
      </w:r>
      <w:r w:rsidR="00E03828" w:rsidRPr="005629D6">
        <w:rPr>
          <w:szCs w:val="20"/>
        </w:rPr>
        <w:t xml:space="preserve"> </w:t>
      </w:r>
      <w:r w:rsidR="001E6AE1" w:rsidRPr="005629D6">
        <w:rPr>
          <w:szCs w:val="20"/>
        </w:rPr>
        <w:t xml:space="preserve">The </w:t>
      </w:r>
      <w:proofErr w:type="spellStart"/>
      <w:r w:rsidRPr="005629D6">
        <w:t>AlphaFold</w:t>
      </w:r>
      <w:proofErr w:type="spellEnd"/>
      <w:r w:rsidRPr="005629D6">
        <w:t xml:space="preserve"> models had a consistent structure</w:t>
      </w:r>
      <w:r w:rsidR="001E6AE1" w:rsidRPr="005629D6">
        <w:t xml:space="preserve"> when compared</w:t>
      </w:r>
      <w:r w:rsidRPr="005629D6">
        <w:t xml:space="preserve"> with the comparative models. </w:t>
      </w:r>
      <w:r w:rsidR="00E31F99" w:rsidRPr="005629D6">
        <w:t xml:space="preserve">The long intracellular loop (IL3) of </w:t>
      </w:r>
      <w:proofErr w:type="spellStart"/>
      <w:r w:rsidR="00E31F99" w:rsidRPr="005629D6">
        <w:t>ApisORCO</w:t>
      </w:r>
      <w:proofErr w:type="spellEnd"/>
      <w:r w:rsidR="00E31F99" w:rsidRPr="005629D6">
        <w:t xml:space="preserve"> caused the highest degree of error in the model, as expected </w:t>
      </w:r>
      <w:r w:rsidR="005E2B9B" w:rsidRPr="005629D6">
        <w:t xml:space="preserve">from </w:t>
      </w:r>
      <w:r w:rsidR="00E31F99" w:rsidRPr="005629D6">
        <w:t xml:space="preserve">comparative modelling results. Furthermore, very little differences could be observed between the models, </w:t>
      </w:r>
      <w:proofErr w:type="gramStart"/>
      <w:r w:rsidR="00E31F99" w:rsidRPr="005629D6">
        <w:t>with the exception of</w:t>
      </w:r>
      <w:proofErr w:type="gramEnd"/>
      <w:r w:rsidR="00E31F99" w:rsidRPr="005629D6">
        <w:t xml:space="preserve"> differences in the flexible intra- and </w:t>
      </w:r>
      <w:r w:rsidR="00A318A9" w:rsidRPr="005629D6">
        <w:t>extracellular</w:t>
      </w:r>
      <w:r w:rsidR="00E31F99" w:rsidRPr="005629D6">
        <w:t xml:space="preserve"> loop</w:t>
      </w:r>
      <w:r w:rsidR="00A318A9" w:rsidRPr="005629D6">
        <w:t>s</w:t>
      </w:r>
      <w:r w:rsidR="00E31F99" w:rsidRPr="005629D6">
        <w:t xml:space="preserve">. </w:t>
      </w:r>
      <w:proofErr w:type="spellStart"/>
      <w:r w:rsidR="00E31F99" w:rsidRPr="005629D6">
        <w:t>AlphaFold</w:t>
      </w:r>
      <w:proofErr w:type="spellEnd"/>
      <w:r w:rsidR="00E31F99" w:rsidRPr="005629D6">
        <w:t xml:space="preserve"> appears to be an efficient, and much faster, method for </w:t>
      </w:r>
      <w:r w:rsidR="00A318A9" w:rsidRPr="005629D6">
        <w:t>modelling insect ORs. However, the lack of available structural data for this type of protein still contributes to limitations of this method</w:t>
      </w:r>
      <w:r w:rsidR="004C517A" w:rsidRPr="005629D6">
        <w:t>.</w:t>
      </w:r>
    </w:p>
    <w:p w14:paraId="35847108" w14:textId="3511B005" w:rsidR="00EA3FF7" w:rsidRPr="005629D6" w:rsidRDefault="00EA3FF7" w:rsidP="00EA3FF7">
      <w:r w:rsidRPr="005629D6">
        <w:t>For visualisation, modelled protein structures were comprised into tetramers using Sam protein-protein docking (</w:t>
      </w:r>
      <w:r w:rsidR="00866FE0" w:rsidRPr="005629D6">
        <w:t xml:space="preserve">Supplementary Data </w:t>
      </w:r>
      <w:r w:rsidRPr="005629D6">
        <w:t xml:space="preserve">Figure </w:t>
      </w:r>
      <w:r w:rsidR="00866FE0" w:rsidRPr="005629D6">
        <w:t>S</w:t>
      </w:r>
      <w:r w:rsidR="004B34F8" w:rsidRPr="005629D6">
        <w:t>2</w:t>
      </w:r>
      <w:r w:rsidRPr="005629D6">
        <w:t>).</w:t>
      </w:r>
      <w:r w:rsidRPr="005629D6">
        <w:fldChar w:fldCharType="begin" w:fldLock="1"/>
      </w:r>
      <w:r w:rsidR="00723DD9" w:rsidRPr="005629D6">
        <w:instrText>ADDIN CSL_CITATION {"citationItems":[{"id":"ITEM-1","itemData":{"DOI":"10.1107/S1600576715022931","ISSN":"16005767","abstract":"A novel fast Fourier transform-based ab inito docking algorithm called SAM is presented, for building perfectly symmetrical models of protein complexes with arbitrary point group symmetry. The basic approach uses a novel and very fast one-dimensional symmetry-constrained spherical polar Fourier search to assemble cyclic Cn systems from a given protein monomer. Structures with higher-order (Dn, T, O and I) point group symmetries may be built using a subsequent symmetry-constrained Fourier domain search to assemble trimeric sub-units. The results reported here show that the SAM algorithm can correctly assemble monomers of up to around 500 residues to produce a near-native complex structure with the given point group symmetry in 17 out of 18 test cases. The SAM program may be downloaded for academic use at http://sam.loria.fr/.","author":[{"dropping-particle":"","family":"Ritchie","given":"David W.","non-dropping-particle":"","parse-names":false,"suffix":""},{"dropping-particle":"","family":"Grudinin","given":"Sergei","non-dropping-particle":"","parse-names":false,"suffix":""}],"container-title":"Journal of Applied Crystallography","id":"ITEM-1","issued":{"date-parts":[["2016"]]},"page":"158-167","title":"Spherical polar Fourier assembly of protein complexes with arbitrary point group symmetry","type":"article-journal","volume":"49"},"uris":["http://www.mendeley.com/documents/?uuid=a661bfec-cc1a-433f-9b49-69859d213c3d"]}],"mendeley":{"formattedCitation":"&lt;sup&gt;52&lt;/sup&gt;","plainTextFormattedCitation":"52","previouslyFormattedCitation":"&lt;sup&gt;52&lt;/sup&gt;"},"properties":{"noteIndex":0},"schema":"https://github.com/citation-style-language/schema/raw/master/csl-citation.json"}</w:instrText>
      </w:r>
      <w:r w:rsidRPr="005629D6">
        <w:fldChar w:fldCharType="separate"/>
      </w:r>
      <w:r w:rsidR="000D52F2" w:rsidRPr="005629D6">
        <w:rPr>
          <w:noProof/>
          <w:vertAlign w:val="superscript"/>
        </w:rPr>
        <w:t>52</w:t>
      </w:r>
      <w:r w:rsidRPr="005629D6">
        <w:fldChar w:fldCharType="end"/>
      </w:r>
      <w:r w:rsidRPr="005629D6">
        <w:t xml:space="preserve"> The stoichiometry of the heteromeric ion channel that the ORCO and OR subunits form is not fully understood</w:t>
      </w:r>
      <w:r w:rsidR="008A751B" w:rsidRPr="005629D6">
        <w:t xml:space="preserve">, but </w:t>
      </w:r>
      <w:r w:rsidRPr="005629D6">
        <w:t>it is known to forms a tetramer with at least one ORCO subunit and one OR subunit.</w:t>
      </w:r>
      <w:r w:rsidRPr="005629D6">
        <w:fldChar w:fldCharType="begin" w:fldLock="1"/>
      </w:r>
      <w:r w:rsidR="00205BCC" w:rsidRPr="005629D6">
        <w:instrText>ADDIN CSL_CITATION {"citationItems":[{"id":"ITEM-1","itemData":{"DOI":"10.1038/s41586-018-0420-8","ISSN":"14764687","PMID":"30111839","abstract":"The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publisher":"Springer US","title":"Cryo-EM structure of the insect olfactory receptor Orco","type":"article-journal","volume":"560"},"uris":["http://www.mendeley.com/documents/?uuid=39008980-944d-4b35-826d-38ce947c6ad8"]},{"id":"ITEM-2","itemData":{"DOI":"10.1038/nature06850","ISBN":"1476-4687 (Electronic)","ISSN":"0028-0836","PMID":"18408712","abstract":"In insects, each olfactory sensory neuron expresses between one and three ligand-binding members of the olfactory receptor (OR) gene family, along with the highly conserved and broadly expressed Or83b co-receptor. The functional insect OR consists of a heteromeric complex of unknown stoichiometry but comprising at least one variable odorant-binding subunit and one constant Or83b family subunit. Insect ORs lack homology to G-protein-coupled chemosensory receptors in vertebrates and possess a distinct seven-transmembrane topology with the amino terminus located intracellularly. Here we provide evidence that heteromeric insect ORs comprise a new class of ligand-activated non-selective cation channels. Heterologous cells expressing silkmoth, fruitfly or mosquito heteromeric OR complexes showed extracellular Ca2+ influx and cation-non-selective ion conductance on stimulation with odorant. Odour-evoked OR currents are independent of known G-protein-coupled second messenger pathways. The fast response kinetics and OR-subunit-dependent K+ ion selectivity of the insect OR complex support the hypothesis that the complex between OR and Or83b itself confers channel activity. Direct evidence for odorant-gated channels was obtained by outside-out patch-clamp recording of Xenopus oocyte and HEK293T cell membranes expressing insect OR complexes. The ligand-gated ion channel formed by an insect OR complex seems to be the basis for a unique strategy that insects have acquired to respond to the olfactory environment.","author":[{"dropping-particle":"","family":"Sato","given":"Koji","non-dropping-particle":"","parse-names":false,"suffix":""},{"dropping-particle":"","family":"Pellegrino","given":"Maurizio","non-dropping-particle":"","parse-names":false,"suffix":""},{"dropping-particle":"","family":"Nakagawa","given":"Takao","non-dropping-particle":"","parse-names":false,"suffix":""},{"dropping-particle":"","family":"Nakagawa","given":"Tatsuro","non-dropping-particle":"","parse-names":false,"suffix":""},{"dropping-particle":"","family":"Vosshall","given":"Leslie B","non-dropping-particle":"","parse-names":false,"suffix":""},{"dropping-particle":"","family":"Touhara","given":"Kazushige","non-dropping-particle":"","parse-names":false,"suffix":""}],"container-title":"Nature","id":"ITEM-2","issue":"7190","issued":{"date-parts":[["2008"]]},"page":"1002-1006","title":"Insect olfactory receptors are heteromeric ligand-gated ion channels.","type":"article-journal","volume":"452"},"uris":["http://www.mendeley.com/documents/?uuid=dbffeabb-2341-422e-812a-e945f8f462cb"]},{"id":"ITEM-3","itemData":{"DOI":"10.1038/s41598-018-21631-3","ISSN":"20452322","abstract":"Insect olfactory receptors are routinely expressed in heterologous systems for functional characterisation. It was recently discovered that the essential olfactory receptor co-receptor (Orco) of the Hessian fly, Mayetiola destructor (Mdes), does not respond to the agonist VUAA1, which activates Orco in all other insects analysed to date. Here, using a mutagenesis-based approach we identified three residues in MdesOrco, located in different transmembrane helices as supported by 3D modelling, that confer sensitivity to VUAA1. Reciprocal mutations in Drosophila melanogaster (Dmel) and the noctuid moth Agrotis segetum (Aseg) Orcos diminish sensitivity of these proteins to VUAA1. Additionally, mutating these residues in DmelOrco and AsegOrco compromised odourant receptor (OR) dependent ligand-induced Orco activation. In contrast, both wild-type and VUAA1-sensitive MdesOrco were capable of forming functional receptor complexes when coupled to ORs from all three species, suggesting unique complex properties in M. destructor, and that not all olfactory receptor complexes are \"created\" equal.","author":[{"dropping-particle":"","family":"Corcoran","given":"Jacob A.","non-dropping-particle":"","parse-names":false,"suffix":""},{"dropping-particle":"","family":"Sonntag","given":"Yonathan","non-dropping-particle":"","parse-names":false,"suffix":""},{"dropping-particle":"","family":"Andersson","given":"Martin N.","non-dropping-particle":"","parse-names":false,"suffix":""},{"dropping-particle":"","family":"Johanson","given":"Urban","non-dropping-particle":"","parse-names":false,"suffix":""},{"dropping-particle":"","family":"Löfstedt","given":"Christer","non-dropping-particle":"","parse-names":false,"suffix":""}],"container-title":"Scientific Reports","id":"ITEM-3","issue":"1","issued":{"date-parts":[["2018"]]},"page":"1-13","title":"Endogenous insensitivity to the Orco agonist VUAA1 reveals novel olfactory receptor complex properties in the specialist fly Mayetiola destructor","type":"article-journal","volume":"8"},"uris":["http://www.mendeley.com/documents/?uuid=79ca5f67-defb-4819-9975-ce8db3c43c7a"]}],"mendeley":{"formattedCitation":"&lt;sup&gt;17,24,62&lt;/sup&gt;","plainTextFormattedCitation":"17,24,62","previouslyFormattedCitation":"&lt;sup&gt;17,24,62&lt;/sup&gt;"},"properties":{"noteIndex":0},"schema":"https://github.com/citation-style-language/schema/raw/master/csl-citation.json"}</w:instrText>
      </w:r>
      <w:r w:rsidRPr="005629D6">
        <w:fldChar w:fldCharType="separate"/>
      </w:r>
      <w:r w:rsidR="001F1ED2" w:rsidRPr="005629D6">
        <w:rPr>
          <w:noProof/>
          <w:vertAlign w:val="superscript"/>
        </w:rPr>
        <w:t>17,24,62</w:t>
      </w:r>
      <w:r w:rsidRPr="005629D6">
        <w:fldChar w:fldCharType="end"/>
      </w:r>
      <w:r w:rsidRPr="005629D6">
        <w:t xml:space="preserve"> For this assembly, three ORCO units were compiled with one OR unit</w:t>
      </w:r>
      <w:r w:rsidR="004C4FBF" w:rsidRPr="005629D6">
        <w:t xml:space="preserve"> th</w:t>
      </w:r>
      <w:r w:rsidR="003D28B1" w:rsidRPr="005629D6">
        <w:t>ough other combination</w:t>
      </w:r>
      <w:r w:rsidR="004C517A" w:rsidRPr="005629D6">
        <w:t>s are theoretically possible. The exact stoichiometry of the OR-ORCO complex in insects is unknown, and only homomers have been studied structurally.</w:t>
      </w:r>
      <w:r w:rsidR="004C517A" w:rsidRPr="005629D6">
        <w:fldChar w:fldCharType="begin" w:fldLock="1"/>
      </w:r>
      <w:r w:rsidR="00E03828" w:rsidRPr="005629D6">
        <w:instrText>ADDIN CSL_CITATION {"citationItems":[{"id":"ITEM-1","itemData":{"DOI":"10.1038/s41586-018-0420-8","ISSN":"14764687","abstract":"© 2018, Springer Nature Limited. 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title":"Cryo-EM structure of the insect olfactory receptor Orco","type":"article-journal","volume":"560"},"uris":["http://www.mendeley.com/documents/?uuid=95d45832-a858-4092-91b2-d1d1df6cce57"]},{"id":"ITEM-2","itemData":{"DOI":"10.1038/s41586-021-03794-8","ISSN":"0028-0836","abstract":"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-2","issue":"January","issued":{"date-parts":[["2021"]]},"title":"The structural basis of odorant recognition in insect olfactory receptors","type":"article-journal"},"uris":["http://www.mendeley.com/documents/?uuid=2dec9e12-4bd0-4f9d-97b9-f4ca47b69bef"]},{"id":"ITEM-3","itemData":{"DOI":"10.1016/j.ibmb.2012.11.002","ISSN":"09651748","PMID":"23196131","abstract":"Insect olfactory receptors (ORs) are a novel family of ligand-gated cation channels that can respond to volatile organic compounds at low concentrations. They are involved in the detection of odorants associated with mate recognition, food localisation and predator avoidance. These receptors form a complex that is currently thought to contain at least two subunit members: the non-canonical Orco ion channel subunit and a ligand-binding receptor subunit. The integral membrane proteins SNMP1 and 2 are also associated with olfactory function, with SNMP1 required for cis-vaccinyl acetate reception in Drosophila melanogaster. In order to investigate protein-protein interactions among these membrane proteins we measured intermolecular Förster/Fluorescence Resonance Energy Transfer (FRET) in live insect cells by acceptor photobleaching. Fusion proteins containing Cyan Fluorescent Protein or Yellow Fluorescent Protein were produced using baculovirus-mediated expression in High Five™ cells. The majority of the recombinant products were of the expected size for the fusion proteins and located within intracellular membranes. We were able to show FRET efficiencies providing evidence for homomeric and heteromeric interactions of the ligand-binding OR, Or22a, and Orco (Or22a-Or22a, Or22a-Orco, Orco-Orco). There was no evidence for an interaction between SNMP1 and Orco or between SNMP2 and Orco or Or22a. However, fusion proteins of SNMP1 and Or22a did show an interaction by FRET, suggesting SNMP1 may interact with at least some insect olfactory receptor complexes. In summary, this study supports previously observed homomeric and heteromeric interactions between Orco and the ligand-binding OR, Or22a, and identifies a novel interaction between Or22a and SNMP1. © 2012 Elsevier Ltd.","author":[{"dropping-particle":"","family":"German","given":"Pablo F.","non-dropping-particle":"","parse-names":false,"suffix":""},{"dropping-particle":"","family":"Poel","given":"Selene","non-dropping-particle":"van der","parse-names":false,"suffix":""},{"dropping-particle":"","family":"Carraher","given":"Colm","non-dropping-particle":"","parse-names":false,"suffix":""},{"dropping-particle":"V.","family":"Kralicek","given":"Andrew","non-dropping-particle":"","parse-names":false,"suffix":""},{"dropping-particle":"","family":"Newcomb","given":"Richard D.","non-dropping-particle":"","parse-names":false,"suffix":""}],"container-title":"Insect Biochemistry and Molecular Biology","id":"ITEM-3","issue":"2","issued":{"date-parts":[["2013"]]},"page":"138-145","publisher":"Elsevier Ltd","title":"Insights into subunit interactions within the insect olfactory receptor complex using FRET","type":"article-journal","volume":"43"},"uris":["http://www.mendeley.com/documents/?uuid=ffe1ec82-6c10-48f5-a272-99280027475e"]},{"id":"ITEM-4","itemData":{"DOI":"10.3389/fncel.2016.00275","ISSN":"16625102","abstract":"Insect olfactory receptors (ORs) are heteromeric ligand-gated cation channels composed of a common olfactory receptor subunit (ORco) and a variable subunit (ORx) of as yet unknown structures and undetermined stoichiometries. In this study, we examined the allosteric modulation exerted on Anopheles gambiae heteromeric ORx/ORco olfactory receptors in vitro by a specific class of ORco agonists (OAs) comprising ORcoRAM2 and VUAA1. High OA concentrations produced stronger functional responses in cells expressing heteromeric receptor channels relative to cells expressing ORco alone. These OA-induced responses of ORx/ORco channels were also notably much stronger than those obtained upon administration of ORx-specific ligands to the same receptors. Most importantly, small concentrations of OAs were found to act as strong potentiators of ORx/ORco function, increasing dramatically both the efficacy and potency of ORx-specific odorants. These results suggest that insect heteromeric ORs are highly dynamic complexes adopting different conformations that change in a concerted fashion as a result of the interplay between the subunits of the oligomeric assemblies, and that allosteric modulation may constitute an important element in the modulation and fining tuning of olfactory reception function.","author":[{"dropping-particle":"","family":"Tsitoura","given":"Panagiota","non-dropping-particle":"","parse-names":false,"suffix":""},{"dropping-particle":"","family":"Iatrou","given":"Kostas","non-dropping-particle":"","parse-names":false,"suffix":""}],"container-title":"Frontiers in Cellular Neuroscience","id":"ITEM-4","issue":"DEC2016","issued":{"date-parts":[["2016"]]},"page":"1-13","title":"Positive allosteric modulation of insect olfactory receptor function by ORco agonists","type":"article-journal","volume":"10"},"uris":["http://www.mendeley.com/documents/?uuid=7cc61363-35cd-4b15-8698-9314eb9d1b56"]}],"mendeley":{"formattedCitation":"&lt;sup&gt;18,63–65&lt;/sup&gt;","plainTextFormattedCitation":"18,63–65","previouslyFormattedCitation":"&lt;sup&gt;18,63–65&lt;/sup&gt;"},"properties":{"noteIndex":0},"schema":"https://github.com/citation-style-language/schema/raw/master/csl-citation.json"}</w:instrText>
      </w:r>
      <w:r w:rsidR="004C517A" w:rsidRPr="005629D6">
        <w:fldChar w:fldCharType="separate"/>
      </w:r>
      <w:r w:rsidR="009F2217" w:rsidRPr="005629D6">
        <w:rPr>
          <w:noProof/>
          <w:vertAlign w:val="superscript"/>
        </w:rPr>
        <w:t>18,63–65</w:t>
      </w:r>
      <w:r w:rsidR="004C517A" w:rsidRPr="005629D6">
        <w:fldChar w:fldCharType="end"/>
      </w:r>
    </w:p>
    <w:p w14:paraId="141BEE38" w14:textId="4C9BB20E" w:rsidR="00886CB6" w:rsidRPr="005629D6" w:rsidRDefault="00280BE1" w:rsidP="00886CB6">
      <w:r w:rsidRPr="005629D6">
        <w:rPr>
          <w:b/>
          <w:bCs/>
        </w:rPr>
        <w:lastRenderedPageBreak/>
        <w:t xml:space="preserve">Interaction of </w:t>
      </w:r>
      <w:proofErr w:type="spellStart"/>
      <w:r w:rsidRPr="005629D6">
        <w:rPr>
          <w:b/>
          <w:bCs/>
        </w:rPr>
        <w:t>Ap</w:t>
      </w:r>
      <w:r w:rsidR="00255BCF" w:rsidRPr="005629D6">
        <w:rPr>
          <w:b/>
          <w:bCs/>
        </w:rPr>
        <w:t>isORCO</w:t>
      </w:r>
      <w:proofErr w:type="spellEnd"/>
      <w:r w:rsidR="00255BCF" w:rsidRPr="005629D6">
        <w:rPr>
          <w:b/>
          <w:bCs/>
        </w:rPr>
        <w:t xml:space="preserve"> and VUAA1</w:t>
      </w:r>
      <w:r w:rsidR="007230BA" w:rsidRPr="005629D6">
        <w:rPr>
          <w:b/>
          <w:bCs/>
        </w:rPr>
        <w:t>.</w:t>
      </w:r>
      <w:r w:rsidR="007230BA" w:rsidRPr="005629D6">
        <w:t xml:space="preserve"> </w:t>
      </w:r>
      <w:r w:rsidR="00C81F63" w:rsidRPr="005629D6">
        <w:t xml:space="preserve">All ligand docking studies were performed using </w:t>
      </w:r>
      <w:proofErr w:type="spellStart"/>
      <w:r w:rsidR="00C81F63" w:rsidRPr="005629D6">
        <w:t>AutoDock</w:t>
      </w:r>
      <w:proofErr w:type="spellEnd"/>
      <w:r w:rsidR="00C81F63" w:rsidRPr="005629D6">
        <w:t xml:space="preserve"> 4.3 and the Racoon virtual screening tool. The predicted binding energy (kcal mol</w:t>
      </w:r>
      <w:r w:rsidR="00C81F63" w:rsidRPr="005629D6">
        <w:rPr>
          <w:vertAlign w:val="superscript"/>
        </w:rPr>
        <w:t>-1</w:t>
      </w:r>
      <w:r w:rsidR="00C81F63" w:rsidRPr="005629D6">
        <w:t xml:space="preserve">) </w:t>
      </w:r>
      <w:r w:rsidR="00053F38" w:rsidRPr="005629D6">
        <w:t>has been r</w:t>
      </w:r>
      <w:r w:rsidR="00C81F63" w:rsidRPr="005629D6">
        <w:t>eported</w:t>
      </w:r>
      <w:r w:rsidR="005B119F" w:rsidRPr="005629D6">
        <w:t xml:space="preserve"> and the</w:t>
      </w:r>
      <w:r w:rsidR="00C81F63" w:rsidRPr="005629D6">
        <w:t xml:space="preserve"> </w:t>
      </w:r>
      <w:r w:rsidR="00250E55" w:rsidRPr="005629D6">
        <w:t>binding</w:t>
      </w:r>
      <w:r w:rsidR="00C81F63" w:rsidRPr="005629D6">
        <w:t xml:space="preserve"> constant (</w:t>
      </w:r>
      <w:r w:rsidR="00C81F63" w:rsidRPr="005629D6">
        <w:rPr>
          <w:i/>
          <w:iCs/>
        </w:rPr>
        <w:t>K</w:t>
      </w:r>
      <w:r w:rsidR="00250E55" w:rsidRPr="005629D6">
        <w:rPr>
          <w:i/>
          <w:iCs/>
          <w:vertAlign w:val="subscript"/>
        </w:rPr>
        <w:t>D</w:t>
      </w:r>
      <w:r w:rsidR="00C81F63" w:rsidRPr="005629D6">
        <w:t xml:space="preserve">) for the most critical docking conformations. Docking space was limited to the extracellular space of the </w:t>
      </w:r>
      <w:r w:rsidR="008A751B" w:rsidRPr="005629D6">
        <w:t>OR</w:t>
      </w:r>
      <w:r w:rsidR="00C81F63" w:rsidRPr="005629D6">
        <w:t>, and all favourable conformations were found within the receptors predicted pocket</w:t>
      </w:r>
      <w:r w:rsidR="007D518F" w:rsidRPr="005629D6">
        <w:t xml:space="preserve">. </w:t>
      </w:r>
      <w:r w:rsidR="00886CB6" w:rsidRPr="005629D6">
        <w:rPr>
          <w:color w:val="000000" w:themeColor="text1"/>
        </w:rPr>
        <w:t>The unique ligand VUAA1 has been shown to act as an olfactory blocker in insects and has a high binding affinity with the ORCO.</w:t>
      </w:r>
      <w:r w:rsidR="00886CB6" w:rsidRPr="005629D6">
        <w:rPr>
          <w:color w:val="000000" w:themeColor="text1"/>
        </w:rPr>
        <w:fldChar w:fldCharType="begin" w:fldLock="1"/>
      </w:r>
      <w:r w:rsidR="000D52F2" w:rsidRPr="005629D6">
        <w:rPr>
          <w:color w:val="000000" w:themeColor="text1"/>
        </w:rPr>
        <w:instrText>ADDIN CSL_CITATION {"citationItems":[{"id":"ITEM-1","itemData":{"DOI":"10.1038/s41586-018-0420-8","ISSN":"14764687","PMID":"30111839","abstract":"The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publisher":"Springer US","title":"Cryo-EM structure of the insect olfactory receptor Orco","type":"article-journal","volume":"560"},"uris":["http://www.mendeley.com/documents/?uuid=39008980-944d-4b35-826d-38ce947c6ad8"]},{"id":"ITEM-2","itemData":{"DOI":"10.1038/s41598-018-21631-3","ISSN":"20452322","abstract":"Insect olfactory receptors are routinely expressed in heterologous systems for functional characterisation. It was recently discovered that the essential olfactory receptor co-receptor (Orco) of the Hessian fly, Mayetiola destructor (Mdes), does not respond to the agonist VUAA1, which activates Orco in all other insects analysed to date. Here, using a mutagenesis-based approach we identified three residues in MdesOrco, located in different transmembrane helices as supported by 3D modelling, that confer sensitivity to VUAA1. Reciprocal mutations in Drosophila melanogaster (Dmel) and the noctuid moth Agrotis segetum (Aseg) Orcos diminish sensitivity of these proteins to VUAA1. Additionally, mutating these residues in DmelOrco and AsegOrco compromised odourant receptor (OR) dependent ligand-induced Orco activation. In contrast, both wild-type and VUAA1-sensitive MdesOrco were capable of forming functional receptor complexes when coupled to ORs from all three species, suggesting unique complex properties in M. destructor, and that not all olfactory receptor complexes are \"created\" equal.","author":[{"dropping-particle":"","family":"Corcoran","given":"Jacob A.","non-dropping-particle":"","parse-names":false,"suffix":""},{"dropping-particle":"","family":"Sonntag","given":"Yonathan","non-dropping-particle":"","parse-names":false,"suffix":""},{"dropping-particle":"","family":"Andersson","given":"Martin N.","non-dropping-particle":"","parse-names":false,"suffix":""},{"dropping-particle":"","family":"Johanson","given":"Urban","non-dropping-particle":"","parse-names":false,"suffix":""},{"dropping-particle":"","family":"Löfstedt","given":"Christer","non-dropping-particle":"","parse-names":false,"suffix":""}],"container-title":"Scientific Reports","id":"ITEM-2","issue":"1","issued":{"date-parts":[["2018"]]},"page":"1-13","title":"Endogenous insensitivity to the Orco agonist VUAA1 reveals novel olfactory receptor complex properties in the specialist fly Mayetiola destructor","type":"article-journal","volume":"8"},"uris":["http://www.mendeley.com/documents/?uuid=79ca5f67-defb-4819-9975-ce8db3c43c7a"]}],"mendeley":{"formattedCitation":"&lt;sup&gt;17,24&lt;/sup&gt;","plainTextFormattedCitation":"17,24","previouslyFormattedCitation":"&lt;sup&gt;17,24&lt;/sup&gt;"},"properties":{"noteIndex":0},"schema":"https://github.com/citation-style-language/schema/raw/master/csl-citation.json"}</w:instrText>
      </w:r>
      <w:r w:rsidR="00886CB6" w:rsidRPr="005629D6">
        <w:rPr>
          <w:color w:val="000000" w:themeColor="text1"/>
        </w:rPr>
        <w:fldChar w:fldCharType="separate"/>
      </w:r>
      <w:r w:rsidR="002F2ECE" w:rsidRPr="005629D6">
        <w:rPr>
          <w:noProof/>
          <w:color w:val="000000" w:themeColor="text1"/>
          <w:vertAlign w:val="superscript"/>
        </w:rPr>
        <w:t>17,24</w:t>
      </w:r>
      <w:r w:rsidR="00886CB6" w:rsidRPr="005629D6">
        <w:rPr>
          <w:color w:val="000000" w:themeColor="text1"/>
        </w:rPr>
        <w:fldChar w:fldCharType="end"/>
      </w:r>
      <w:r w:rsidR="00886CB6" w:rsidRPr="005629D6">
        <w:rPr>
          <w:color w:val="000000" w:themeColor="text1"/>
        </w:rPr>
        <w:t xml:space="preserve"> VUAA1</w:t>
      </w:r>
      <w:r w:rsidR="00C8597C" w:rsidRPr="005629D6">
        <w:rPr>
          <w:color w:val="000000" w:themeColor="text1"/>
        </w:rPr>
        <w:t xml:space="preserve"> </w:t>
      </w:r>
      <w:r w:rsidR="00886CB6" w:rsidRPr="005629D6">
        <w:rPr>
          <w:color w:val="000000" w:themeColor="text1"/>
        </w:rPr>
        <w:t xml:space="preserve">is often used to test the functionality and viability of expressed ORCO. </w:t>
      </w:r>
    </w:p>
    <w:p w14:paraId="3CF9283E" w14:textId="51239290" w:rsidR="00886CB6" w:rsidRPr="005629D6" w:rsidRDefault="00886CB6" w:rsidP="00783E55">
      <w:pPr>
        <w:rPr>
          <w:color w:val="000000" w:themeColor="text1"/>
        </w:rPr>
      </w:pPr>
      <w:r w:rsidRPr="005629D6">
        <w:rPr>
          <w:color w:val="000000" w:themeColor="text1"/>
        </w:rPr>
        <w:t xml:space="preserve">VUAA1 was screened with the modelled structure of </w:t>
      </w:r>
      <w:proofErr w:type="spellStart"/>
      <w:r w:rsidR="008A751B" w:rsidRPr="005629D6">
        <w:rPr>
          <w:color w:val="000000" w:themeColor="text1"/>
        </w:rPr>
        <w:t>Apis</w:t>
      </w:r>
      <w:r w:rsidRPr="005629D6">
        <w:rPr>
          <w:color w:val="000000" w:themeColor="text1"/>
        </w:rPr>
        <w:t>ORCO</w:t>
      </w:r>
      <w:proofErr w:type="spellEnd"/>
      <w:r w:rsidRPr="005629D6">
        <w:rPr>
          <w:color w:val="000000" w:themeColor="text1"/>
        </w:rPr>
        <w:t>. A predicted binding energy of -10.8 kcal mol</w:t>
      </w:r>
      <w:r w:rsidRPr="005629D6">
        <w:rPr>
          <w:color w:val="000000" w:themeColor="text1"/>
          <w:vertAlign w:val="superscript"/>
        </w:rPr>
        <w:t>-1</w:t>
      </w:r>
      <w:r w:rsidRPr="005629D6">
        <w:rPr>
          <w:color w:val="000000" w:themeColor="text1"/>
        </w:rPr>
        <w:t xml:space="preserve">, with a surprisingly low </w:t>
      </w:r>
      <w:r w:rsidRPr="005629D6">
        <w:rPr>
          <w:i/>
          <w:iCs/>
          <w:color w:val="000000" w:themeColor="text1"/>
        </w:rPr>
        <w:t>K</w:t>
      </w:r>
      <w:r w:rsidR="006F7E2E" w:rsidRPr="005629D6">
        <w:rPr>
          <w:i/>
          <w:iCs/>
          <w:color w:val="000000" w:themeColor="text1"/>
          <w:vertAlign w:val="subscript"/>
        </w:rPr>
        <w:t>D</w:t>
      </w:r>
      <w:r w:rsidRPr="005629D6">
        <w:rPr>
          <w:i/>
          <w:iCs/>
          <w:color w:val="000000" w:themeColor="text1"/>
        </w:rPr>
        <w:t xml:space="preserve"> </w:t>
      </w:r>
      <w:r w:rsidRPr="005629D6">
        <w:rPr>
          <w:color w:val="000000" w:themeColor="text1"/>
        </w:rPr>
        <w:t>of 11.</w:t>
      </w:r>
      <w:r w:rsidR="006F7E2E" w:rsidRPr="005629D6">
        <w:rPr>
          <w:color w:val="000000" w:themeColor="text1"/>
        </w:rPr>
        <w:t>9</w:t>
      </w:r>
      <w:r w:rsidRPr="005629D6">
        <w:rPr>
          <w:color w:val="000000" w:themeColor="text1"/>
        </w:rPr>
        <w:t xml:space="preserve"> </w:t>
      </w:r>
      <w:proofErr w:type="spellStart"/>
      <w:r w:rsidRPr="005629D6">
        <w:rPr>
          <w:color w:val="000000" w:themeColor="text1"/>
        </w:rPr>
        <w:t>nM</w:t>
      </w:r>
      <w:proofErr w:type="spellEnd"/>
      <w:r w:rsidRPr="005629D6">
        <w:rPr>
          <w:color w:val="000000" w:themeColor="text1"/>
        </w:rPr>
        <w:t xml:space="preserve">, was observed. </w:t>
      </w:r>
      <w:proofErr w:type="spellStart"/>
      <w:r w:rsidR="007F5F4F" w:rsidRPr="005629D6">
        <w:rPr>
          <w:color w:val="000000" w:themeColor="text1"/>
        </w:rPr>
        <w:t>Apis</w:t>
      </w:r>
      <w:r w:rsidRPr="005629D6">
        <w:rPr>
          <w:color w:val="000000" w:themeColor="text1"/>
        </w:rPr>
        <w:t>ORCO</w:t>
      </w:r>
      <w:proofErr w:type="spellEnd"/>
      <w:r w:rsidRPr="005629D6">
        <w:rPr>
          <w:color w:val="000000" w:themeColor="text1"/>
        </w:rPr>
        <w:t xml:space="preserve"> possess an electron rich binding site (Phe82, Phe83, Phe144, Trp149, Phe369, Tyr 332 (Tyr374), Tyr335 (Tyr377) consisting of aromatic residues (Figure </w:t>
      </w:r>
      <w:r w:rsidR="007D518F" w:rsidRPr="005629D6">
        <w:rPr>
          <w:color w:val="000000" w:themeColor="text1"/>
        </w:rPr>
        <w:t>2</w:t>
      </w:r>
      <w:r w:rsidRPr="005629D6">
        <w:rPr>
          <w:color w:val="000000" w:themeColor="text1"/>
        </w:rPr>
        <w:t>). VUAA1 is predicted to bind with a moderate hydrogen bond (3.1</w:t>
      </w:r>
      <w:r w:rsidRPr="005629D6">
        <w:rPr>
          <w:rFonts w:cstheme="minorHAnsi"/>
          <w:color w:val="000000" w:themeColor="text1"/>
        </w:rPr>
        <w:t>Å</w:t>
      </w:r>
      <w:r w:rsidRPr="005629D6">
        <w:rPr>
          <w:color w:val="000000" w:themeColor="text1"/>
        </w:rPr>
        <w:t xml:space="preserve">) between the </w:t>
      </w:r>
      <w:r w:rsidR="00C762DE" w:rsidRPr="005629D6">
        <w:rPr>
          <w:color w:val="000000" w:themeColor="text1"/>
        </w:rPr>
        <w:t xml:space="preserve">hydrogen </w:t>
      </w:r>
      <w:r w:rsidRPr="005629D6">
        <w:rPr>
          <w:color w:val="000000" w:themeColor="text1"/>
        </w:rPr>
        <w:t xml:space="preserve">of </w:t>
      </w:r>
      <w:r w:rsidR="008A751B" w:rsidRPr="005629D6">
        <w:rPr>
          <w:color w:val="000000" w:themeColor="text1"/>
        </w:rPr>
        <w:t xml:space="preserve">the phenol group in </w:t>
      </w:r>
      <w:r w:rsidRPr="005629D6">
        <w:rPr>
          <w:color w:val="000000" w:themeColor="text1"/>
        </w:rPr>
        <w:t>Tyr332</w:t>
      </w:r>
      <w:r w:rsidR="008A751B" w:rsidRPr="005629D6">
        <w:rPr>
          <w:color w:val="000000" w:themeColor="text1"/>
        </w:rPr>
        <w:t xml:space="preserve"> </w:t>
      </w:r>
      <w:r w:rsidRPr="005629D6">
        <w:rPr>
          <w:color w:val="000000" w:themeColor="text1"/>
        </w:rPr>
        <w:t xml:space="preserve">and the nitrogen of the pyridine ring in VUAA1. Furthermore, this triazole ring </w:t>
      </w:r>
      <w:r w:rsidR="002C2D33" w:rsidRPr="005629D6">
        <w:rPr>
          <w:color w:val="000000" w:themeColor="text1"/>
        </w:rPr>
        <w:t>was</w:t>
      </w:r>
      <w:r w:rsidRPr="005629D6">
        <w:rPr>
          <w:color w:val="000000" w:themeColor="text1"/>
        </w:rPr>
        <w:t xml:space="preserve"> perfectly positioned (approximately 3.7</w:t>
      </w:r>
      <w:r w:rsidRPr="005629D6">
        <w:rPr>
          <w:rFonts w:cstheme="minorHAnsi"/>
          <w:color w:val="000000" w:themeColor="text1"/>
        </w:rPr>
        <w:t>Å and 4.0 Å respectively</w:t>
      </w:r>
      <w:r w:rsidRPr="005629D6">
        <w:rPr>
          <w:color w:val="000000" w:themeColor="text1"/>
        </w:rPr>
        <w:t xml:space="preserve">) to undergo sandwiched </w:t>
      </w:r>
      <w:r w:rsidRPr="005629D6">
        <w:rPr>
          <w:rFonts w:cstheme="minorHAnsi"/>
          <w:color w:val="000000" w:themeColor="text1"/>
        </w:rPr>
        <w:t>π</w:t>
      </w:r>
      <w:r w:rsidRPr="005629D6">
        <w:rPr>
          <w:color w:val="000000" w:themeColor="text1"/>
        </w:rPr>
        <w:t xml:space="preserve">-stacking with Trp149 and T-shaped </w:t>
      </w:r>
      <w:r w:rsidRPr="005629D6">
        <w:rPr>
          <w:rFonts w:cstheme="minorHAnsi"/>
          <w:color w:val="000000" w:themeColor="text1"/>
        </w:rPr>
        <w:t>π</w:t>
      </w:r>
      <w:r w:rsidRPr="005629D6">
        <w:rPr>
          <w:color w:val="000000" w:themeColor="text1"/>
        </w:rPr>
        <w:t xml:space="preserve">-stacking with Phe83. In addition to these interactions, varying strength </w:t>
      </w:r>
      <w:r w:rsidRPr="005629D6">
        <w:rPr>
          <w:rFonts w:cstheme="minorHAnsi"/>
          <w:color w:val="000000" w:themeColor="text1"/>
        </w:rPr>
        <w:t>π- π</w:t>
      </w:r>
      <w:r w:rsidRPr="005629D6">
        <w:rPr>
          <w:color w:val="000000" w:themeColor="text1"/>
        </w:rPr>
        <w:t xml:space="preserve"> interactions are predicted between other unsaturated sites within the molecule and the aromatic binding site residues. </w:t>
      </w:r>
    </w:p>
    <w:p w14:paraId="3F3C3F03" w14:textId="2D4AA65D" w:rsidR="005D2A04" w:rsidRPr="005629D6" w:rsidRDefault="001270FF" w:rsidP="005D2A04">
      <w:pPr>
        <w:jc w:val="center"/>
        <w:rPr>
          <w:color w:val="000000" w:themeColor="text1"/>
        </w:rPr>
      </w:pPr>
      <w:r w:rsidRPr="005629D6">
        <w:rPr>
          <w:noProof/>
          <w:color w:val="000000" w:themeColor="text1"/>
        </w:rPr>
        <w:drawing>
          <wp:inline distT="0" distB="0" distL="0" distR="0" wp14:anchorId="23DD07E4" wp14:editId="0839E739">
            <wp:extent cx="5731510" cy="2261235"/>
            <wp:effectExtent l="0" t="0" r="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731510" cy="2261235"/>
                    </a:xfrm>
                    <a:prstGeom prst="rect">
                      <a:avLst/>
                    </a:prstGeom>
                  </pic:spPr>
                </pic:pic>
              </a:graphicData>
            </a:graphic>
          </wp:inline>
        </w:drawing>
      </w:r>
    </w:p>
    <w:p w14:paraId="4F0BDFE4" w14:textId="233DE7B1" w:rsidR="005D2A04" w:rsidRPr="005629D6" w:rsidRDefault="005D2A04" w:rsidP="00E421F9">
      <w:pPr>
        <w:jc w:val="center"/>
        <w:rPr>
          <w:b/>
          <w:bCs/>
          <w:szCs w:val="20"/>
        </w:rPr>
      </w:pPr>
      <w:r w:rsidRPr="005629D6">
        <w:rPr>
          <w:b/>
          <w:bCs/>
          <w:szCs w:val="20"/>
        </w:rPr>
        <w:t xml:space="preserve">Figure </w:t>
      </w:r>
      <w:r w:rsidR="007D518F" w:rsidRPr="005629D6">
        <w:rPr>
          <w:b/>
          <w:bCs/>
          <w:szCs w:val="20"/>
        </w:rPr>
        <w:t>2</w:t>
      </w:r>
      <w:r w:rsidRPr="005629D6">
        <w:rPr>
          <w:b/>
          <w:bCs/>
          <w:szCs w:val="20"/>
        </w:rPr>
        <w:t xml:space="preserve">: </w:t>
      </w:r>
      <w:r w:rsidRPr="005629D6">
        <w:rPr>
          <w:szCs w:val="20"/>
        </w:rPr>
        <w:t>The structure of VUAA1 (A) and</w:t>
      </w:r>
      <w:r w:rsidRPr="005629D6">
        <w:rPr>
          <w:b/>
          <w:bCs/>
          <w:szCs w:val="20"/>
        </w:rPr>
        <w:t xml:space="preserve"> </w:t>
      </w:r>
      <w:r w:rsidRPr="005629D6">
        <w:rPr>
          <w:szCs w:val="20"/>
        </w:rPr>
        <w:t xml:space="preserve">VUAA1 in the highly conserved binding pocket of </w:t>
      </w:r>
      <w:r w:rsidRPr="005629D6">
        <w:rPr>
          <w:i/>
          <w:iCs/>
          <w:szCs w:val="20"/>
        </w:rPr>
        <w:t xml:space="preserve">A. </w:t>
      </w:r>
      <w:proofErr w:type="spellStart"/>
      <w:r w:rsidRPr="005629D6">
        <w:rPr>
          <w:i/>
          <w:iCs/>
          <w:szCs w:val="20"/>
        </w:rPr>
        <w:t>pisum</w:t>
      </w:r>
      <w:proofErr w:type="spellEnd"/>
      <w:r w:rsidRPr="005629D6">
        <w:rPr>
          <w:szCs w:val="20"/>
        </w:rPr>
        <w:t xml:space="preserve"> ORCO (B). Interactions with key residues </w:t>
      </w:r>
      <w:r w:rsidRPr="005629D6">
        <w:rPr>
          <w:color w:val="000000" w:themeColor="text1"/>
          <w:szCs w:val="20"/>
        </w:rPr>
        <w:t xml:space="preserve">key residues can be seen – the predicted </w:t>
      </w:r>
      <w:r w:rsidRPr="005629D6">
        <w:rPr>
          <w:rFonts w:cstheme="minorHAnsi"/>
          <w:color w:val="000000" w:themeColor="text1"/>
          <w:szCs w:val="20"/>
        </w:rPr>
        <w:t>π</w:t>
      </w:r>
      <w:r w:rsidRPr="005629D6">
        <w:rPr>
          <w:color w:val="000000" w:themeColor="text1"/>
          <w:szCs w:val="20"/>
        </w:rPr>
        <w:t>-</w:t>
      </w:r>
      <w:r w:rsidRPr="005629D6">
        <w:rPr>
          <w:rFonts w:cstheme="minorHAnsi"/>
          <w:color w:val="000000" w:themeColor="text1"/>
          <w:szCs w:val="20"/>
        </w:rPr>
        <w:t>π</w:t>
      </w:r>
      <w:r w:rsidRPr="005629D6">
        <w:rPr>
          <w:color w:val="000000" w:themeColor="text1"/>
          <w:szCs w:val="20"/>
        </w:rPr>
        <w:t xml:space="preserve"> interactions (black) with Phe82, Phe83, Trp149 and Tyr335, in addition to a moderate hydrogen bond (red) with Try332. For clarity, only side chains of residues are displayed.</w:t>
      </w:r>
    </w:p>
    <w:p w14:paraId="641F4F0B" w14:textId="20A0E772" w:rsidR="00886CB6" w:rsidRPr="005629D6" w:rsidRDefault="00886CB6" w:rsidP="00886CB6">
      <w:r w:rsidRPr="005629D6">
        <w:rPr>
          <w:color w:val="000000" w:themeColor="text1"/>
        </w:rPr>
        <w:t>This binding site is highly conserved</w:t>
      </w:r>
      <w:r w:rsidR="008A751B" w:rsidRPr="005629D6">
        <w:rPr>
          <w:color w:val="000000" w:themeColor="text1"/>
        </w:rPr>
        <w:t>, as</w:t>
      </w:r>
      <w:r w:rsidRPr="005629D6">
        <w:rPr>
          <w:color w:val="000000" w:themeColor="text1"/>
        </w:rPr>
        <w:t xml:space="preserve"> a screen of 66 ORCO genes, with an average sequence conservation of 65%, from different insect species</w:t>
      </w:r>
      <w:r w:rsidR="008A751B" w:rsidRPr="005629D6">
        <w:rPr>
          <w:color w:val="000000" w:themeColor="text1"/>
        </w:rPr>
        <w:t>,</w:t>
      </w:r>
      <w:r w:rsidRPr="005629D6">
        <w:rPr>
          <w:color w:val="000000" w:themeColor="text1"/>
        </w:rPr>
        <w:t xml:space="preserve"> showed high conservation of</w:t>
      </w:r>
      <w:r w:rsidR="008A751B" w:rsidRPr="005629D6">
        <w:rPr>
          <w:color w:val="000000" w:themeColor="text1"/>
        </w:rPr>
        <w:t xml:space="preserve"> </w:t>
      </w:r>
      <w:r w:rsidRPr="005629D6">
        <w:rPr>
          <w:color w:val="000000" w:themeColor="text1"/>
        </w:rPr>
        <w:t xml:space="preserve">key residues Phe82 (97%), Phe83 (98%), Trp149 (100%), Try332 (97%) and Tyr335 (100%). Previous work involving </w:t>
      </w:r>
      <w:r w:rsidRPr="005629D6">
        <w:t xml:space="preserve">the </w:t>
      </w:r>
      <w:r w:rsidR="00C255C1" w:rsidRPr="005629D6">
        <w:t xml:space="preserve">Hessian </w:t>
      </w:r>
      <w:r w:rsidRPr="005629D6">
        <w:t xml:space="preserve">fly, </w:t>
      </w:r>
      <w:proofErr w:type="spellStart"/>
      <w:r w:rsidRPr="005629D6">
        <w:rPr>
          <w:i/>
          <w:iCs/>
        </w:rPr>
        <w:t>Mayetiola</w:t>
      </w:r>
      <w:proofErr w:type="spellEnd"/>
      <w:r w:rsidRPr="005629D6">
        <w:rPr>
          <w:i/>
          <w:iCs/>
        </w:rPr>
        <w:t xml:space="preserve"> destructor,</w:t>
      </w:r>
      <w:r w:rsidRPr="005629D6">
        <w:t xml:space="preserve"> which does not display endogenous activity with VUAA1, elucidated some key binding residues for VUAA1 in ORCO, including Phe83.</w:t>
      </w:r>
      <w:r w:rsidRPr="005629D6">
        <w:fldChar w:fldCharType="begin" w:fldLock="1"/>
      </w:r>
      <w:r w:rsidR="000D52F2" w:rsidRPr="005629D6">
        <w:instrText>ADDIN CSL_CITATION {"citationItems":[{"id":"ITEM-1","itemData":{"DOI":"10.1038/s41598-018-21631-3","ISSN":"20452322","abstract":"Insect olfactory receptors are routinely expressed in heterologous systems for functional characterisation. It was recently discovered that the essential olfactory receptor co-receptor (Orco) of the Hessian fly, Mayetiola destructor (Mdes), does not respond to the agonist VUAA1, which activates Orco in all other insects analysed to date. Here, using a mutagenesis-based approach we identified three residues in MdesOrco, located in different transmembrane helices as supported by 3D modelling, that confer sensitivity to VUAA1. Reciprocal mutations in Drosophila melanogaster (Dmel) and the noctuid moth Agrotis segetum (Aseg) Orcos diminish sensitivity of these proteins to VUAA1. Additionally, mutating these residues in DmelOrco and AsegOrco compromised odourant receptor (OR) dependent ligand-induced Orco activation. In contrast, both wild-type and VUAA1-sensitive MdesOrco were capable of forming functional receptor complexes when coupled to ORs from all three species, suggesting unique complex properties in M. destructor, and that not all olfactory receptor complexes are \"created\" equal.","author":[{"dropping-particle":"","family":"Corcoran","given":"Jacob A.","non-dropping-particle":"","parse-names":false,"suffix":""},{"dropping-particle":"","family":"Sonntag","given":"Yonathan","non-dropping-particle":"","parse-names":false,"suffix":""},{"dropping-particle":"","family":"Andersson","given":"Martin N.","non-dropping-particle":"","parse-names":false,"suffix":""},{"dropping-particle":"","family":"Johanson","given":"Urban","non-dropping-particle":"","parse-names":false,"suffix":""},{"dropping-particle":"","family":"Löfstedt","given":"Christer","non-dropping-particle":"","parse-names":false,"suffix":""}],"container-title":"Scientific Reports","id":"ITEM-1","issue":"1","issued":{"date-parts":[["2018"]]},"page":"1-13","title":"Endogenous insensitivity to the Orco agonist VUAA1 reveals novel olfactory receptor complex properties in the specialist fly Mayetiola destructor","type":"article-journal","volume":"8"},"uris":["http://www.mendeley.com/documents/?uuid=79ca5f67-defb-4819-9975-ce8db3c43c7a"]}],"mendeley":{"formattedCitation":"&lt;sup&gt;24&lt;/sup&gt;","plainTextFormattedCitation":"24","previouslyFormattedCitation":"&lt;sup&gt;24&lt;/sup&gt;"},"properties":{"noteIndex":0},"schema":"https://github.com/citation-style-language/schema/raw/master/csl-citation.json"}</w:instrText>
      </w:r>
      <w:r w:rsidRPr="005629D6">
        <w:fldChar w:fldCharType="separate"/>
      </w:r>
      <w:r w:rsidR="002F2ECE" w:rsidRPr="005629D6">
        <w:rPr>
          <w:noProof/>
          <w:vertAlign w:val="superscript"/>
        </w:rPr>
        <w:t>24</w:t>
      </w:r>
      <w:r w:rsidRPr="005629D6">
        <w:fldChar w:fldCharType="end"/>
      </w:r>
    </w:p>
    <w:p w14:paraId="57DBCE6A" w14:textId="5AFB1069" w:rsidR="008278A6" w:rsidRPr="005629D6" w:rsidRDefault="00E652EF" w:rsidP="00886CB6">
      <w:pPr>
        <w:rPr>
          <w:color w:val="000000" w:themeColor="text1"/>
        </w:rPr>
      </w:pPr>
      <w:r w:rsidRPr="005629D6">
        <w:rPr>
          <w:color w:val="000000" w:themeColor="text1"/>
        </w:rPr>
        <w:t xml:space="preserve">To explore the interaction between </w:t>
      </w:r>
      <w:proofErr w:type="spellStart"/>
      <w:r w:rsidRPr="005629D6">
        <w:rPr>
          <w:color w:val="000000" w:themeColor="text1"/>
        </w:rPr>
        <w:t>ApisORCO</w:t>
      </w:r>
      <w:proofErr w:type="spellEnd"/>
      <w:r w:rsidRPr="005629D6">
        <w:rPr>
          <w:color w:val="000000" w:themeColor="text1"/>
        </w:rPr>
        <w:t xml:space="preserve"> and VUAA1 further, molecular dynamics</w:t>
      </w:r>
      <w:r w:rsidR="007D518F" w:rsidRPr="005629D6">
        <w:rPr>
          <w:color w:val="000000" w:themeColor="text1"/>
        </w:rPr>
        <w:t xml:space="preserve"> (MD)</w:t>
      </w:r>
      <w:r w:rsidRPr="005629D6">
        <w:rPr>
          <w:color w:val="000000" w:themeColor="text1"/>
        </w:rPr>
        <w:t xml:space="preserve"> simulations were conducted. Both </w:t>
      </w:r>
      <w:r w:rsidR="003C7471" w:rsidRPr="005629D6">
        <w:rPr>
          <w:color w:val="000000" w:themeColor="text1"/>
        </w:rPr>
        <w:t xml:space="preserve">a monomer of </w:t>
      </w:r>
      <w:proofErr w:type="spellStart"/>
      <w:r w:rsidRPr="005629D6">
        <w:rPr>
          <w:color w:val="000000" w:themeColor="text1"/>
        </w:rPr>
        <w:t>ApisORCO</w:t>
      </w:r>
      <w:proofErr w:type="spellEnd"/>
      <w:r w:rsidRPr="005629D6">
        <w:rPr>
          <w:color w:val="000000" w:themeColor="text1"/>
        </w:rPr>
        <w:t xml:space="preserve"> and a</w:t>
      </w:r>
      <w:r w:rsidR="00687DB0" w:rsidRPr="005629D6">
        <w:rPr>
          <w:color w:val="000000" w:themeColor="text1"/>
        </w:rPr>
        <w:t>n</w:t>
      </w:r>
      <w:r w:rsidRPr="005629D6">
        <w:rPr>
          <w:color w:val="000000" w:themeColor="text1"/>
        </w:rPr>
        <w:t xml:space="preserve"> ApisORCO+VUAA1 complex underwent a short simulation of 15</w:t>
      </w:r>
      <w:r w:rsidR="00B64B18" w:rsidRPr="005629D6">
        <w:rPr>
          <w:color w:val="000000" w:themeColor="text1"/>
        </w:rPr>
        <w:t> </w:t>
      </w:r>
      <w:r w:rsidR="00124CE6" w:rsidRPr="005629D6">
        <w:rPr>
          <w:color w:val="000000" w:themeColor="text1"/>
        </w:rPr>
        <w:t>n</w:t>
      </w:r>
      <w:r w:rsidR="00B64B18" w:rsidRPr="005629D6">
        <w:rPr>
          <w:color w:val="000000" w:themeColor="text1"/>
        </w:rPr>
        <w:t>s.</w:t>
      </w:r>
      <w:r w:rsidR="00924384" w:rsidRPr="005629D6">
        <w:rPr>
          <w:color w:val="000000" w:themeColor="text1"/>
        </w:rPr>
        <w:t xml:space="preserve"> </w:t>
      </w:r>
      <w:r w:rsidR="00370367" w:rsidRPr="005629D6">
        <w:rPr>
          <w:color w:val="000000" w:themeColor="text1"/>
        </w:rPr>
        <w:t>Prior to</w:t>
      </w:r>
      <w:r w:rsidR="00924384" w:rsidRPr="005629D6">
        <w:rPr>
          <w:color w:val="000000" w:themeColor="text1"/>
        </w:rPr>
        <w:t xml:space="preserve"> simulations, the receptors were solvated, </w:t>
      </w:r>
      <w:r w:rsidR="005E2B9B" w:rsidRPr="005629D6">
        <w:rPr>
          <w:color w:val="000000" w:themeColor="text1"/>
        </w:rPr>
        <w:t>neutralised,</w:t>
      </w:r>
      <w:r w:rsidR="00924384" w:rsidRPr="005629D6">
        <w:rPr>
          <w:color w:val="000000" w:themeColor="text1"/>
        </w:rPr>
        <w:t xml:space="preserve"> and equilibrated to a standard temperature </w:t>
      </w:r>
      <w:r w:rsidR="00924384" w:rsidRPr="005629D6">
        <w:rPr>
          <w:color w:val="000000" w:themeColor="text1"/>
        </w:rPr>
        <w:lastRenderedPageBreak/>
        <w:t xml:space="preserve">and </w:t>
      </w:r>
      <w:r w:rsidR="00370367" w:rsidRPr="005629D6">
        <w:rPr>
          <w:color w:val="000000" w:themeColor="text1"/>
        </w:rPr>
        <w:t>pressure</w:t>
      </w:r>
      <w:r w:rsidR="00924384" w:rsidRPr="005629D6">
        <w:rPr>
          <w:color w:val="000000" w:themeColor="text1"/>
        </w:rPr>
        <w:t>.</w:t>
      </w:r>
      <w:r w:rsidR="00B64B18" w:rsidRPr="005629D6">
        <w:rPr>
          <w:color w:val="000000" w:themeColor="text1"/>
        </w:rPr>
        <w:t xml:space="preserve"> T</w:t>
      </w:r>
      <w:r w:rsidR="00A741D0" w:rsidRPr="005629D6">
        <w:rPr>
          <w:color w:val="000000" w:themeColor="text1"/>
        </w:rPr>
        <w:t>he MD trajectories were sampled and the root-mean-square</w:t>
      </w:r>
      <w:r w:rsidR="007D518F" w:rsidRPr="005629D6">
        <w:rPr>
          <w:color w:val="000000" w:themeColor="text1"/>
        </w:rPr>
        <w:t xml:space="preserve"> </w:t>
      </w:r>
      <w:r w:rsidR="00A741D0" w:rsidRPr="005629D6">
        <w:rPr>
          <w:color w:val="000000" w:themeColor="text1"/>
        </w:rPr>
        <w:t xml:space="preserve">deviations (RMSDs) of both the backbone </w:t>
      </w:r>
      <w:r w:rsidR="00D379A6" w:rsidRPr="005629D6">
        <w:rPr>
          <w:color w:val="000000" w:themeColor="text1"/>
        </w:rPr>
        <w:t xml:space="preserve">atoms and the ligand VUAA1 </w:t>
      </w:r>
      <w:r w:rsidR="000F01FB" w:rsidRPr="005629D6">
        <w:rPr>
          <w:color w:val="000000" w:themeColor="text1"/>
        </w:rPr>
        <w:t xml:space="preserve">were </w:t>
      </w:r>
      <w:r w:rsidR="00D379A6" w:rsidRPr="005629D6">
        <w:rPr>
          <w:color w:val="000000" w:themeColor="text1"/>
        </w:rPr>
        <w:t>calculated</w:t>
      </w:r>
      <w:r w:rsidR="007D518F" w:rsidRPr="005629D6">
        <w:rPr>
          <w:color w:val="000000" w:themeColor="text1"/>
        </w:rPr>
        <w:t xml:space="preserve"> (Figure 3)</w:t>
      </w:r>
      <w:r w:rsidR="00D379A6" w:rsidRPr="005629D6">
        <w:rPr>
          <w:color w:val="000000" w:themeColor="text1"/>
        </w:rPr>
        <w:t>. Furthermore, the roo</w:t>
      </w:r>
      <w:r w:rsidR="007D518F" w:rsidRPr="005629D6">
        <w:rPr>
          <w:color w:val="000000" w:themeColor="text1"/>
        </w:rPr>
        <w:t xml:space="preserve">t-mean-square fluctuations (RMSFs) of the residues of </w:t>
      </w:r>
      <w:proofErr w:type="spellStart"/>
      <w:r w:rsidR="007D518F" w:rsidRPr="005629D6">
        <w:rPr>
          <w:color w:val="000000" w:themeColor="text1"/>
        </w:rPr>
        <w:t>ApisOR</w:t>
      </w:r>
      <w:r w:rsidR="000D0E79" w:rsidRPr="005629D6">
        <w:rPr>
          <w:color w:val="000000" w:themeColor="text1"/>
        </w:rPr>
        <w:t>CO</w:t>
      </w:r>
      <w:proofErr w:type="spellEnd"/>
      <w:r w:rsidR="007D518F" w:rsidRPr="005629D6">
        <w:rPr>
          <w:color w:val="000000" w:themeColor="text1"/>
        </w:rPr>
        <w:t xml:space="preserve"> were calculated, both for </w:t>
      </w:r>
      <w:proofErr w:type="spellStart"/>
      <w:r w:rsidR="007D518F" w:rsidRPr="005629D6">
        <w:rPr>
          <w:color w:val="000000" w:themeColor="text1"/>
        </w:rPr>
        <w:t>ApisORCO</w:t>
      </w:r>
      <w:proofErr w:type="spellEnd"/>
      <w:r w:rsidR="007D518F" w:rsidRPr="005629D6">
        <w:rPr>
          <w:color w:val="000000" w:themeColor="text1"/>
        </w:rPr>
        <w:t xml:space="preserve"> alone and during the interaction with VUAA1 (Figure 3). </w:t>
      </w:r>
    </w:p>
    <w:p w14:paraId="0BF86579" w14:textId="1FF0A4A6" w:rsidR="007D518F" w:rsidRPr="005629D6" w:rsidRDefault="009C10B6" w:rsidP="00682426">
      <w:pPr>
        <w:jc w:val="center"/>
        <w:rPr>
          <w:color w:val="000000" w:themeColor="text1"/>
        </w:rPr>
      </w:pPr>
      <w:r w:rsidRPr="005629D6">
        <w:rPr>
          <w:noProof/>
          <w:color w:val="000000" w:themeColor="text1"/>
        </w:rPr>
        <w:drawing>
          <wp:inline distT="0" distB="0" distL="0" distR="0" wp14:anchorId="6DE92575" wp14:editId="64580F3A">
            <wp:extent cx="5731510" cy="4029710"/>
            <wp:effectExtent l="0" t="0" r="0" b="0"/>
            <wp:docPr id="3" name="Picture 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029710"/>
                    </a:xfrm>
                    <a:prstGeom prst="rect">
                      <a:avLst/>
                    </a:prstGeom>
                  </pic:spPr>
                </pic:pic>
              </a:graphicData>
            </a:graphic>
          </wp:inline>
        </w:drawing>
      </w:r>
    </w:p>
    <w:p w14:paraId="7F83CC33" w14:textId="3BA43FDF" w:rsidR="007D518F" w:rsidRPr="005629D6" w:rsidRDefault="007D518F" w:rsidP="007D518F">
      <w:pPr>
        <w:jc w:val="center"/>
        <w:rPr>
          <w:b/>
          <w:bCs/>
          <w:szCs w:val="20"/>
        </w:rPr>
      </w:pPr>
      <w:r w:rsidRPr="005629D6">
        <w:rPr>
          <w:b/>
          <w:bCs/>
          <w:szCs w:val="20"/>
        </w:rPr>
        <w:t xml:space="preserve">Figure 3: </w:t>
      </w:r>
      <w:r w:rsidRPr="005629D6">
        <w:rPr>
          <w:szCs w:val="20"/>
        </w:rPr>
        <w:t xml:space="preserve">Molecular dynamics (MD) trajectories of </w:t>
      </w:r>
      <w:proofErr w:type="spellStart"/>
      <w:r w:rsidRPr="005629D6">
        <w:rPr>
          <w:szCs w:val="20"/>
        </w:rPr>
        <w:t>ApisORCO</w:t>
      </w:r>
      <w:proofErr w:type="spellEnd"/>
      <w:r w:rsidRPr="005629D6">
        <w:rPr>
          <w:szCs w:val="20"/>
        </w:rPr>
        <w:t xml:space="preserve"> and </w:t>
      </w:r>
      <w:proofErr w:type="spellStart"/>
      <w:r w:rsidRPr="005629D6">
        <w:rPr>
          <w:szCs w:val="20"/>
        </w:rPr>
        <w:t>ApisORCO</w:t>
      </w:r>
      <w:proofErr w:type="spellEnd"/>
      <w:r w:rsidRPr="005629D6">
        <w:rPr>
          <w:szCs w:val="20"/>
        </w:rPr>
        <w:t xml:space="preserve"> interaction with VUAA1. (A) </w:t>
      </w:r>
      <w:r w:rsidR="00924384" w:rsidRPr="005629D6">
        <w:rPr>
          <w:szCs w:val="20"/>
        </w:rPr>
        <w:t xml:space="preserve">The </w:t>
      </w:r>
      <w:r w:rsidRPr="005629D6">
        <w:rPr>
          <w:szCs w:val="20"/>
        </w:rPr>
        <w:t>RMSD (</w:t>
      </w:r>
      <w:r w:rsidRPr="005629D6">
        <w:rPr>
          <w:szCs w:val="20"/>
          <w:lang w:val="en-US"/>
        </w:rPr>
        <w:t>Å</w:t>
      </w:r>
      <w:r w:rsidRPr="005629D6">
        <w:rPr>
          <w:szCs w:val="20"/>
        </w:rPr>
        <w:t>)</w:t>
      </w:r>
      <w:r w:rsidR="00924384" w:rsidRPr="005629D6">
        <w:rPr>
          <w:szCs w:val="20"/>
        </w:rPr>
        <w:t xml:space="preserve"> values</w:t>
      </w:r>
      <w:r w:rsidRPr="005629D6">
        <w:rPr>
          <w:szCs w:val="20"/>
        </w:rPr>
        <w:t xml:space="preserve"> of backbone atoms</w:t>
      </w:r>
      <w:r w:rsidR="00924384" w:rsidRPr="005629D6">
        <w:rPr>
          <w:szCs w:val="20"/>
        </w:rPr>
        <w:t xml:space="preserve"> in the protein</w:t>
      </w:r>
      <w:r w:rsidR="00124CE6" w:rsidRPr="005629D6">
        <w:rPr>
          <w:szCs w:val="20"/>
        </w:rPr>
        <w:t xml:space="preserve"> during the 15 ns simulation</w:t>
      </w:r>
      <w:r w:rsidR="00924384" w:rsidRPr="005629D6">
        <w:rPr>
          <w:szCs w:val="20"/>
        </w:rPr>
        <w:t>; (B) The RMSF (</w:t>
      </w:r>
      <w:r w:rsidR="00924384" w:rsidRPr="005629D6">
        <w:rPr>
          <w:szCs w:val="20"/>
          <w:lang w:val="en-US"/>
        </w:rPr>
        <w:t>Å</w:t>
      </w:r>
      <w:r w:rsidR="00924384" w:rsidRPr="005629D6">
        <w:rPr>
          <w:szCs w:val="20"/>
        </w:rPr>
        <w:t>)</w:t>
      </w:r>
      <w:r w:rsidR="000D0E79" w:rsidRPr="005629D6">
        <w:rPr>
          <w:szCs w:val="20"/>
        </w:rPr>
        <w:t xml:space="preserve"> </w:t>
      </w:r>
      <w:r w:rsidR="00370367" w:rsidRPr="005629D6">
        <w:rPr>
          <w:szCs w:val="20"/>
        </w:rPr>
        <w:t xml:space="preserve">values </w:t>
      </w:r>
      <w:r w:rsidR="000D0E79" w:rsidRPr="005629D6">
        <w:rPr>
          <w:szCs w:val="20"/>
        </w:rPr>
        <w:t xml:space="preserve">of residues in </w:t>
      </w:r>
      <w:proofErr w:type="spellStart"/>
      <w:r w:rsidR="000D0E79" w:rsidRPr="005629D6">
        <w:rPr>
          <w:szCs w:val="20"/>
        </w:rPr>
        <w:t>ApisORCO</w:t>
      </w:r>
      <w:proofErr w:type="spellEnd"/>
      <w:r w:rsidR="000D0E79" w:rsidRPr="005629D6">
        <w:rPr>
          <w:szCs w:val="20"/>
        </w:rPr>
        <w:t xml:space="preserve">; (C) </w:t>
      </w:r>
      <w:r w:rsidR="00124CE6" w:rsidRPr="005629D6">
        <w:rPr>
          <w:szCs w:val="20"/>
        </w:rPr>
        <w:t xml:space="preserve">The RMSD </w:t>
      </w:r>
      <w:r w:rsidR="00370367" w:rsidRPr="005629D6">
        <w:rPr>
          <w:szCs w:val="20"/>
        </w:rPr>
        <w:t>(</w:t>
      </w:r>
      <w:r w:rsidR="00370367" w:rsidRPr="005629D6">
        <w:rPr>
          <w:szCs w:val="20"/>
          <w:lang w:val="en-US"/>
        </w:rPr>
        <w:t>Å</w:t>
      </w:r>
      <w:r w:rsidR="00370367" w:rsidRPr="005629D6">
        <w:rPr>
          <w:szCs w:val="20"/>
        </w:rPr>
        <w:t>) values for VUAA1 during the 15 ns simulation.</w:t>
      </w:r>
    </w:p>
    <w:p w14:paraId="1E3A354A" w14:textId="7FBA62CB" w:rsidR="007D518F" w:rsidRPr="005629D6" w:rsidRDefault="002A2D16" w:rsidP="00886CB6">
      <w:pPr>
        <w:rPr>
          <w:color w:val="000000" w:themeColor="text1"/>
        </w:rPr>
      </w:pPr>
      <w:r w:rsidRPr="005629D6">
        <w:rPr>
          <w:color w:val="000000" w:themeColor="text1"/>
        </w:rPr>
        <w:t>L</w:t>
      </w:r>
      <w:r w:rsidR="00DC6A57" w:rsidRPr="005629D6">
        <w:rPr>
          <w:color w:val="000000" w:themeColor="text1"/>
        </w:rPr>
        <w:t xml:space="preserve">ower backbone RMSD values for the complex </w:t>
      </w:r>
      <w:r w:rsidRPr="005629D6">
        <w:rPr>
          <w:color w:val="000000" w:themeColor="text1"/>
        </w:rPr>
        <w:t>compared with</w:t>
      </w:r>
      <w:r w:rsidR="00DC6A57" w:rsidRPr="005629D6">
        <w:rPr>
          <w:color w:val="000000" w:themeColor="text1"/>
        </w:rPr>
        <w:t xml:space="preserve"> </w:t>
      </w:r>
      <w:proofErr w:type="spellStart"/>
      <w:r w:rsidR="00DC6A57" w:rsidRPr="005629D6">
        <w:rPr>
          <w:color w:val="000000" w:themeColor="text1"/>
        </w:rPr>
        <w:t>ApisORCO</w:t>
      </w:r>
      <w:proofErr w:type="spellEnd"/>
      <w:r w:rsidR="00DC6A57" w:rsidRPr="005629D6">
        <w:rPr>
          <w:color w:val="000000" w:themeColor="text1"/>
        </w:rPr>
        <w:t xml:space="preserve"> alone </w:t>
      </w:r>
      <w:r w:rsidRPr="005629D6">
        <w:rPr>
          <w:color w:val="000000" w:themeColor="text1"/>
        </w:rPr>
        <w:t>indicate</w:t>
      </w:r>
      <w:r w:rsidR="00DC6A57" w:rsidRPr="005629D6">
        <w:rPr>
          <w:color w:val="000000" w:themeColor="text1"/>
        </w:rPr>
        <w:t xml:space="preserve"> that VUAA1 stabilises </w:t>
      </w:r>
      <w:proofErr w:type="spellStart"/>
      <w:r w:rsidR="00DC6A57" w:rsidRPr="005629D6">
        <w:rPr>
          <w:color w:val="000000" w:themeColor="text1"/>
        </w:rPr>
        <w:t>ApisORCO</w:t>
      </w:r>
      <w:proofErr w:type="spellEnd"/>
      <w:r w:rsidR="00DC6A57" w:rsidRPr="005629D6">
        <w:rPr>
          <w:color w:val="000000" w:themeColor="text1"/>
        </w:rPr>
        <w:t xml:space="preserve">. </w:t>
      </w:r>
      <w:r w:rsidR="009C10B6" w:rsidRPr="005629D6">
        <w:rPr>
          <w:color w:val="000000" w:themeColor="text1"/>
        </w:rPr>
        <w:t>However, t</w:t>
      </w:r>
      <w:r w:rsidR="00DC6A57" w:rsidRPr="005629D6">
        <w:rPr>
          <w:color w:val="000000" w:themeColor="text1"/>
        </w:rPr>
        <w:t xml:space="preserve">here is not a significant </w:t>
      </w:r>
      <w:r w:rsidR="003C7471" w:rsidRPr="005629D6">
        <w:rPr>
          <w:color w:val="000000" w:themeColor="text1"/>
        </w:rPr>
        <w:t>difference between the two</w:t>
      </w:r>
      <w:r w:rsidR="009C10B6" w:rsidRPr="005629D6">
        <w:rPr>
          <w:color w:val="000000" w:themeColor="text1"/>
        </w:rPr>
        <w:t>. T</w:t>
      </w:r>
      <w:r w:rsidR="003C7471" w:rsidRPr="005629D6">
        <w:rPr>
          <w:color w:val="000000" w:themeColor="text1"/>
        </w:rPr>
        <w:t xml:space="preserve">his may be due to the short simulation time, or the use of the monomeric receptor in this case. </w:t>
      </w:r>
      <w:r w:rsidR="00687DB0" w:rsidRPr="005629D6">
        <w:rPr>
          <w:color w:val="000000" w:themeColor="text1"/>
        </w:rPr>
        <w:t xml:space="preserve">The monomer and short simulation time </w:t>
      </w:r>
      <w:r w:rsidR="009C10B6" w:rsidRPr="005629D6">
        <w:rPr>
          <w:color w:val="000000" w:themeColor="text1"/>
        </w:rPr>
        <w:t>were</w:t>
      </w:r>
      <w:r w:rsidR="00687DB0" w:rsidRPr="005629D6">
        <w:rPr>
          <w:color w:val="000000" w:themeColor="text1"/>
        </w:rPr>
        <w:t xml:space="preserve"> used due to limited computational resources, though future </w:t>
      </w:r>
      <w:r w:rsidR="009C10B6" w:rsidRPr="005629D6">
        <w:rPr>
          <w:color w:val="000000" w:themeColor="text1"/>
        </w:rPr>
        <w:t>experiments</w:t>
      </w:r>
      <w:r w:rsidR="00687DB0" w:rsidRPr="005629D6">
        <w:rPr>
          <w:color w:val="000000" w:themeColor="text1"/>
        </w:rPr>
        <w:t xml:space="preserve"> may focus on exploring this interaction further. In addition to the RMSD values, the RMSF values for residues gave insight into the structure and flexibility of </w:t>
      </w:r>
      <w:proofErr w:type="spellStart"/>
      <w:r w:rsidR="00687DB0" w:rsidRPr="005629D6">
        <w:rPr>
          <w:color w:val="000000" w:themeColor="text1"/>
        </w:rPr>
        <w:t>ApisORCO</w:t>
      </w:r>
      <w:proofErr w:type="spellEnd"/>
      <w:r w:rsidR="00687DB0" w:rsidRPr="005629D6">
        <w:rPr>
          <w:color w:val="000000" w:themeColor="text1"/>
        </w:rPr>
        <w:t xml:space="preserve">. </w:t>
      </w:r>
      <w:r w:rsidR="00532522" w:rsidRPr="005629D6">
        <w:rPr>
          <w:color w:val="000000" w:themeColor="text1"/>
        </w:rPr>
        <w:t>Sections with higher levels of movement and flexibility clearly corresponded with the loop segments (both intra- and extracellular)</w:t>
      </w:r>
      <w:r w:rsidR="00AE1E33" w:rsidRPr="005629D6">
        <w:rPr>
          <w:color w:val="000000" w:themeColor="text1"/>
        </w:rPr>
        <w:t xml:space="preserve"> of the protein. Additionally, </w:t>
      </w:r>
      <w:r w:rsidR="009C10B6" w:rsidRPr="005629D6">
        <w:rPr>
          <w:color w:val="000000" w:themeColor="text1"/>
        </w:rPr>
        <w:t xml:space="preserve">a </w:t>
      </w:r>
      <w:r w:rsidR="00AE1E33" w:rsidRPr="005629D6">
        <w:rPr>
          <w:color w:val="000000" w:themeColor="text1"/>
        </w:rPr>
        <w:t>large difference could be seen when the ligand was introduced.</w:t>
      </w:r>
      <w:r w:rsidR="00545115" w:rsidRPr="005629D6">
        <w:rPr>
          <w:color w:val="000000" w:themeColor="text1"/>
        </w:rPr>
        <w:t xml:space="preserve"> Higher levels of flexibility were seen in general, with the most noticeable differences between </w:t>
      </w:r>
      <w:r w:rsidR="00DB213D" w:rsidRPr="005629D6">
        <w:rPr>
          <w:color w:val="000000" w:themeColor="text1"/>
        </w:rPr>
        <w:t>residues 250 and 300, approximately intracellular loop 3 (IL3)</w:t>
      </w:r>
      <w:r w:rsidR="003D1134" w:rsidRPr="005629D6">
        <w:rPr>
          <w:color w:val="000000" w:themeColor="text1"/>
        </w:rPr>
        <w:t xml:space="preserve">. This may indicate that IL3 plays a role in the functional mechanism of the receptor. Furthermore, </w:t>
      </w:r>
      <w:r w:rsidR="00940E38" w:rsidRPr="005629D6">
        <w:rPr>
          <w:color w:val="000000" w:themeColor="text1"/>
        </w:rPr>
        <w:t xml:space="preserve">the RMSF for the </w:t>
      </w:r>
      <w:r w:rsidR="00996592" w:rsidRPr="005629D6">
        <w:rPr>
          <w:color w:val="000000" w:themeColor="text1"/>
        </w:rPr>
        <w:t xml:space="preserve">flexible </w:t>
      </w:r>
      <w:r w:rsidR="00940E38" w:rsidRPr="005629D6">
        <w:rPr>
          <w:color w:val="000000" w:themeColor="text1"/>
        </w:rPr>
        <w:t xml:space="preserve">residues identified </w:t>
      </w:r>
      <w:r w:rsidR="00053798" w:rsidRPr="005629D6">
        <w:rPr>
          <w:color w:val="000000" w:themeColor="text1"/>
        </w:rPr>
        <w:t xml:space="preserve">from docking </w:t>
      </w:r>
      <w:r w:rsidR="001A3C72" w:rsidRPr="005629D6">
        <w:rPr>
          <w:color w:val="000000" w:themeColor="text1"/>
        </w:rPr>
        <w:t>experiments</w:t>
      </w:r>
      <w:r w:rsidR="00053798" w:rsidRPr="005629D6">
        <w:rPr>
          <w:color w:val="000000" w:themeColor="text1"/>
        </w:rPr>
        <w:t xml:space="preserve"> were all higher in the interaction simulation, </w:t>
      </w:r>
      <w:proofErr w:type="gramStart"/>
      <w:r w:rsidR="00053798" w:rsidRPr="005629D6">
        <w:rPr>
          <w:color w:val="000000" w:themeColor="text1"/>
        </w:rPr>
        <w:t>with the exception of</w:t>
      </w:r>
      <w:proofErr w:type="gramEnd"/>
      <w:r w:rsidR="00053798" w:rsidRPr="005629D6">
        <w:rPr>
          <w:color w:val="000000" w:themeColor="text1"/>
        </w:rPr>
        <w:t xml:space="preserve"> Trp149.</w:t>
      </w:r>
    </w:p>
    <w:p w14:paraId="3F891D40" w14:textId="62CBF540" w:rsidR="003C6660" w:rsidRPr="005629D6" w:rsidRDefault="00886CB6" w:rsidP="00886CB6">
      <w:pPr>
        <w:rPr>
          <w:color w:val="000000" w:themeColor="text1"/>
        </w:rPr>
      </w:pPr>
      <w:r w:rsidRPr="005629D6">
        <w:rPr>
          <w:color w:val="000000" w:themeColor="text1"/>
        </w:rPr>
        <w:lastRenderedPageBreak/>
        <w:t>ORCO is co-expressed as a predicted tetramer with ORs in insects and is required for olfactory function.</w:t>
      </w:r>
      <w:r w:rsidRPr="005629D6">
        <w:rPr>
          <w:color w:val="000000" w:themeColor="text1"/>
        </w:rPr>
        <w:fldChar w:fldCharType="begin" w:fldLock="1"/>
      </w:r>
      <w:r w:rsidR="000D52F2" w:rsidRPr="005629D6">
        <w:rPr>
          <w:color w:val="000000" w:themeColor="text1"/>
        </w:rPr>
        <w:instrText>ADDIN CSL_CITATION {"citationItems":[{"id":"ITEM-1","itemData":{"DOI":"10.1038/s41586-018-0420-8","ISSN":"14764687","PMID":"30111839","abstract":"The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publisher":"Springer US","title":"Cryo-EM structure of the insect olfactory receptor Orco","type":"article-journal","volume":"560"},"uris":["http://www.mendeley.com/documents/?uuid=39008980-944d-4b35-826d-38ce947c6ad8"]}],"mendeley":{"formattedCitation":"&lt;sup&gt;17&lt;/sup&gt;","plainTextFormattedCitation":"17","previouslyFormattedCitation":"&lt;sup&gt;17&lt;/sup&gt;"},"properties":{"noteIndex":0},"schema":"https://github.com/citation-style-language/schema/raw/master/csl-citation.json"}</w:instrText>
      </w:r>
      <w:r w:rsidRPr="005629D6">
        <w:rPr>
          <w:color w:val="000000" w:themeColor="text1"/>
        </w:rPr>
        <w:fldChar w:fldCharType="separate"/>
      </w:r>
      <w:r w:rsidR="002F2ECE" w:rsidRPr="005629D6">
        <w:rPr>
          <w:noProof/>
          <w:color w:val="000000" w:themeColor="text1"/>
          <w:vertAlign w:val="superscript"/>
        </w:rPr>
        <w:t>17</w:t>
      </w:r>
      <w:r w:rsidRPr="005629D6">
        <w:rPr>
          <w:color w:val="000000" w:themeColor="text1"/>
        </w:rPr>
        <w:fldChar w:fldCharType="end"/>
      </w:r>
      <w:r w:rsidRPr="005629D6">
        <w:rPr>
          <w:color w:val="000000" w:themeColor="text1"/>
        </w:rPr>
        <w:t xml:space="preserve"> Subsequently, ORCO is an ideal olfactory target for control, however its high conservation means any targeting will not be species</w:t>
      </w:r>
      <w:r w:rsidR="00053F38" w:rsidRPr="005629D6">
        <w:rPr>
          <w:color w:val="000000" w:themeColor="text1"/>
        </w:rPr>
        <w:t>-</w:t>
      </w:r>
      <w:r w:rsidRPr="005629D6">
        <w:rPr>
          <w:color w:val="000000" w:themeColor="text1"/>
        </w:rPr>
        <w:t xml:space="preserve">specific. </w:t>
      </w:r>
      <w:r w:rsidR="005423A2" w:rsidRPr="005629D6">
        <w:rPr>
          <w:color w:val="000000" w:themeColor="text1"/>
        </w:rPr>
        <w:t>ORs</w:t>
      </w:r>
      <w:r w:rsidRPr="005629D6">
        <w:rPr>
          <w:color w:val="000000" w:themeColor="text1"/>
        </w:rPr>
        <w:t xml:space="preserve"> are much more divergent and may prove a more promising target for species</w:t>
      </w:r>
      <w:r w:rsidR="00053F38" w:rsidRPr="005629D6">
        <w:rPr>
          <w:color w:val="000000" w:themeColor="text1"/>
        </w:rPr>
        <w:t>-</w:t>
      </w:r>
      <w:r w:rsidRPr="005629D6">
        <w:rPr>
          <w:color w:val="000000" w:themeColor="text1"/>
        </w:rPr>
        <w:t>specific control.</w:t>
      </w:r>
    </w:p>
    <w:p w14:paraId="1D46F57F" w14:textId="582838AD" w:rsidR="00422E68" w:rsidRPr="005629D6" w:rsidRDefault="00255BCF" w:rsidP="00422E68">
      <w:r w:rsidRPr="005629D6">
        <w:rPr>
          <w:b/>
          <w:bCs/>
        </w:rPr>
        <w:t xml:space="preserve">Interaction of </w:t>
      </w:r>
      <w:r w:rsidR="00857D4C" w:rsidRPr="005629D6">
        <w:rPr>
          <w:b/>
          <w:bCs/>
        </w:rPr>
        <w:t xml:space="preserve">functional </w:t>
      </w:r>
      <w:r w:rsidRPr="005629D6">
        <w:rPr>
          <w:b/>
          <w:bCs/>
        </w:rPr>
        <w:t>receptors, ApisOR4 and ApisOR5</w:t>
      </w:r>
      <w:r w:rsidR="007230BA" w:rsidRPr="005629D6">
        <w:rPr>
          <w:b/>
          <w:bCs/>
        </w:rPr>
        <w:t>.</w:t>
      </w:r>
      <w:r w:rsidR="007230BA" w:rsidRPr="005629D6">
        <w:t xml:space="preserve"> </w:t>
      </w:r>
      <w:r w:rsidR="00422E68" w:rsidRPr="005629D6">
        <w:t xml:space="preserve">Previous work screened </w:t>
      </w:r>
      <w:r w:rsidR="005423A2" w:rsidRPr="005629D6">
        <w:t>Apis</w:t>
      </w:r>
      <w:r w:rsidR="00422E68" w:rsidRPr="005629D6">
        <w:t xml:space="preserve">OR4 against a library of 57 molecules, </w:t>
      </w:r>
      <w:r w:rsidR="00053F38" w:rsidRPr="005629D6">
        <w:t xml:space="preserve">with </w:t>
      </w:r>
      <w:r w:rsidR="00422E68" w:rsidRPr="005629D6">
        <w:t xml:space="preserve">eight general plant volatiles </w:t>
      </w:r>
      <w:r w:rsidR="00053F38" w:rsidRPr="005629D6">
        <w:t xml:space="preserve">being shown to be </w:t>
      </w:r>
      <w:r w:rsidR="00422E68" w:rsidRPr="005629D6">
        <w:t xml:space="preserve">perceived by antennal </w:t>
      </w:r>
      <w:r w:rsidR="00C06B55" w:rsidRPr="005629D6">
        <w:t>sensilla</w:t>
      </w:r>
      <w:r w:rsidR="00422E68" w:rsidRPr="005629D6">
        <w:t xml:space="preserve"> and </w:t>
      </w:r>
      <w:r w:rsidR="00C255C1" w:rsidRPr="005629D6">
        <w:t>Apis</w:t>
      </w:r>
      <w:r w:rsidR="00422E68" w:rsidRPr="005629D6">
        <w:t xml:space="preserve">OR4, demonstrating the broad-tuning of </w:t>
      </w:r>
      <w:r w:rsidR="00C255C1" w:rsidRPr="005629D6">
        <w:t>Apis</w:t>
      </w:r>
      <w:r w:rsidR="00422E68" w:rsidRPr="005629D6">
        <w:t>OR4.</w:t>
      </w:r>
      <w:r w:rsidR="00422E68" w:rsidRPr="005629D6">
        <w:fldChar w:fldCharType="begin" w:fldLock="1"/>
      </w:r>
      <w:r w:rsidR="002F2ECE" w:rsidRPr="005629D6">
        <w:instrText>ADDIN CSL_CITATION {"citationItems":[{"id":"ITEM-1","itemData":{"DOI":"10.1111/1744-7917.12510","ISSN":"17447917","abstract":"The sensitive olfactory system is necessary for survival of insects. Odorant receptors (ORs) are located on the dendrites of olfactory receptor neurons and play a critical role in odor detection. Insect ORs are functionally analyzed via heterologous expression in a Xenopus oocyte system using a two-electrode voltage-clamp (TEVC) electrophysiological recording. Here, we have identified a novel OR in the pea aphid, Acyrthosiphon pisum, then we cloned and named it ApisOR4. We analyzed the ApisOR4 tissue expression patterns and found expression only in antennae tissues. Further functional analysis using TEVC revealed that ApisOR4 is broadly tuned to eight volatiles, which elicit electrophysiological response in pea aphid antennae. This study provides an initial functional analysis of aphid ORs and identifies candidate volatiles to be used in developing new strategies for aphid control.","author":[{"dropping-particle":"Bin","family":"Zhang","given":"Rui","non-dropping-particle":"","parse-names":false,"suffix":""},{"dropping-particle":"","family":"Liu","given":"Yang","non-dropping-particle":"","parse-names":false,"suffix":""},{"dropping-particle":"","family":"Yan","given":"Shan Chun","non-dropping-particle":"","parse-names":false,"suffix":""},{"dropping-particle":"","family":"Wang","given":"Gui Rong","non-dropping-particle":"","parse-names":false,"suffix":""}],"container-title":"Insect Science","id":"ITEM-1","issue":"1","issued":{"date-parts":[["2019"]]},"page":"58-67","title":"Identification and functional characterization of an odorant receptor in pea aphid, Acyrthosiphon pisum","type":"article-journal","volume":"26"},"uris":["http://www.mendeley.com/documents/?uuid=68bbaab8-8f01-4596-a815-9e8b93d72662"]}],"mendeley":{"formattedCitation":"&lt;sup&gt;37&lt;/sup&gt;","plainTextFormattedCitation":"37","previouslyFormattedCitation":"&lt;sup&gt;37&lt;/sup&gt;"},"properties":{"noteIndex":0},"schema":"https://github.com/citation-style-language/schema/raw/master/csl-citation.json"}</w:instrText>
      </w:r>
      <w:r w:rsidR="00422E68" w:rsidRPr="005629D6">
        <w:fldChar w:fldCharType="separate"/>
      </w:r>
      <w:r w:rsidR="009119FC" w:rsidRPr="005629D6">
        <w:rPr>
          <w:noProof/>
          <w:vertAlign w:val="superscript"/>
        </w:rPr>
        <w:t>37</w:t>
      </w:r>
      <w:r w:rsidR="00422E68" w:rsidRPr="005629D6">
        <w:fldChar w:fldCharType="end"/>
      </w:r>
      <w:r w:rsidR="00422E68" w:rsidRPr="005629D6">
        <w:t xml:space="preserve"> These volatiles were 4-ethylacetophenone, salicylaldehyde, 4-ethylbenzaldehyde, 3-vinylbenzaldehyde, (</w:t>
      </w:r>
      <w:r w:rsidR="00422E68" w:rsidRPr="005629D6">
        <w:rPr>
          <w:i/>
          <w:iCs/>
        </w:rPr>
        <w:t>S</w:t>
      </w:r>
      <w:r w:rsidR="00422E68" w:rsidRPr="005629D6">
        <w:t>)-(-)-verbenone, (</w:t>
      </w:r>
      <w:r w:rsidR="00422E68" w:rsidRPr="005629D6">
        <w:rPr>
          <w:i/>
          <w:iCs/>
        </w:rPr>
        <w:t>S</w:t>
      </w:r>
      <w:r w:rsidR="00422E68" w:rsidRPr="005629D6">
        <w:t>)-cis-verbenol, (-)-borneol and (1</w:t>
      </w:r>
      <w:r w:rsidR="00422E68" w:rsidRPr="005629D6">
        <w:rPr>
          <w:i/>
          <w:iCs/>
        </w:rPr>
        <w:t>R</w:t>
      </w:r>
      <w:r w:rsidR="00422E68" w:rsidRPr="005629D6">
        <w:t>)-(-)-</w:t>
      </w:r>
      <w:proofErr w:type="spellStart"/>
      <w:r w:rsidR="00422E68" w:rsidRPr="005629D6">
        <w:t>myrtenal</w:t>
      </w:r>
      <w:proofErr w:type="spellEnd"/>
      <w:r w:rsidR="00422E68" w:rsidRPr="005629D6">
        <w:t xml:space="preserve">, with three specific aromatic volatiles (4-ethylacetophenone, salicylaldehyde, 3-vinylbenzaldehyde) producing the highest electrophysiological response from </w:t>
      </w:r>
      <w:r w:rsidR="005423A2" w:rsidRPr="005629D6">
        <w:t>Apis</w:t>
      </w:r>
      <w:r w:rsidR="00422E68" w:rsidRPr="005629D6">
        <w:t>OR4.</w:t>
      </w:r>
    </w:p>
    <w:p w14:paraId="4E09E33D" w14:textId="00296221" w:rsidR="00422E68" w:rsidRPr="005629D6" w:rsidRDefault="00620921" w:rsidP="00E7157A">
      <w:pPr>
        <w:rPr>
          <w:rFonts w:cstheme="minorHAnsi"/>
        </w:rPr>
      </w:pPr>
      <w:r w:rsidRPr="005629D6">
        <w:t xml:space="preserve">In this study, </w:t>
      </w:r>
      <w:r w:rsidR="002C2D33" w:rsidRPr="005629D6">
        <w:t>Apis</w:t>
      </w:r>
      <w:r w:rsidR="00422E68" w:rsidRPr="005629D6">
        <w:t xml:space="preserve">OR4 was screened against the eight </w:t>
      </w:r>
      <w:r w:rsidR="005423A2" w:rsidRPr="005629D6">
        <w:t xml:space="preserve">identified </w:t>
      </w:r>
      <w:r w:rsidR="00422E68" w:rsidRPr="005629D6">
        <w:t>plant volatiles and the predicted binding sites analysed (</w:t>
      </w:r>
      <w:r w:rsidR="000C242E" w:rsidRPr="005629D6">
        <w:t xml:space="preserve">Supplementary Data </w:t>
      </w:r>
      <w:r w:rsidR="00422E68" w:rsidRPr="005629D6">
        <w:t xml:space="preserve">Table </w:t>
      </w:r>
      <w:r w:rsidR="000C242E" w:rsidRPr="005629D6">
        <w:t>S</w:t>
      </w:r>
      <w:r w:rsidR="00422E68" w:rsidRPr="005629D6">
        <w:t xml:space="preserve">3). The aromatic volatiles bound in a highly aromatic binding site (Figure </w:t>
      </w:r>
      <w:r w:rsidR="00806827" w:rsidRPr="005629D6">
        <w:t>4</w:t>
      </w:r>
      <w:r w:rsidR="00422E68" w:rsidRPr="005629D6">
        <w:t xml:space="preserve">) involving key residues Phe53, Phe83, His161 and Trp166. </w:t>
      </w:r>
      <w:r w:rsidR="00422E68" w:rsidRPr="005629D6">
        <w:rPr>
          <w:rFonts w:cstheme="minorHAnsi"/>
        </w:rPr>
        <w:t>π</w:t>
      </w:r>
      <w:r w:rsidR="00422E68" w:rsidRPr="005629D6">
        <w:t xml:space="preserve"> -</w:t>
      </w:r>
      <w:r w:rsidR="00422E68" w:rsidRPr="005629D6">
        <w:rPr>
          <w:rFonts w:cstheme="minorHAnsi"/>
        </w:rPr>
        <w:t>π</w:t>
      </w:r>
      <w:r w:rsidR="00422E68" w:rsidRPr="005629D6">
        <w:t xml:space="preserve"> interactions between the benzene ring of the three aromatic volatiles and the aromatic residues in the binding site will be relatively weak as most aromatic residues are over 4</w:t>
      </w:r>
      <w:r w:rsidR="00422E68" w:rsidRPr="005629D6">
        <w:rPr>
          <w:rFonts w:cstheme="minorHAnsi"/>
        </w:rPr>
        <w:t xml:space="preserve">Å from the ligand. One interaction, with His161 at approximately 3.5Å is present in all the predicted binding sites of the active aromatic ligands. This well-defined binding site with multiple interactions explains the higher electrophysiological response seen when </w:t>
      </w:r>
      <w:r w:rsidR="00A216D5" w:rsidRPr="005629D6">
        <w:rPr>
          <w:rFonts w:cstheme="minorHAnsi"/>
        </w:rPr>
        <w:t>Apis</w:t>
      </w:r>
      <w:r w:rsidR="00422E68" w:rsidRPr="005629D6">
        <w:rPr>
          <w:rFonts w:cstheme="minorHAnsi"/>
        </w:rPr>
        <w:t>OR4 is activated by these ligands.</w:t>
      </w:r>
      <w:r w:rsidR="00422E68" w:rsidRPr="005629D6">
        <w:rPr>
          <w:rFonts w:cstheme="minorHAnsi"/>
        </w:rPr>
        <w:fldChar w:fldCharType="begin" w:fldLock="1"/>
      </w:r>
      <w:r w:rsidR="002F2ECE" w:rsidRPr="005629D6">
        <w:rPr>
          <w:rFonts w:cstheme="minorHAnsi"/>
        </w:rPr>
        <w:instrText>ADDIN CSL_CITATION {"citationItems":[{"id":"ITEM-1","itemData":{"DOI":"10.1111/1744-7917.12510","ISSN":"17447917","abstract":"The sensitive olfactory system is necessary for survival of insects. Odorant receptors (ORs) are located on the dendrites of olfactory receptor neurons and play a critical role in odor detection. Insect ORs are functionally analyzed via heterologous expression in a Xenopus oocyte system using a two-electrode voltage-clamp (TEVC) electrophysiological recording. Here, we have identified a novel OR in the pea aphid, Acyrthosiphon pisum, then we cloned and named it ApisOR4. We analyzed the ApisOR4 tissue expression patterns and found expression only in antennae tissues. Further functional analysis using TEVC revealed that ApisOR4 is broadly tuned to eight volatiles, which elicit electrophysiological response in pea aphid antennae. This study provides an initial functional analysis of aphid ORs and identifies candidate volatiles to be used in developing new strategies for aphid control.","author":[{"dropping-particle":"Bin","family":"Zhang","given":"Rui","non-dropping-particle":"","parse-names":false,"suffix":""},{"dropping-particle":"","family":"Liu","given":"Yang","non-dropping-particle":"","parse-names":false,"suffix":""},{"dropping-particle":"","family":"Yan","given":"Shan Chun","non-dropping-particle":"","parse-names":false,"suffix":""},{"dropping-particle":"","family":"Wang","given":"Gui Rong","non-dropping-particle":"","parse-names":false,"suffix":""}],"container-title":"Insect Science","id":"ITEM-1","issue":"1","issued":{"date-parts":[["2019"]]},"page":"58-67","title":"Identification and functional characterization of an odorant receptor in pea aphid, Acyrthosiphon pisum","type":"article-journal","volume":"26"},"uris":["http://www.mendeley.com/documents/?uuid=68bbaab8-8f01-4596-a815-9e8b93d72662"]}],"mendeley":{"formattedCitation":"&lt;sup&gt;37&lt;/sup&gt;","plainTextFormattedCitation":"37","previouslyFormattedCitation":"&lt;sup&gt;37&lt;/sup&gt;"},"properties":{"noteIndex":0},"schema":"https://github.com/citation-style-language/schema/raw/master/csl-citation.json"}</w:instrText>
      </w:r>
      <w:r w:rsidR="00422E68" w:rsidRPr="005629D6">
        <w:rPr>
          <w:rFonts w:cstheme="minorHAnsi"/>
        </w:rPr>
        <w:fldChar w:fldCharType="separate"/>
      </w:r>
      <w:r w:rsidR="009119FC" w:rsidRPr="005629D6">
        <w:rPr>
          <w:rFonts w:cstheme="minorHAnsi"/>
          <w:noProof/>
          <w:vertAlign w:val="superscript"/>
        </w:rPr>
        <w:t>37</w:t>
      </w:r>
      <w:r w:rsidR="00422E68" w:rsidRPr="005629D6">
        <w:rPr>
          <w:rFonts w:cstheme="minorHAnsi"/>
        </w:rPr>
        <w:fldChar w:fldCharType="end"/>
      </w:r>
    </w:p>
    <w:p w14:paraId="3875F95E" w14:textId="21027869" w:rsidR="00E421F9" w:rsidRPr="005629D6" w:rsidRDefault="001A4A9F" w:rsidP="00E421F9">
      <w:pPr>
        <w:jc w:val="center"/>
        <w:rPr>
          <w:rFonts w:cstheme="minorHAnsi"/>
        </w:rPr>
      </w:pPr>
      <w:r w:rsidRPr="005629D6">
        <w:rPr>
          <w:noProof/>
          <w:szCs w:val="20"/>
        </w:rPr>
        <w:drawing>
          <wp:inline distT="0" distB="0" distL="0" distR="0" wp14:anchorId="76D2181A" wp14:editId="5D064956">
            <wp:extent cx="5731510" cy="4414520"/>
            <wp:effectExtent l="0" t="0" r="0" b="508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731510" cy="4414520"/>
                    </a:xfrm>
                    <a:prstGeom prst="rect">
                      <a:avLst/>
                    </a:prstGeom>
                  </pic:spPr>
                </pic:pic>
              </a:graphicData>
            </a:graphic>
          </wp:inline>
        </w:drawing>
      </w:r>
      <w:r w:rsidR="00E421F9" w:rsidRPr="005629D6">
        <w:rPr>
          <w:noProof/>
          <w:szCs w:val="20"/>
        </w:rPr>
        <w:t xml:space="preserve"> </w:t>
      </w:r>
    </w:p>
    <w:p w14:paraId="6D021B3D" w14:textId="5720ECC0" w:rsidR="00E421F9" w:rsidRPr="005629D6" w:rsidRDefault="00E421F9" w:rsidP="00E421F9">
      <w:pPr>
        <w:jc w:val="center"/>
        <w:rPr>
          <w:noProof/>
          <w:szCs w:val="20"/>
        </w:rPr>
      </w:pPr>
      <w:r w:rsidRPr="005629D6">
        <w:rPr>
          <w:b/>
          <w:bCs/>
          <w:szCs w:val="20"/>
        </w:rPr>
        <w:lastRenderedPageBreak/>
        <w:t>Figure 4:</w:t>
      </w:r>
      <w:r w:rsidRPr="005629D6">
        <w:rPr>
          <w:szCs w:val="20"/>
        </w:rPr>
        <w:t xml:space="preserve"> The aromatic binding site, Phe53, Phe82, His161, Phe162 and Trp166 of ApisOR4</w:t>
      </w:r>
      <w:r w:rsidRPr="005629D6">
        <w:rPr>
          <w:color w:val="000000" w:themeColor="text1"/>
          <w:szCs w:val="20"/>
        </w:rPr>
        <w:t xml:space="preserve">, with the predicted </w:t>
      </w:r>
      <w:r w:rsidRPr="005629D6">
        <w:rPr>
          <w:rFonts w:cstheme="minorHAnsi"/>
          <w:color w:val="000000" w:themeColor="text1"/>
          <w:szCs w:val="20"/>
        </w:rPr>
        <w:t>π-π</w:t>
      </w:r>
      <w:r w:rsidRPr="005629D6">
        <w:rPr>
          <w:color w:val="000000" w:themeColor="text1"/>
          <w:szCs w:val="20"/>
        </w:rPr>
        <w:t xml:space="preserve"> interactions (black) with 4-ethylbenzaldehyde (</w:t>
      </w:r>
      <w:proofErr w:type="gramStart"/>
      <w:r w:rsidRPr="005629D6">
        <w:rPr>
          <w:color w:val="000000" w:themeColor="text1"/>
          <w:szCs w:val="20"/>
        </w:rPr>
        <w:t>A,C</w:t>
      </w:r>
      <w:proofErr w:type="gramEnd"/>
      <w:r w:rsidRPr="005629D6">
        <w:rPr>
          <w:color w:val="000000" w:themeColor="text1"/>
          <w:szCs w:val="20"/>
        </w:rPr>
        <w:t>) and 4-ethylacetopheone (B,D) shown. For clarity, only side chains of residues are displayed.</w:t>
      </w:r>
    </w:p>
    <w:p w14:paraId="436615C4" w14:textId="77287BE4" w:rsidR="000750C6" w:rsidRPr="005629D6" w:rsidRDefault="00422E68" w:rsidP="00551859">
      <w:pPr>
        <w:rPr>
          <w:noProof/>
        </w:rPr>
      </w:pPr>
      <w:r w:rsidRPr="005629D6">
        <w:rPr>
          <w:rFonts w:cstheme="minorHAnsi"/>
        </w:rPr>
        <w:t xml:space="preserve">Other </w:t>
      </w:r>
      <w:proofErr w:type="spellStart"/>
      <w:r w:rsidRPr="005629D6">
        <w:rPr>
          <w:rFonts w:cstheme="minorHAnsi"/>
        </w:rPr>
        <w:t>electrophysiologically</w:t>
      </w:r>
      <w:proofErr w:type="spellEnd"/>
      <w:r w:rsidRPr="005629D6">
        <w:rPr>
          <w:rFonts w:cstheme="minorHAnsi"/>
        </w:rPr>
        <w:t xml:space="preserve"> active ligands appear to bind in multiple different sites. </w:t>
      </w:r>
      <w:r w:rsidR="00620921" w:rsidRPr="005629D6">
        <w:rPr>
          <w:rFonts w:cstheme="minorHAnsi"/>
        </w:rPr>
        <w:t>The a</w:t>
      </w:r>
      <w:r w:rsidRPr="005629D6">
        <w:rPr>
          <w:rFonts w:cstheme="minorHAnsi"/>
        </w:rPr>
        <w:t>lcohols (</w:t>
      </w:r>
      <w:r w:rsidRPr="005629D6">
        <w:rPr>
          <w:i/>
          <w:iCs/>
        </w:rPr>
        <w:t>S</w:t>
      </w:r>
      <w:r w:rsidRPr="005629D6">
        <w:t>)-</w:t>
      </w:r>
      <w:r w:rsidRPr="005629D6">
        <w:rPr>
          <w:i/>
          <w:iCs/>
        </w:rPr>
        <w:t>cis</w:t>
      </w:r>
      <w:r w:rsidRPr="005629D6">
        <w:t xml:space="preserve">-verbenol and (-)-borneol, for example, appear to form polar bonds between their hydroxyl group and Lys153 or Arg61 and Leu154, respectively (Figure </w:t>
      </w:r>
      <w:r w:rsidR="00E7157A" w:rsidRPr="005629D6">
        <w:t>5</w:t>
      </w:r>
      <w:r w:rsidRPr="005629D6">
        <w:t xml:space="preserve">). The other volatiles either bound in one of these sites or elsewhere </w:t>
      </w:r>
      <w:r w:rsidRPr="005629D6">
        <w:rPr>
          <w:i/>
          <w:iCs/>
        </w:rPr>
        <w:t>via</w:t>
      </w:r>
      <w:r w:rsidRPr="005629D6">
        <w:t xml:space="preserve"> mainly hydrophobic interactions with residues found in extra cellular loop 2 (EL2 - Va163, Leu64, Phe165, Trp166, Pro167).</w:t>
      </w:r>
      <w:r w:rsidR="00652E8B" w:rsidRPr="005629D6">
        <w:rPr>
          <w:noProof/>
        </w:rPr>
        <w:t xml:space="preserve"> </w:t>
      </w:r>
    </w:p>
    <w:p w14:paraId="6725DA1A" w14:textId="78BF35D3" w:rsidR="009E70FC" w:rsidRPr="005629D6" w:rsidRDefault="001A4A9F" w:rsidP="009E70FC">
      <w:pPr>
        <w:jc w:val="center"/>
        <w:rPr>
          <w:szCs w:val="20"/>
        </w:rPr>
      </w:pPr>
      <w:r w:rsidRPr="005629D6">
        <w:rPr>
          <w:b/>
          <w:bCs/>
          <w:noProof/>
          <w:szCs w:val="20"/>
        </w:rPr>
        <w:drawing>
          <wp:inline distT="0" distB="0" distL="0" distR="0" wp14:anchorId="5A80C82D" wp14:editId="6B291CB1">
            <wp:extent cx="5731510" cy="3547745"/>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31510" cy="3547745"/>
                    </a:xfrm>
                    <a:prstGeom prst="rect">
                      <a:avLst/>
                    </a:prstGeom>
                  </pic:spPr>
                </pic:pic>
              </a:graphicData>
            </a:graphic>
          </wp:inline>
        </w:drawing>
      </w:r>
      <w:r w:rsidR="009E70FC" w:rsidRPr="005629D6">
        <w:rPr>
          <w:b/>
          <w:bCs/>
          <w:szCs w:val="20"/>
        </w:rPr>
        <w:t>Figure 5:</w:t>
      </w:r>
      <w:r w:rsidR="009E70FC" w:rsidRPr="005629D6">
        <w:rPr>
          <w:szCs w:val="20"/>
        </w:rPr>
        <w:t xml:space="preserve"> Two additional binding sites of ApisOR4, with both (-)-borneol interacting </w:t>
      </w:r>
      <w:r w:rsidR="009E70FC" w:rsidRPr="005629D6">
        <w:rPr>
          <w:i/>
          <w:iCs/>
          <w:szCs w:val="20"/>
        </w:rPr>
        <w:t>via</w:t>
      </w:r>
      <w:r w:rsidR="009E70FC" w:rsidRPr="005629D6">
        <w:rPr>
          <w:szCs w:val="20"/>
        </w:rPr>
        <w:t xml:space="preserve"> hydrogen bonds with Leu154 and Arg61 (A), and (</w:t>
      </w:r>
      <w:r w:rsidR="009E70FC" w:rsidRPr="005629D6">
        <w:rPr>
          <w:i/>
          <w:iCs/>
          <w:szCs w:val="20"/>
        </w:rPr>
        <w:t>S</w:t>
      </w:r>
      <w:r w:rsidR="009E70FC" w:rsidRPr="005629D6">
        <w:rPr>
          <w:szCs w:val="20"/>
        </w:rPr>
        <w:t>)-cis-verbenol interacting with Lys153 (B). The conserved binding sites of ApisOR4, with key residues marked with asterisks (*) (C)</w:t>
      </w:r>
    </w:p>
    <w:p w14:paraId="3AC9FB60" w14:textId="27067DAE" w:rsidR="00422E68" w:rsidRPr="005629D6" w:rsidRDefault="00422E68" w:rsidP="00422E68">
      <w:r w:rsidRPr="005629D6">
        <w:t xml:space="preserve">The critical aromatic binding site (Phe53, Phe83, His161 and Trp166), in addition to the other key residues identified (Lys153, Leu154 and EL2) are all high conserved across </w:t>
      </w:r>
      <w:r w:rsidR="002C2D33" w:rsidRPr="005629D6">
        <w:t>Apis</w:t>
      </w:r>
      <w:r w:rsidRPr="005629D6">
        <w:t xml:space="preserve">OR4 and OR4-like proteins in aphid species. All except Phe53, at 50% conservation, and Phe83, at 87.5 %, are 100% conserved across the corresponding proteins in different eight aphid species (Figure </w:t>
      </w:r>
      <w:r w:rsidR="00E7157A" w:rsidRPr="005629D6">
        <w:t>5</w:t>
      </w:r>
      <w:r w:rsidRPr="005629D6">
        <w:t xml:space="preserve">). One hypothesis for this high conservation is that many </w:t>
      </w:r>
      <w:proofErr w:type="gramStart"/>
      <w:r w:rsidRPr="005629D6">
        <w:t>aphid</w:t>
      </w:r>
      <w:proofErr w:type="gramEnd"/>
      <w:r w:rsidRPr="005629D6">
        <w:t xml:space="preserve"> species feed on the same or similar host plants and would </w:t>
      </w:r>
      <w:r w:rsidR="00084DAE" w:rsidRPr="005629D6">
        <w:t xml:space="preserve">therefore </w:t>
      </w:r>
      <w:r w:rsidRPr="005629D6">
        <w:t xml:space="preserve">be expected to detect the same volatile compounds. The most divergent protein was for the </w:t>
      </w:r>
      <w:r w:rsidR="008E7ECA" w:rsidRPr="005629D6">
        <w:t xml:space="preserve">yellow sugarcane aphids, </w:t>
      </w:r>
      <w:proofErr w:type="spellStart"/>
      <w:r w:rsidRPr="005629D6">
        <w:rPr>
          <w:i/>
          <w:iCs/>
        </w:rPr>
        <w:t>Sipha</w:t>
      </w:r>
      <w:proofErr w:type="spellEnd"/>
      <w:r w:rsidRPr="005629D6">
        <w:rPr>
          <w:i/>
          <w:iCs/>
        </w:rPr>
        <w:t xml:space="preserve"> flava </w:t>
      </w:r>
      <w:r w:rsidRPr="005629D6">
        <w:t xml:space="preserve">and </w:t>
      </w:r>
      <w:proofErr w:type="spellStart"/>
      <w:r w:rsidRPr="005629D6">
        <w:rPr>
          <w:i/>
          <w:iCs/>
        </w:rPr>
        <w:t>Melanaphis</w:t>
      </w:r>
      <w:proofErr w:type="spellEnd"/>
      <w:r w:rsidRPr="005629D6">
        <w:rPr>
          <w:i/>
          <w:iCs/>
        </w:rPr>
        <w:t xml:space="preserve"> </w:t>
      </w:r>
      <w:proofErr w:type="spellStart"/>
      <w:r w:rsidRPr="005629D6">
        <w:rPr>
          <w:i/>
          <w:iCs/>
        </w:rPr>
        <w:t>sacchari</w:t>
      </w:r>
      <w:proofErr w:type="spellEnd"/>
      <w:r w:rsidRPr="005629D6">
        <w:t>,</w:t>
      </w:r>
      <w:r w:rsidRPr="005629D6">
        <w:rPr>
          <w:i/>
          <w:iCs/>
        </w:rPr>
        <w:t xml:space="preserve"> </w:t>
      </w:r>
      <w:r w:rsidRPr="005629D6">
        <w:t xml:space="preserve">which </w:t>
      </w:r>
      <w:r w:rsidR="008E7ECA" w:rsidRPr="005629D6">
        <w:t xml:space="preserve">also </w:t>
      </w:r>
      <w:r w:rsidRPr="005629D6">
        <w:t xml:space="preserve">utilise </w:t>
      </w:r>
      <w:r w:rsidRPr="005629D6">
        <w:rPr>
          <w:rFonts w:cstheme="minorHAnsi"/>
          <w:color w:val="222222"/>
          <w:shd w:val="clear" w:color="auto" w:fill="FFFFFF"/>
        </w:rPr>
        <w:t>grasses</w:t>
      </w:r>
      <w:r w:rsidR="008E7ECA" w:rsidRPr="005629D6">
        <w:rPr>
          <w:rFonts w:cstheme="minorHAnsi"/>
          <w:color w:val="222222"/>
          <w:shd w:val="clear" w:color="auto" w:fill="FFFFFF"/>
        </w:rPr>
        <w:t xml:space="preserve"> (</w:t>
      </w:r>
      <w:proofErr w:type="spellStart"/>
      <w:r w:rsidR="008E7ECA" w:rsidRPr="005629D6">
        <w:rPr>
          <w:rFonts w:cstheme="minorHAnsi"/>
          <w:color w:val="222222"/>
          <w:shd w:val="clear" w:color="auto" w:fill="FFFFFF"/>
        </w:rPr>
        <w:t>Poaceae</w:t>
      </w:r>
      <w:proofErr w:type="spellEnd"/>
      <w:r w:rsidR="008E7ECA" w:rsidRPr="005629D6">
        <w:rPr>
          <w:rFonts w:cstheme="minorHAnsi"/>
          <w:color w:val="222222"/>
          <w:shd w:val="clear" w:color="auto" w:fill="FFFFFF"/>
        </w:rPr>
        <w:t>) as host plants</w:t>
      </w:r>
      <w:r w:rsidRPr="005629D6">
        <w:rPr>
          <w:rFonts w:cstheme="minorHAnsi"/>
          <w:color w:val="222222"/>
          <w:shd w:val="clear" w:color="auto" w:fill="FFFFFF"/>
        </w:rPr>
        <w:t>.</w:t>
      </w:r>
      <w:r w:rsidRPr="005629D6">
        <w:rPr>
          <w:rFonts w:cstheme="minorHAnsi"/>
          <w:i/>
          <w:iCs/>
          <w:color w:val="222222"/>
          <w:shd w:val="clear" w:color="auto" w:fill="FFFFFF"/>
        </w:rPr>
        <w:fldChar w:fldCharType="begin" w:fldLock="1"/>
      </w:r>
      <w:r w:rsidR="00E03828" w:rsidRPr="005629D6">
        <w:rPr>
          <w:rFonts w:cstheme="minorHAnsi"/>
          <w:i/>
          <w:iCs/>
          <w:color w:val="222222"/>
          <w:shd w:val="clear" w:color="auto" w:fill="FFFFFF"/>
        </w:rPr>
        <w:instrText>ADDIN CSL_CITATION {"citationItems":[{"id":"ITEM-1","itemData":{"DOI":"10.1046/j.1570-7458.2002.00964.x","ISSN":"0013-8703","abstract":"Induced plant responses may affect the behaviour and growth of the attacking herbivore insect. The aphid Sipha flava (Forbes) produces reddish spots on the infested leaf of its host plant Sorghum halepense (L.). In order to assess the consequences on the aphid of this presumptive induced plant response, we studied the feeding behaviour and growth of S. flava on previously infested and non-infested leaves of S. halepense. Considering that the reddish pigment could play a defensive role, its effect on aphid survival was determined in artificial diets. In addition, changes in the histology of the leaf and the chemical nature of the induced pigment were also studied. Aphids devoted a significantly shorter total time to non-penetration activities in infested than in non-infested leaves. Time before the first phloem ingestion tended to be shorter in infested leaves. The mean relative growth rate of S. flava nymphs was significantly higher on infested than on non-infested leaves. Survival of aphids on diet containing the reddish extract was not significantly different from that on the control diet. Infestation of S. halepense by S. flava produced a reddish coloration in the leaf, which was identified as an anthocyanin by UV-visible spectrometry. Light microscopy showed that only mesophyll cells of previously infested plants presented swelled, dispersed, and heterogeneously stained chloroplasts with a higher accumulation of starch granules, no grana arranged in stacks, and reduction in the amount of inner membranes (thylakoids), relatively to chloroplasts of non-infested leaves. Scanning electron micrographs of leaf surface revealed reduced presence of crystalline epicuticular waxes of epidermal cells in infested leaves as compared to non-infested ones. The main conclusion is that the attack of S. flava to S. halepense leaves induced plant susceptibility where aphid feeding behaviour and growth were both enhanced on previously infested leaves.","author":[{"dropping-particle":"","family":"Gonzales","given":"W.L.","non-dropping-particle":"","parse-names":false,"suffix":""},{"dropping-particle":"","family":"Ramirez","given":"C.C.","non-dropping-particle":"","parse-names":false,"suffix":""},{"dropping-particle":"","family":"Olea","given":"N.","non-dropping-particle":"","parse-names":false,"suffix":""},{"dropping-particle":"","family":"Niemeyer","given":"H.M.","non-dropping-particle":"","parse-names":false,"suffix":""}],"container-title":"Entomologia Experimentalis et Applicata","id":"ITEM-1","issue":"2","issued":{"date-parts":[["2002"]]},"page":"107-113","title":"Host plant changes produced by the aphid Sipha flava: consequences for aphid feeding behaviour and growth","type":"article-journal","volume":"103"},"uris":["http://www.mendeley.com/documents/?uuid=cafe746f-da85-406f-88c5-328975830fd2"]},{"id":"ITEM-2","itemData":{"DOI":"10.1371/journal.pone.0143704","ISSN":"19326203","abstract":"Most aphids are highly specialized on one or two related plant species and generalist species often include sympatric populations adapted to different host plants. Our aim was to test the hypothesis of the existence of host specialized lineages of the aphid Melanaphis sacchari in Reunion Island. To this end, we investigated the genetic diversity of the aphid and its association with host plants by analyzing the effect of wild sorghum Sorghum bicolor subsp. verticilliflorum or sugarcane as host plants on the genetic structuring of populations and by performing laboratory host transfer experiments to detect trade-offs in host use. Genotyping of 31 samples with 10 microsatellite loci enabled identification of 13 multilocus genotypes (MLG). Three of these, Ms11, Ms16 and Ms15, were the most frequent ones. The genetic structure of the populations was linked to the host plants. Ms11 and Ms16 were significantly more frequently observed on sugarcane, while Ms15 was almost exclusively collected in colonies on wild sorghum. Laboratory transfer experiments demonstrated the existence of fitness trade-offs. An Ms11 isofemale lineage performed better on sugarcane than on sorghum, whereas an Ms15 lineage developed very poorly on sugarcane, and two Ms16 lineages showed no significant difference in performances between both hosts. Both field and laboratory results support the existence of host plant specialization in M. sacchari in Reunion Island, despite low genetic differentiation. This study illustrates the ability of asexual aphid lineages to rapidly undergo adaptive changes including shifting from one host plant to another.","author":[{"dropping-particle":"","family":"Nibouche","given":"Samuel","non-dropping-particle":"","parse-names":false,"suffix":""},{"dropping-particle":"","family":"Mississipi","given":"Stelly","non-dropping-particle":"","parse-names":false,"suffix":""},{"dropping-particle":"","family":"Fartek","given":"Benjamin","non-dropping-particle":"","parse-names":false,"suffix":""},{"dropping-particle":"","family":"Delatte","given":"Hélène","non-dropping-particle":"","parse-names":false,"suffix":""},{"dropping-particle":"","family":"Reynaud","given":"Bernard","non-dropping-particle":"","parse-names":false,"suffix":""},{"dropping-particle":"","family":"Costet","given":"Laurent","non-dropping-particle":"","parse-names":false,"suffix":""}],"container-title":"PLoS ONE","id":"ITEM-2","issue":"11","issued":{"date-parts":[["2015"]]},"page":"1-13","title":"Host plant specialization in the sugarcane aphid melanaphis sacchari","type":"article-journal","volume":"10"},"uris":["http://www.mendeley.com/documents/?uuid=d35e110c-1678-459a-a3be-f4686c927eaf"]}],"mendeley":{"formattedCitation":"&lt;sup&gt;66,67&lt;/sup&gt;","plainTextFormattedCitation":"66,67","previouslyFormattedCitation":"&lt;sup&gt;66,67&lt;/sup&gt;"},"properties":{"noteIndex":0},"schema":"https://github.com/citation-style-language/schema/raw/master/csl-citation.json"}</w:instrText>
      </w:r>
      <w:r w:rsidRPr="005629D6">
        <w:rPr>
          <w:rFonts w:cstheme="minorHAnsi"/>
          <w:i/>
          <w:iCs/>
          <w:color w:val="222222"/>
          <w:shd w:val="clear" w:color="auto" w:fill="FFFFFF"/>
        </w:rPr>
        <w:fldChar w:fldCharType="separate"/>
      </w:r>
      <w:r w:rsidR="009F2217" w:rsidRPr="005629D6">
        <w:rPr>
          <w:rFonts w:cstheme="minorHAnsi"/>
          <w:iCs/>
          <w:noProof/>
          <w:color w:val="222222"/>
          <w:shd w:val="clear" w:color="auto" w:fill="FFFFFF"/>
          <w:vertAlign w:val="superscript"/>
        </w:rPr>
        <w:t>66,67</w:t>
      </w:r>
      <w:r w:rsidRPr="005629D6">
        <w:rPr>
          <w:rFonts w:cstheme="minorHAnsi"/>
          <w:i/>
          <w:iCs/>
          <w:color w:val="222222"/>
          <w:shd w:val="clear" w:color="auto" w:fill="FFFFFF"/>
        </w:rPr>
        <w:fldChar w:fldCharType="end"/>
      </w:r>
      <w:r w:rsidRPr="005629D6">
        <w:rPr>
          <w:rFonts w:cstheme="minorHAnsi"/>
          <w:i/>
          <w:iCs/>
          <w:color w:val="222222"/>
          <w:shd w:val="clear" w:color="auto" w:fill="FFFFFF"/>
        </w:rPr>
        <w:t xml:space="preserve"> </w:t>
      </w:r>
      <w:r w:rsidRPr="005629D6">
        <w:t>The proline</w:t>
      </w:r>
      <w:r w:rsidR="008E7ECA" w:rsidRPr="005629D6">
        <w:t xml:space="preserve"> residue</w:t>
      </w:r>
      <w:r w:rsidRPr="005629D6">
        <w:t xml:space="preserve"> found in </w:t>
      </w:r>
      <w:r w:rsidR="008E7ECA" w:rsidRPr="005629D6">
        <w:t>Apis</w:t>
      </w:r>
      <w:r w:rsidRPr="005629D6">
        <w:t xml:space="preserve">OR4 at position 167 is highly conserved across many insect </w:t>
      </w:r>
      <w:r w:rsidR="008E7ECA" w:rsidRPr="005629D6">
        <w:t>ORs</w:t>
      </w:r>
      <w:r w:rsidRPr="005629D6">
        <w:t>, and is predicted to be important for binding of ligands to ORs, often forming part of a much larger, well-defined binding site.</w:t>
      </w:r>
      <w:r w:rsidRPr="005629D6">
        <w:fldChar w:fldCharType="begin" w:fldLock="1"/>
      </w:r>
      <w:r w:rsidR="000D52F2" w:rsidRPr="005629D6">
        <w:instrText>ADDIN CSL_CITATION {"citationItems":[{"id":"ITEM-1","itemData":{"DOI":"10.3389/fncel.2019.00134","ISSN":"16625102","abstract":"Chemical signaling is ubiquitous and employs a variety of receptor types to detect the cacophony of molecules relevant for each living organism. Insects, our most diverse taxon, have evolved unique olfactory receptors with as little as 10% sequence identity between receptor types. We have identified a promiscuous volatile, 2-methyltetrahydro-3-furanone (coffee furanone), that elicits chemosensory and behavioral activity across multiple insect orders and receptors. In vivo and in vitro physiology showed that coffee furanone was detected by roughly 80% of the recorded neurons expressing the insect-specific olfactory receptor complex in the antenna of Drosophila melanogaster, at concentrations similar to other known, and less promiscuous, ligands. Neurons expressing specialized receptors, other chemoreceptor types, or mutants lacking the complex entirely did not respond to this compound. This indicates that coffee furanone is a promiscuous ligand for the insect olfactory receptor complex itself and did not induce non-specific cellular responses. In addition, we present homology modeling and docking studies with selected olfactory receptors that suggest conserved interaction regions for both coffee furanone and known ligands. Apart from its physiological activity, this known food additive elicits a behavioral response for several insects, including mosquitoes, flies, and cockroaches. A broad-scale behaviorally active molecule non-toxic to humans thus has significant implications for health and agriculture. Coffee furanone serves as a unique tool to unlock molecular, physiological, and behavioral relationships across this diverse receptor family and animal taxa.","author":[{"dropping-particle":"","family":"Batra","given":"Srishti","non-dropping-particle":"","parse-names":false,"suffix":""},{"dropping-particle":"","family":"Corcoran","given":"Jacob","non-dropping-particle":"","parse-names":false,"suffix":""},{"dropping-particle":"","family":"Zhang","given":"Dan Dan","non-dropping-particle":"","parse-names":false,"suffix":""},{"dropping-particle":"","family":"Pal","given":"Pramit","non-dropping-particle":"","parse-names":false,"suffix":""},{"dropping-particle":"","family":"Umesh","given":"K. P.","non-dropping-particle":"","parse-names":false,"suffix":""},{"dropping-particle":"","family":"Kulkarni","given":"Renuka","non-dropping-particle":"","parse-names":false,"suffix":""},{"dropping-particle":"","family":"Löfstedt","given":"Christer","non-dropping-particle":"","parse-names":false,"suffix":""},{"dropping-particle":"","family":"Sowdhamini","given":"Ramanathan","non-dropping-particle":"","parse-names":false,"suffix":""},{"dropping-particle":"","family":"Olsson","given":"Shannon B.","non-dropping-particle":"","parse-names":false,"suffix":""}],"container-title":"Frontiers in Cellular Neuroscience","id":"ITEM-1","issue":"April","issued":{"date-parts":[["2019"]]},"page":"1-13","title":"A functional agonist of insect olfactory receptors: Behavior, physiology and structure","type":"article-journal","volume":"13"},"uris":["http://www.mendeley.com/documents/?uuid=c84d31e1-54f8-4b5e-bb04-55e733675bb1"]}],"mendeley":{"formattedCitation":"&lt;sup&gt;23&lt;/sup&gt;","plainTextFormattedCitation":"23","previouslyFormattedCitation":"&lt;sup&gt;23&lt;/sup&gt;"},"properties":{"noteIndex":0},"schema":"https://github.com/citation-style-language/schema/raw/master/csl-citation.json"}</w:instrText>
      </w:r>
      <w:r w:rsidRPr="005629D6">
        <w:fldChar w:fldCharType="separate"/>
      </w:r>
      <w:r w:rsidR="002F2ECE" w:rsidRPr="005629D6">
        <w:rPr>
          <w:noProof/>
          <w:vertAlign w:val="superscript"/>
        </w:rPr>
        <w:t>23</w:t>
      </w:r>
      <w:r w:rsidRPr="005629D6">
        <w:fldChar w:fldCharType="end"/>
      </w:r>
      <w:r w:rsidRPr="005629D6">
        <w:t xml:space="preserve"> For </w:t>
      </w:r>
      <w:r w:rsidR="008E7ECA" w:rsidRPr="005629D6">
        <w:t>Apis</w:t>
      </w:r>
      <w:r w:rsidRPr="005629D6">
        <w:t xml:space="preserve">OR4, Pro167 forms part of one of the predicted binding sites and can be found on extra cellular loop 2. </w:t>
      </w:r>
    </w:p>
    <w:p w14:paraId="0ADCFD07" w14:textId="6607203E" w:rsidR="00422E68" w:rsidRPr="005629D6" w:rsidRDefault="00422E68" w:rsidP="00422E68">
      <w:r w:rsidRPr="005629D6">
        <w:lastRenderedPageBreak/>
        <w:t xml:space="preserve">In addition to the </w:t>
      </w:r>
      <w:proofErr w:type="spellStart"/>
      <w:r w:rsidRPr="005629D6">
        <w:t>electrophysiologically</w:t>
      </w:r>
      <w:proofErr w:type="spellEnd"/>
      <w:r w:rsidRPr="005629D6">
        <w:t xml:space="preserve"> active plant volatiles, a range of other compounds were screened against </w:t>
      </w:r>
      <w:r w:rsidR="0085328F" w:rsidRPr="005629D6">
        <w:t>Apis</w:t>
      </w:r>
      <w:r w:rsidRPr="005629D6">
        <w:t>OR4</w:t>
      </w:r>
      <w:r w:rsidR="0085328F" w:rsidRPr="005629D6">
        <w:t>,</w:t>
      </w:r>
      <w:r w:rsidRPr="005629D6">
        <w:t xml:space="preserve"> includ</w:t>
      </w:r>
      <w:r w:rsidR="0085328F" w:rsidRPr="005629D6">
        <w:t>ing</w:t>
      </w:r>
      <w:r w:rsidRPr="005629D6">
        <w:t xml:space="preserve"> the aphid sex pheromone components, (4a</w:t>
      </w:r>
      <w:r w:rsidRPr="005629D6">
        <w:rPr>
          <w:i/>
          <w:iCs/>
        </w:rPr>
        <w:t>S</w:t>
      </w:r>
      <w:r w:rsidRPr="005629D6">
        <w:t>,7</w:t>
      </w:r>
      <w:r w:rsidRPr="005629D6">
        <w:rPr>
          <w:i/>
          <w:iCs/>
        </w:rPr>
        <w:t>S</w:t>
      </w:r>
      <w:r w:rsidRPr="005629D6">
        <w:t>,7aR)-nepetalactone and (1</w:t>
      </w:r>
      <w:r w:rsidRPr="005629D6">
        <w:rPr>
          <w:i/>
          <w:iCs/>
        </w:rPr>
        <w:t>R</w:t>
      </w:r>
      <w:r w:rsidRPr="005629D6">
        <w:t>,4a</w:t>
      </w:r>
      <w:r w:rsidRPr="005629D6">
        <w:rPr>
          <w:i/>
          <w:iCs/>
        </w:rPr>
        <w:t>S</w:t>
      </w:r>
      <w:r w:rsidRPr="005629D6">
        <w:t>,7</w:t>
      </w:r>
      <w:r w:rsidRPr="005629D6">
        <w:rPr>
          <w:i/>
          <w:iCs/>
        </w:rPr>
        <w:t>S</w:t>
      </w:r>
      <w:r w:rsidRPr="005629D6">
        <w:t>,7a</w:t>
      </w:r>
      <w:r w:rsidRPr="005629D6">
        <w:rPr>
          <w:i/>
          <w:iCs/>
        </w:rPr>
        <w:t>R</w:t>
      </w:r>
      <w:r w:rsidRPr="005629D6">
        <w:t>)-</w:t>
      </w:r>
      <w:proofErr w:type="spellStart"/>
      <w:r w:rsidRPr="005629D6">
        <w:t>nepetalactol</w:t>
      </w:r>
      <w:proofErr w:type="spellEnd"/>
      <w:r w:rsidRPr="005629D6">
        <w:t xml:space="preserve">. </w:t>
      </w:r>
      <w:r w:rsidR="0085328F" w:rsidRPr="005629D6">
        <w:t>Apis</w:t>
      </w:r>
      <w:r w:rsidRPr="005629D6">
        <w:t>OR4 had predicted interactions with both the sex pheromone components, with (1</w:t>
      </w:r>
      <w:r w:rsidRPr="005629D6">
        <w:rPr>
          <w:i/>
          <w:iCs/>
        </w:rPr>
        <w:t>R</w:t>
      </w:r>
      <w:r w:rsidRPr="005629D6">
        <w:t>,4a</w:t>
      </w:r>
      <w:r w:rsidRPr="005629D6">
        <w:rPr>
          <w:i/>
          <w:iCs/>
        </w:rPr>
        <w:t>S</w:t>
      </w:r>
      <w:r w:rsidRPr="005629D6">
        <w:t>,7</w:t>
      </w:r>
      <w:r w:rsidRPr="005629D6">
        <w:rPr>
          <w:i/>
          <w:iCs/>
        </w:rPr>
        <w:t>S</w:t>
      </w:r>
      <w:r w:rsidRPr="005629D6">
        <w:t>,7a</w:t>
      </w:r>
      <w:r w:rsidRPr="005629D6">
        <w:rPr>
          <w:i/>
          <w:iCs/>
        </w:rPr>
        <w:t>R</w:t>
      </w:r>
      <w:r w:rsidRPr="005629D6">
        <w:t>)-</w:t>
      </w:r>
      <w:proofErr w:type="spellStart"/>
      <w:r w:rsidRPr="005629D6">
        <w:t>nepetalactol</w:t>
      </w:r>
      <w:proofErr w:type="spellEnd"/>
      <w:r w:rsidRPr="005629D6">
        <w:t xml:space="preserve"> binding with a particularly low </w:t>
      </w:r>
      <w:r w:rsidRPr="005629D6">
        <w:rPr>
          <w:i/>
          <w:iCs/>
        </w:rPr>
        <w:t>K</w:t>
      </w:r>
      <w:r w:rsidRPr="005629D6">
        <w:rPr>
          <w:i/>
          <w:iCs/>
          <w:vertAlign w:val="subscript"/>
        </w:rPr>
        <w:t>i</w:t>
      </w:r>
      <w:r w:rsidRPr="005629D6">
        <w:t xml:space="preserve"> of 1.</w:t>
      </w:r>
      <w:r w:rsidR="00F25D2A" w:rsidRPr="005629D6">
        <w:t>8</w:t>
      </w:r>
      <w:r w:rsidRPr="005629D6">
        <w:t xml:space="preserve"> </w:t>
      </w:r>
      <w:r w:rsidRPr="005629D6">
        <w:rPr>
          <w:rFonts w:cstheme="minorHAnsi"/>
        </w:rPr>
        <w:t>µ</w:t>
      </w:r>
      <w:r w:rsidRPr="005629D6">
        <w:t>M</w:t>
      </w:r>
      <w:r w:rsidR="000C242E" w:rsidRPr="005629D6">
        <w:t xml:space="preserve"> (Supplementary Data Table S3)</w:t>
      </w:r>
      <w:r w:rsidRPr="005629D6">
        <w:t xml:space="preserve">. These predicted interactions suggest </w:t>
      </w:r>
      <w:r w:rsidR="0085328F" w:rsidRPr="005629D6">
        <w:t>Apis</w:t>
      </w:r>
      <w:r w:rsidRPr="005629D6">
        <w:t xml:space="preserve">OR4 is a broadly tuned receptor with limited specificity. Studies observing these interactions </w:t>
      </w:r>
      <w:r w:rsidRPr="005629D6">
        <w:rPr>
          <w:i/>
          <w:iCs/>
        </w:rPr>
        <w:t>in vitro</w:t>
      </w:r>
      <w:r w:rsidRPr="005629D6">
        <w:t xml:space="preserve"> have not yet been conducted, but these results could be used to direct mutagenesis experiments. Furthermore, the presence of multiple binding sites in </w:t>
      </w:r>
      <w:r w:rsidR="0085328F" w:rsidRPr="005629D6">
        <w:t>Apis</w:t>
      </w:r>
      <w:r w:rsidRPr="005629D6">
        <w:t>OR4 suggests that binding site location may be more critical than the specific kinetics</w:t>
      </w:r>
      <w:r w:rsidR="008E7ECA" w:rsidRPr="005629D6">
        <w:t xml:space="preserve"> as</w:t>
      </w:r>
      <w:r w:rsidRPr="005629D6">
        <w:t xml:space="preserve"> the three compounds with the highest response levels were all predicted to bind in the same site.</w:t>
      </w:r>
      <w:r w:rsidR="00084DAE" w:rsidRPr="005629D6">
        <w:t xml:space="preserve"> Multiple binding sites in ORs have been suggested by functional and structural studies.</w:t>
      </w:r>
      <w:r w:rsidR="00084DAE" w:rsidRPr="005629D6">
        <w:fldChar w:fldCharType="begin" w:fldLock="1"/>
      </w:r>
      <w:r w:rsidR="00E03828" w:rsidRPr="005629D6">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receptors","type":"article-journal"},"uris":["http://www.mendeley.com/documents/?uuid=2dec9e12-4bd0-4f9d-97b9-f4ca47b69bef"]},{"id":"ITEM-2","itemData":{"DOI":"10.1074/jbc.RA120.016557","ISSN":"1083351X","PMID":"33298524","abstract":"Odorant-dependent behaviors in insects are triggered by the binding of odorant ligands to the variable subunits of hetero meric olfactory receptors. Previous studies have shown, how ever, that specific odor binding to ORco, the common subunit of odorant receptor heteromers, may allosterically alter olfac tory receptor function and profoundly affect subsequent behavioral responses. Using an insect cell-based screening platform, we identified and characterized several antagonists of the odorant receptor coreceptor of the African malaria vector Anopheles gambiae (AgamORco) in a small collection of nat ural volatile organic compounds. Because some of the identi fied antagonists were previously shown to strongly repel Anopheles and Culex mosquitoes, we examined the bio activities of the identified antagonists against Aedes, the third major genus of the Culicidae family. The tested antagonists inhibited the function of Ae. aegypti ORco ex vivo and repelled adult Asian tiger mosquitoes (Ae. albopictus). Binary mixtures of specific antagonists elicited higher repellency than single antagonists, and binding competition assays suggested that this enhanced repellence is due to antagonist interaction with distinct ORco sites. Our results also suggest that the enhanced mosquito repellency by antagonist mixtures is due to additive rather than synergistic effects of the specific antagonist com binations on ORco function. Taken together, these findings provide novel insights concerning the molecular aspects of odorant receptor function. Moreover, our results demonstrate that a simple screening assay may be used for the identification of allosteric modifiers of olfactory-driven behaviors capable of providing enhanced personal protection against multiple mosquito-borne infectious diseases.","author":[{"dropping-particle":"","family":"Kythreoti","given":"Georgia","non-dropping-particle":"","parse-names":false,"suffix":""},{"dropping-particle":"","family":"Sdralia","given":"Nadia","non-dropping-particle":"","parse-names":false,"suffix":""},{"dropping-particle":"","family":"Tsitoura","given":"Panagiota","non-dropping-particle":"","parse-names":false,"suffix":""},{"dropping-particle":"","family":"Papachristos","given":"Dimitrios P.","non-dropping-particle":"","parse-names":false,"suffix":""},{"dropping-particle":"","family":"Michaelakis","given":"Antonios","non-dropping-particle":"","parse-names":false,"suffix":""},{"dropping-particle":"","family":"Karras","given":"Vasileios","non-dropping-particle":"","parse-names":false,"suffix":""},{"dropping-particle":"","family":"Ruel","given":"David M.","non-dropping-particle":"","parse-names":false,"suffix":""},{"dropping-particle":"","family":"Yakir","given":"Esther","non-dropping-particle":"","parse-names":false,"suffix":""},{"dropping-particle":"","family":"Bohbot","given":"Jonathan D.","non-dropping-particle":"","parse-names":false,"suffix":""},{"dropping-particle":"","family":"Schulz","given":"Stefan","non-dropping-particle":"","parse-names":false,"suffix":""},{"dropping-particle":"","family":"Iatrou","given":"Kostas","non-dropping-particle":"","parse-names":false,"suffix":""}],"container-title":"Journal of Biological Chemistry","id":"ITEM-2","issued":{"date-parts":[["2021"]]},"page":"100172","publisher":"Elsevier B.V","title":"Volatile allosteric antagonists of mosquito odorant receptors inhibit human-host attraction","type":"article-journal","volume":"296"},"uris":["http://www.mendeley.com/documents/?uuid=a6a13b90-4cc4-44bd-9a38-4aad2fcbad85"]}],"mendeley":{"formattedCitation":"&lt;sup&gt;18,68&lt;/sup&gt;","plainTextFormattedCitation":"18,68","previouslyFormattedCitation":"&lt;sup&gt;18,68&lt;/sup&gt;"},"properties":{"noteIndex":0},"schema":"https://github.com/citation-style-language/schema/raw/master/csl-citation.json"}</w:instrText>
      </w:r>
      <w:r w:rsidR="00084DAE" w:rsidRPr="005629D6">
        <w:fldChar w:fldCharType="separate"/>
      </w:r>
      <w:r w:rsidR="009F2217" w:rsidRPr="005629D6">
        <w:rPr>
          <w:noProof/>
          <w:vertAlign w:val="superscript"/>
        </w:rPr>
        <w:t>18,68</w:t>
      </w:r>
      <w:r w:rsidR="00084DAE" w:rsidRPr="005629D6">
        <w:fldChar w:fldCharType="end"/>
      </w:r>
    </w:p>
    <w:p w14:paraId="0B8354D8" w14:textId="5348B909" w:rsidR="001A4A9F" w:rsidRPr="005629D6" w:rsidRDefault="00B625A5" w:rsidP="009E70FC">
      <w:pPr>
        <w:rPr>
          <w:rFonts w:ascii="Calibri" w:hAnsi="Calibri" w:cs="Calibri"/>
        </w:rPr>
      </w:pPr>
      <w:r w:rsidRPr="005629D6">
        <w:t xml:space="preserve">The aphid alarm pheromone, EBF, has a repellent behavioural effect on aphids. </w:t>
      </w:r>
      <w:r w:rsidR="0085328F" w:rsidRPr="005629D6">
        <w:t>Apis</w:t>
      </w:r>
      <w:r w:rsidRPr="005629D6">
        <w:t xml:space="preserve">OR5 has been shown to be critical in alarm pheromone perception in </w:t>
      </w:r>
      <w:r w:rsidRPr="005629D6">
        <w:rPr>
          <w:i/>
          <w:iCs/>
        </w:rPr>
        <w:t>A. pisum.</w:t>
      </w:r>
      <w:r w:rsidRPr="005629D6">
        <w:rPr>
          <w:i/>
          <w:iCs/>
        </w:rPr>
        <w:fldChar w:fldCharType="begin" w:fldLock="1"/>
      </w:r>
      <w:r w:rsidR="000D52F2" w:rsidRPr="005629D6">
        <w:rPr>
          <w:i/>
          <w:iCs/>
        </w:rPr>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mendeley":{"formattedCitation":"&lt;sup&gt;20&lt;/sup&gt;","plainTextFormattedCitation":"20","previouslyFormattedCitation":"&lt;sup&gt;20&lt;/sup&gt;"},"properties":{"noteIndex":0},"schema":"https://github.com/citation-style-language/schema/raw/master/csl-citation.json"}</w:instrText>
      </w:r>
      <w:r w:rsidRPr="005629D6">
        <w:rPr>
          <w:i/>
          <w:iCs/>
        </w:rPr>
        <w:fldChar w:fldCharType="separate"/>
      </w:r>
      <w:r w:rsidR="002F2ECE" w:rsidRPr="005629D6">
        <w:rPr>
          <w:iCs/>
          <w:noProof/>
          <w:vertAlign w:val="superscript"/>
        </w:rPr>
        <w:t>20</w:t>
      </w:r>
      <w:r w:rsidRPr="005629D6">
        <w:rPr>
          <w:i/>
          <w:iCs/>
        </w:rPr>
        <w:fldChar w:fldCharType="end"/>
      </w:r>
      <w:r w:rsidRPr="005629D6">
        <w:rPr>
          <w:i/>
          <w:iCs/>
        </w:rPr>
        <w:t xml:space="preserve"> </w:t>
      </w:r>
      <w:r w:rsidRPr="005629D6">
        <w:t xml:space="preserve">In addition to </w:t>
      </w:r>
      <w:r w:rsidR="000750C6" w:rsidRPr="005629D6">
        <w:t>EBF</w:t>
      </w:r>
      <w:r w:rsidRPr="005629D6">
        <w:t xml:space="preserve">, </w:t>
      </w:r>
      <w:r w:rsidR="0085328F" w:rsidRPr="005629D6">
        <w:t>Apis</w:t>
      </w:r>
      <w:r w:rsidRPr="005629D6">
        <w:t xml:space="preserve">OR5 has a high electrophysiological response to </w:t>
      </w:r>
      <w:r w:rsidR="0049520B" w:rsidRPr="005629D6">
        <w:t>GA</w:t>
      </w:r>
      <w:r w:rsidRPr="005629D6">
        <w:t>, a behaviourally repellent compound.</w:t>
      </w:r>
      <w:r w:rsidRPr="005629D6">
        <w:rPr>
          <w:i/>
          <w:iCs/>
        </w:rPr>
        <w:fldChar w:fldCharType="begin" w:fldLock="1"/>
      </w:r>
      <w:r w:rsidR="000D52F2" w:rsidRPr="005629D6">
        <w:rPr>
          <w:i/>
          <w:iCs/>
        </w:rPr>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mendeley":{"formattedCitation":"&lt;sup&gt;20&lt;/sup&gt;","plainTextFormattedCitation":"20","previouslyFormattedCitation":"&lt;sup&gt;20&lt;/sup&gt;"},"properties":{"noteIndex":0},"schema":"https://github.com/citation-style-language/schema/raw/master/csl-citation.json"}</w:instrText>
      </w:r>
      <w:r w:rsidRPr="005629D6">
        <w:rPr>
          <w:i/>
          <w:iCs/>
        </w:rPr>
        <w:fldChar w:fldCharType="separate"/>
      </w:r>
      <w:r w:rsidR="002F2ECE" w:rsidRPr="005629D6">
        <w:rPr>
          <w:iCs/>
          <w:noProof/>
          <w:vertAlign w:val="superscript"/>
        </w:rPr>
        <w:t>20</w:t>
      </w:r>
      <w:r w:rsidRPr="005629D6">
        <w:rPr>
          <w:i/>
          <w:iCs/>
        </w:rPr>
        <w:fldChar w:fldCharType="end"/>
      </w:r>
      <w:r w:rsidRPr="005629D6">
        <w:t xml:space="preserve"> It has been suggested that screening of </w:t>
      </w:r>
      <w:r w:rsidR="008E7ECA" w:rsidRPr="005629D6">
        <w:t>Apis</w:t>
      </w:r>
      <w:r w:rsidRPr="005629D6">
        <w:t>OR5 could be used to identify and characterise potentially novel repellent compounds for pest control.</w:t>
      </w:r>
      <w:r w:rsidRPr="005629D6">
        <w:rPr>
          <w:i/>
          <w:iCs/>
        </w:rPr>
        <w:fldChar w:fldCharType="begin" w:fldLock="1"/>
      </w:r>
      <w:r w:rsidR="000D52F2" w:rsidRPr="005629D6">
        <w:rPr>
          <w:i/>
          <w:iCs/>
        </w:rPr>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mendeley":{"formattedCitation":"&lt;sup&gt;20&lt;/sup&gt;","plainTextFormattedCitation":"20","previouslyFormattedCitation":"&lt;sup&gt;20&lt;/sup&gt;"},"properties":{"noteIndex":0},"schema":"https://github.com/citation-style-language/schema/raw/master/csl-citation.json"}</w:instrText>
      </w:r>
      <w:r w:rsidRPr="005629D6">
        <w:rPr>
          <w:i/>
          <w:iCs/>
        </w:rPr>
        <w:fldChar w:fldCharType="separate"/>
      </w:r>
      <w:r w:rsidR="002F2ECE" w:rsidRPr="005629D6">
        <w:rPr>
          <w:iCs/>
          <w:noProof/>
          <w:vertAlign w:val="superscript"/>
        </w:rPr>
        <w:t>20</w:t>
      </w:r>
      <w:r w:rsidRPr="005629D6">
        <w:rPr>
          <w:i/>
          <w:iCs/>
        </w:rPr>
        <w:fldChar w:fldCharType="end"/>
      </w:r>
      <w:r w:rsidR="00620921" w:rsidRPr="005629D6">
        <w:t xml:space="preserve"> </w:t>
      </w:r>
      <w:r w:rsidRPr="005629D6">
        <w:t xml:space="preserve">An interaction between </w:t>
      </w:r>
      <w:r w:rsidR="008E7ECA" w:rsidRPr="005629D6">
        <w:t>Apis</w:t>
      </w:r>
      <w:r w:rsidRPr="005629D6">
        <w:t>OR5 and EBF</w:t>
      </w:r>
      <w:r w:rsidRPr="005629D6">
        <w:rPr>
          <w:b/>
          <w:bCs/>
        </w:rPr>
        <w:t xml:space="preserve"> </w:t>
      </w:r>
      <w:r w:rsidRPr="005629D6">
        <w:t>was predicted with a low energy (</w:t>
      </w:r>
      <w:r w:rsidRPr="005629D6">
        <w:rPr>
          <w:rFonts w:cstheme="minorHAnsi"/>
          <w:i/>
          <w:iCs/>
        </w:rPr>
        <w:t>K</w:t>
      </w:r>
      <w:r w:rsidRPr="005629D6">
        <w:rPr>
          <w:rFonts w:cstheme="minorHAnsi"/>
          <w:i/>
          <w:iCs/>
          <w:vertAlign w:val="subscript"/>
        </w:rPr>
        <w:t>i</w:t>
      </w:r>
      <w:r w:rsidRPr="005629D6">
        <w:rPr>
          <w:rFonts w:cstheme="minorHAnsi"/>
          <w:vertAlign w:val="subscript"/>
        </w:rPr>
        <w:t xml:space="preserve"> </w:t>
      </w:r>
      <w:r w:rsidRPr="005629D6">
        <w:rPr>
          <w:rFonts w:cstheme="minorHAnsi"/>
        </w:rPr>
        <w:t xml:space="preserve">of </w:t>
      </w:r>
      <w:r w:rsidRPr="005629D6">
        <w:t xml:space="preserve">2.6 </w:t>
      </w:r>
      <w:r w:rsidRPr="005629D6">
        <w:rPr>
          <w:rFonts w:cstheme="minorHAnsi"/>
        </w:rPr>
        <w:t>µ</w:t>
      </w:r>
      <w:r w:rsidRPr="005629D6">
        <w:t>M) and a strong interaction (-7.6 kcal mol</w:t>
      </w:r>
      <w:r w:rsidRPr="005629D6">
        <w:rPr>
          <w:vertAlign w:val="superscript"/>
        </w:rPr>
        <w:t>-1</w:t>
      </w:r>
      <w:r w:rsidRPr="005629D6">
        <w:t xml:space="preserve">). Four key residues have been identified as being critical in this interaction His168, Tyr157, Tyr243 and Phe239 (Figure </w:t>
      </w:r>
      <w:r w:rsidR="00E7157A" w:rsidRPr="005629D6">
        <w:t>6</w:t>
      </w:r>
      <w:r w:rsidRPr="005629D6">
        <w:t xml:space="preserve">). EBF appeared to bind in an electron rich site. This interaction comprises mainly hydrophobic interactions, in addition to </w:t>
      </w:r>
      <w:r w:rsidRPr="005629D6">
        <w:rPr>
          <w:rFonts w:cstheme="minorHAnsi"/>
        </w:rPr>
        <w:t>π-</w:t>
      </w:r>
      <w:r w:rsidRPr="005629D6">
        <w:rPr>
          <w:rFonts w:ascii="Calibri" w:hAnsi="Calibri" w:cs="Calibri"/>
        </w:rPr>
        <w:t xml:space="preserve">π interactions of the unsaturated bonds in EBF, as seen between the various unsaturated bonds and three aromatic residues (Tyr157, </w:t>
      </w:r>
      <w:r w:rsidRPr="005629D6">
        <w:t>Phe239, Tyr243) and His168. The tightest of these interactions appears to be between Tyr157 and the two terminal unsaturated bonds of EBF. Additionally, geranyl acetate was screened due to the observed electrophysiological activity of this compound.</w:t>
      </w:r>
      <w:r w:rsidRPr="005629D6">
        <w:fldChar w:fldCharType="begin" w:fldLock="1"/>
      </w:r>
      <w:r w:rsidR="000D52F2" w:rsidRPr="005629D6">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mendeley":{"formattedCitation":"&lt;sup&gt;20&lt;/sup&gt;","plainTextFormattedCitation":"20","previouslyFormattedCitation":"&lt;sup&gt;20&lt;/sup&gt;"},"properties":{"noteIndex":0},"schema":"https://github.com/citation-style-language/schema/raw/master/csl-citation.json"}</w:instrText>
      </w:r>
      <w:r w:rsidRPr="005629D6">
        <w:fldChar w:fldCharType="separate"/>
      </w:r>
      <w:r w:rsidR="002F2ECE" w:rsidRPr="005629D6">
        <w:rPr>
          <w:noProof/>
          <w:vertAlign w:val="superscript"/>
        </w:rPr>
        <w:t>20</w:t>
      </w:r>
      <w:r w:rsidRPr="005629D6">
        <w:fldChar w:fldCharType="end"/>
      </w:r>
      <w:r w:rsidRPr="005629D6">
        <w:t xml:space="preserve"> </w:t>
      </w:r>
      <w:r w:rsidR="008E7ECA" w:rsidRPr="005629D6">
        <w:t>A</w:t>
      </w:r>
      <w:r w:rsidRPr="005629D6">
        <w:t xml:space="preserve"> weaker interaction with </w:t>
      </w:r>
      <w:r w:rsidR="0085328F" w:rsidRPr="005629D6">
        <w:t>Apis</w:t>
      </w:r>
      <w:r w:rsidRPr="005629D6">
        <w:t>OR5 (</w:t>
      </w:r>
      <w:r w:rsidRPr="005629D6">
        <w:noBreakHyphen/>
        <w:t>6.4 kcal mol</w:t>
      </w:r>
      <w:r w:rsidRPr="005629D6">
        <w:rPr>
          <w:vertAlign w:val="superscript"/>
        </w:rPr>
        <w:t>-1</w:t>
      </w:r>
      <w:r w:rsidRPr="005629D6">
        <w:t xml:space="preserve">) </w:t>
      </w:r>
      <w:r w:rsidR="00213FD6" w:rsidRPr="005629D6">
        <w:t xml:space="preserve">was predicted </w:t>
      </w:r>
      <w:r w:rsidRPr="005629D6">
        <w:t xml:space="preserve">but bound in a similar site and also presented a </w:t>
      </w:r>
      <w:r w:rsidRPr="005629D6">
        <w:rPr>
          <w:rFonts w:cstheme="minorHAnsi"/>
        </w:rPr>
        <w:t>π-</w:t>
      </w:r>
      <w:r w:rsidRPr="005629D6">
        <w:rPr>
          <w:rFonts w:ascii="Calibri" w:hAnsi="Calibri" w:cs="Calibri"/>
        </w:rPr>
        <w:t>π interaction with His168, in addition to some weaker interactions with residues Phe139 and His134.</w:t>
      </w:r>
    </w:p>
    <w:p w14:paraId="5A1C343B" w14:textId="575FA680" w:rsidR="009E70FC" w:rsidRPr="005629D6" w:rsidRDefault="001A4A9F" w:rsidP="009E70FC">
      <w:pPr>
        <w:rPr>
          <w:rFonts w:ascii="Calibri" w:hAnsi="Calibri" w:cs="Calibri"/>
        </w:rPr>
      </w:pPr>
      <w:r w:rsidRPr="005629D6">
        <w:rPr>
          <w:rFonts w:ascii="Calibri" w:hAnsi="Calibri" w:cs="Calibri"/>
          <w:noProof/>
        </w:rPr>
        <w:drawing>
          <wp:inline distT="0" distB="0" distL="0" distR="0" wp14:anchorId="51362F03" wp14:editId="3FCAA632">
            <wp:extent cx="5731510" cy="2531110"/>
            <wp:effectExtent l="0" t="0" r="0" b="0"/>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5731510" cy="2531110"/>
                    </a:xfrm>
                    <a:prstGeom prst="rect">
                      <a:avLst/>
                    </a:prstGeom>
                  </pic:spPr>
                </pic:pic>
              </a:graphicData>
            </a:graphic>
          </wp:inline>
        </w:drawing>
      </w:r>
    </w:p>
    <w:p w14:paraId="2A084AF9" w14:textId="5AA8F764" w:rsidR="009E70FC" w:rsidRPr="005629D6" w:rsidRDefault="009E70FC" w:rsidP="00780DC1">
      <w:pPr>
        <w:jc w:val="center"/>
        <w:rPr>
          <w:szCs w:val="20"/>
        </w:rPr>
      </w:pPr>
      <w:r w:rsidRPr="005629D6">
        <w:rPr>
          <w:b/>
          <w:bCs/>
          <w:szCs w:val="20"/>
        </w:rPr>
        <w:lastRenderedPageBreak/>
        <w:t>Figure 6:</w:t>
      </w:r>
      <w:r w:rsidRPr="005629D6">
        <w:rPr>
          <w:szCs w:val="20"/>
        </w:rPr>
        <w:t xml:space="preserve"> The aromatic binding site, Tyr157, His168, Phe239 and Tyr243 of ApisOR5</w:t>
      </w:r>
      <w:r w:rsidRPr="005629D6">
        <w:rPr>
          <w:color w:val="000000" w:themeColor="text1"/>
          <w:szCs w:val="20"/>
        </w:rPr>
        <w:t xml:space="preserve">, with the predicted </w:t>
      </w:r>
      <w:r w:rsidRPr="005629D6">
        <w:rPr>
          <w:rFonts w:cstheme="minorHAnsi"/>
          <w:color w:val="000000" w:themeColor="text1"/>
          <w:szCs w:val="20"/>
        </w:rPr>
        <w:t>π-π</w:t>
      </w:r>
      <w:r w:rsidRPr="005629D6">
        <w:rPr>
          <w:color w:val="000000" w:themeColor="text1"/>
          <w:szCs w:val="20"/>
        </w:rPr>
        <w:t xml:space="preserve"> interactions (black) with (</w:t>
      </w:r>
      <w:r w:rsidRPr="005629D6">
        <w:rPr>
          <w:i/>
          <w:iCs/>
          <w:color w:val="000000" w:themeColor="text1"/>
          <w:szCs w:val="20"/>
        </w:rPr>
        <w:t>E</w:t>
      </w:r>
      <w:r w:rsidRPr="005629D6">
        <w:rPr>
          <w:color w:val="000000" w:themeColor="text1"/>
          <w:szCs w:val="20"/>
        </w:rPr>
        <w:t>)-</w:t>
      </w:r>
      <w:r w:rsidRPr="005629D6">
        <w:rPr>
          <w:rFonts w:cstheme="minorHAnsi"/>
          <w:color w:val="000000" w:themeColor="text1"/>
          <w:szCs w:val="20"/>
        </w:rPr>
        <w:t>β</w:t>
      </w:r>
      <w:r w:rsidRPr="005629D6">
        <w:rPr>
          <w:color w:val="000000" w:themeColor="text1"/>
          <w:szCs w:val="20"/>
        </w:rPr>
        <w:t>-</w:t>
      </w:r>
      <w:proofErr w:type="spellStart"/>
      <w:r w:rsidRPr="005629D6">
        <w:rPr>
          <w:color w:val="000000" w:themeColor="text1"/>
          <w:szCs w:val="20"/>
        </w:rPr>
        <w:t>farnesene</w:t>
      </w:r>
      <w:proofErr w:type="spellEnd"/>
      <w:r w:rsidRPr="005629D6">
        <w:rPr>
          <w:color w:val="000000" w:themeColor="text1"/>
          <w:szCs w:val="20"/>
        </w:rPr>
        <w:t xml:space="preserve"> shown (A/B). </w:t>
      </w:r>
      <w:r w:rsidRPr="005629D6">
        <w:rPr>
          <w:szCs w:val="20"/>
        </w:rPr>
        <w:t>The conserved binding site of ApisOR5, with key residues marked with asterisks (*).</w:t>
      </w:r>
    </w:p>
    <w:p w14:paraId="2DED9A7E" w14:textId="122EA00B" w:rsidR="00B625A5" w:rsidRPr="005629D6" w:rsidRDefault="00B625A5" w:rsidP="00B625A5">
      <w:r w:rsidRPr="005629D6">
        <w:t xml:space="preserve">Other aphid </w:t>
      </w:r>
      <w:proofErr w:type="spellStart"/>
      <w:r w:rsidRPr="005629D6">
        <w:t>semiochemicals</w:t>
      </w:r>
      <w:proofErr w:type="spellEnd"/>
      <w:r w:rsidRPr="005629D6">
        <w:t xml:space="preserve"> were screened</w:t>
      </w:r>
      <w:r w:rsidR="0049520B" w:rsidRPr="005629D6">
        <w:t xml:space="preserve"> with ApisOR5</w:t>
      </w:r>
      <w:r w:rsidRPr="005629D6">
        <w:t>, including (</w:t>
      </w:r>
      <w:r w:rsidRPr="005629D6">
        <w:rPr>
          <w:i/>
          <w:iCs/>
        </w:rPr>
        <w:t>S</w:t>
      </w:r>
      <w:r w:rsidRPr="005629D6">
        <w:t>)-germacrene D (SGD</w:t>
      </w:r>
      <w:r w:rsidR="004A6F8C" w:rsidRPr="005629D6">
        <w:t>)</w:t>
      </w:r>
      <w:r w:rsidRPr="005629D6">
        <w:t xml:space="preserve"> and </w:t>
      </w:r>
      <w:r w:rsidRPr="005629D6">
        <w:rPr>
          <w:color w:val="000000"/>
        </w:rPr>
        <w:t>(1</w:t>
      </w:r>
      <w:r w:rsidRPr="005629D6">
        <w:rPr>
          <w:i/>
          <w:color w:val="000000"/>
        </w:rPr>
        <w:t>R</w:t>
      </w:r>
      <w:r w:rsidRPr="005629D6">
        <w:rPr>
          <w:color w:val="000000"/>
        </w:rPr>
        <w:t>,4</w:t>
      </w:r>
      <w:r w:rsidRPr="005629D6">
        <w:rPr>
          <w:i/>
          <w:color w:val="000000"/>
        </w:rPr>
        <w:t>E</w:t>
      </w:r>
      <w:r w:rsidRPr="005629D6">
        <w:rPr>
          <w:color w:val="000000"/>
        </w:rPr>
        <w:t>,9</w:t>
      </w:r>
      <w:r w:rsidRPr="005629D6">
        <w:rPr>
          <w:i/>
          <w:color w:val="000000"/>
        </w:rPr>
        <w:t>S</w:t>
      </w:r>
      <w:r w:rsidRPr="005629D6">
        <w:rPr>
          <w:color w:val="000000"/>
        </w:rPr>
        <w:t>)-</w:t>
      </w:r>
      <w:r w:rsidRPr="005629D6">
        <w:t>caryophyllene</w:t>
      </w:r>
      <w:r w:rsidR="004A6F8C" w:rsidRPr="005629D6">
        <w:t>.</w:t>
      </w:r>
      <w:r w:rsidRPr="005629D6">
        <w:t xml:space="preserve"> Both these </w:t>
      </w:r>
      <w:proofErr w:type="spellStart"/>
      <w:r w:rsidRPr="005629D6">
        <w:t>semiochemicals</w:t>
      </w:r>
      <w:proofErr w:type="spellEnd"/>
      <w:r w:rsidRPr="005629D6">
        <w:t xml:space="preserve"> were predicted to bind with similar energy</w:t>
      </w:r>
      <w:r w:rsidR="00B0129D" w:rsidRPr="005629D6">
        <w:t xml:space="preserve"> to EBF</w:t>
      </w:r>
      <w:r w:rsidRPr="005629D6">
        <w:t xml:space="preserve"> (SGD</w:t>
      </w:r>
      <w:r w:rsidR="000750C6" w:rsidRPr="005629D6">
        <w:t xml:space="preserve"> </w:t>
      </w:r>
      <w:r w:rsidR="00B0129D" w:rsidRPr="005629D6">
        <w:t>-</w:t>
      </w:r>
      <w:r w:rsidRPr="005629D6">
        <w:t>7.</w:t>
      </w:r>
      <w:r w:rsidR="00B0129D" w:rsidRPr="005629D6">
        <w:t>8</w:t>
      </w:r>
      <w:r w:rsidRPr="005629D6">
        <w:t xml:space="preserve"> kcal mol</w:t>
      </w:r>
      <w:r w:rsidRPr="005629D6">
        <w:rPr>
          <w:vertAlign w:val="superscript"/>
        </w:rPr>
        <w:t xml:space="preserve">-1 </w:t>
      </w:r>
      <w:r w:rsidRPr="005629D6">
        <w:t xml:space="preserve">and </w:t>
      </w:r>
      <w:r w:rsidRPr="005629D6">
        <w:rPr>
          <w:color w:val="000000"/>
        </w:rPr>
        <w:t>(1</w:t>
      </w:r>
      <w:r w:rsidRPr="005629D6">
        <w:rPr>
          <w:i/>
          <w:color w:val="000000"/>
        </w:rPr>
        <w:t>R</w:t>
      </w:r>
      <w:r w:rsidRPr="005629D6">
        <w:rPr>
          <w:color w:val="000000"/>
        </w:rPr>
        <w:t>,4</w:t>
      </w:r>
      <w:r w:rsidRPr="005629D6">
        <w:rPr>
          <w:i/>
          <w:color w:val="000000"/>
        </w:rPr>
        <w:t>E</w:t>
      </w:r>
      <w:r w:rsidRPr="005629D6">
        <w:rPr>
          <w:color w:val="000000"/>
        </w:rPr>
        <w:t>,9</w:t>
      </w:r>
      <w:r w:rsidRPr="005629D6">
        <w:rPr>
          <w:i/>
          <w:color w:val="000000"/>
        </w:rPr>
        <w:t>S</w:t>
      </w:r>
      <w:r w:rsidRPr="005629D6">
        <w:rPr>
          <w:color w:val="000000"/>
        </w:rPr>
        <w:t xml:space="preserve">)-caryophyllene </w:t>
      </w:r>
      <w:r w:rsidRPr="005629D6">
        <w:t xml:space="preserve">at </w:t>
      </w:r>
      <w:r w:rsidR="00B0129D" w:rsidRPr="005629D6">
        <w:t>-</w:t>
      </w:r>
      <w:r w:rsidRPr="005629D6">
        <w:t>8.</w:t>
      </w:r>
      <w:r w:rsidR="00B0129D" w:rsidRPr="005629D6">
        <w:t>1</w:t>
      </w:r>
      <w:r w:rsidRPr="005629D6">
        <w:t xml:space="preserve"> kcal</w:t>
      </w:r>
      <w:r w:rsidRPr="005629D6">
        <w:rPr>
          <w:vertAlign w:val="superscript"/>
        </w:rPr>
        <w:t xml:space="preserve"> </w:t>
      </w:r>
      <w:r w:rsidRPr="005629D6">
        <w:t>mol</w:t>
      </w:r>
      <w:r w:rsidRPr="005629D6">
        <w:rPr>
          <w:vertAlign w:val="superscript"/>
        </w:rPr>
        <w:t>-1</w:t>
      </w:r>
      <w:r w:rsidRPr="005629D6">
        <w:t>)</w:t>
      </w:r>
      <w:r w:rsidR="00B0129D" w:rsidRPr="005629D6">
        <w:t>,</w:t>
      </w:r>
      <w:r w:rsidRPr="005629D6">
        <w:t xml:space="preserve"> however, </w:t>
      </w:r>
      <w:r w:rsidR="00B0129D" w:rsidRPr="005629D6">
        <w:t>neither</w:t>
      </w:r>
      <w:r w:rsidRPr="005629D6">
        <w:t xml:space="preserve"> appear</w:t>
      </w:r>
      <w:r w:rsidR="00B0129D" w:rsidRPr="005629D6">
        <w:t>ed</w:t>
      </w:r>
      <w:r w:rsidRPr="005629D6">
        <w:t xml:space="preserve"> to fit within the same predicted pocket. These two compounds were shown to have no electrophysiological activity with </w:t>
      </w:r>
      <w:r w:rsidR="0085328F" w:rsidRPr="005629D6">
        <w:t>Apis</w:t>
      </w:r>
      <w:r w:rsidRPr="005629D6">
        <w:t>OR5.</w:t>
      </w:r>
      <w:r w:rsidRPr="005629D6">
        <w:fldChar w:fldCharType="begin" w:fldLock="1"/>
      </w:r>
      <w:r w:rsidR="000D52F2" w:rsidRPr="005629D6">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mendeley":{"formattedCitation":"&lt;sup&gt;20&lt;/sup&gt;","plainTextFormattedCitation":"20","previouslyFormattedCitation":"&lt;sup&gt;20&lt;/sup&gt;"},"properties":{"noteIndex":0},"schema":"https://github.com/citation-style-language/schema/raw/master/csl-citation.json"}</w:instrText>
      </w:r>
      <w:r w:rsidRPr="005629D6">
        <w:fldChar w:fldCharType="separate"/>
      </w:r>
      <w:r w:rsidR="002F2ECE" w:rsidRPr="005629D6">
        <w:rPr>
          <w:noProof/>
          <w:vertAlign w:val="superscript"/>
        </w:rPr>
        <w:t>20</w:t>
      </w:r>
      <w:r w:rsidRPr="005629D6">
        <w:fldChar w:fldCharType="end"/>
      </w:r>
      <w:r w:rsidRPr="005629D6">
        <w:t xml:space="preserve"> This conflicting result may demonstrate that the specific binding site of ligands may be more critical for receptor function than specific binding energy. </w:t>
      </w:r>
      <w:r w:rsidR="0049520B" w:rsidRPr="005629D6">
        <w:t>Apis</w:t>
      </w:r>
      <w:r w:rsidRPr="005629D6">
        <w:t xml:space="preserve">OBP3 and </w:t>
      </w:r>
      <w:r w:rsidR="0049520B" w:rsidRPr="005629D6">
        <w:t>Apis</w:t>
      </w:r>
      <w:r w:rsidRPr="005629D6">
        <w:t>OBP7 have also been shown to be critical in the perception of both EBF and GA</w:t>
      </w:r>
      <w:r w:rsidRPr="005629D6">
        <w:fldChar w:fldCharType="begin" w:fldLock="1"/>
      </w:r>
      <w:r w:rsidR="000D52F2" w:rsidRPr="005629D6">
        <w:instrText>ADDIN CSL_CITATION {"citationItems":[{"id":"ITEM-1","itemData":{"DOI":"10.1016/j.cub.2016.10.013","ISBN":"09609822","ISSN":"09609822","PMID":"27916525","abstract":"The sesquiterpene (E)-β-farnesene (EBF) is the alarm pheromone for many species of aphids [1]. When released from aphids attacked by parasitoids or predators, it alerts nearby conspecifics to escape by walking away and dropping off the host plant [2, 3]. The reception of alarm pheromone in aphids is accomplished through a highly sensitive chemosensory system. Although olfaction-related gene families including odorant receptors (ORs) and odorant-binding proteins (OBPs) have recently been identified from aphid genomes [4–6], the cellular and molecular mechanisms of EBF reception are still largely unknown. Here we demonstrate that ApisOR5, a member of the large superfamily of odorant receptors, is expressed in large placoid sensillum neurons on the sixth antennal segment and confers response to EBF when co-expressed with Orco, an obligate odorant receptor co-receptor, in parallel heterologous expression systems. In addition, the repellent behavior of Acyrthosiphon pisum to EBF disappears after knocking down ApisOR5 by RNAi as well as two A. pisum odorant-binding proteins known to bind EBF (ApisOBP3 and ApisOBP7). Furthermore, other odorants that can also activate ApisOR5, such as geranyl acetate, significantly repel A. pisum, as does EBF. Taken together, these data allow us to conclude that ApisOR5 is essential to EBF reception in A. pisum. The characterization of the EBF receptor allows high-throughput screening of aphid repellents, providing the necessary information to develop new strategies for aphid control.","author":[{"dropping-particle":"","family":"Zhang","given":"Ruibin","non-dropping-particle":"","parse-names":false,"suffix":""},{"dropping-particle":"","family":"Wang","given":"Bing","non-dropping-particle":"","parse-names":false,"suffix":""},{"dropping-particle":"","family":"Grossi","given":"Gerarda","non-dropping-particle":"","parse-names":false,"suffix":""},{"dropping-particle":"","family":"Falabella","given":"Patrizia","non-dropping-particle":"","parse-names":false,"suffix":""},{"dropping-particle":"","family":"Liu","given":"Yang","non-dropping-particle":"","parse-names":false,"suffix":""},{"dropping-particle":"","family":"Yan","given":"Shanchun","non-dropping-particle":"","parse-names":false,"suffix":""},{"dropping-particle":"","family":"Lu","given":"Jian","non-dropping-particle":"","parse-names":false,"suffix":""},{"dropping-particle":"","family":"Xi","given":"Jinghui","non-dropping-particle":"","parse-names":false,"suffix":""},{"dropping-particle":"","family":"Wang","given":"Guirong","non-dropping-particle":"","parse-names":false,"suffix":""}],"container-title":"Current Biology","id":"ITEM-1","issue":"1","issued":{"date-parts":[["2017"]]},"page":"55-61","publisher":"Elsevier Ltd.","title":"Molecular Basis of Alarm Pheromone Detection in Aphids","type":"article-journal","volume":"27"},"uris":["http://www.mendeley.com/documents/?uuid=7ba4c0fd-5186-44f3-b962-69bddb791a8e"]}],"mendeley":{"formattedCitation":"&lt;sup&gt;20&lt;/sup&gt;","plainTextFormattedCitation":"20","previouslyFormattedCitation":"&lt;sup&gt;20&lt;/sup&gt;"},"properties":{"noteIndex":0},"schema":"https://github.com/citation-style-language/schema/raw/master/csl-citation.json"}</w:instrText>
      </w:r>
      <w:r w:rsidRPr="005629D6">
        <w:fldChar w:fldCharType="separate"/>
      </w:r>
      <w:r w:rsidR="002F2ECE" w:rsidRPr="005629D6">
        <w:rPr>
          <w:noProof/>
          <w:vertAlign w:val="superscript"/>
        </w:rPr>
        <w:t>20</w:t>
      </w:r>
      <w:r w:rsidRPr="005629D6">
        <w:fldChar w:fldCharType="end"/>
      </w:r>
      <w:r w:rsidRPr="005629D6">
        <w:t xml:space="preserve">, and this may play a role in why some compounds are seen to be </w:t>
      </w:r>
      <w:proofErr w:type="spellStart"/>
      <w:r w:rsidRPr="005629D6">
        <w:t>electrophysiologically</w:t>
      </w:r>
      <w:proofErr w:type="spellEnd"/>
      <w:r w:rsidRPr="005629D6">
        <w:t xml:space="preserve"> active </w:t>
      </w:r>
      <w:r w:rsidR="008614FB" w:rsidRPr="005629D6">
        <w:rPr>
          <w:i/>
          <w:iCs/>
        </w:rPr>
        <w:t>in vivo</w:t>
      </w:r>
      <w:r w:rsidRPr="005629D6">
        <w:t>.</w:t>
      </w:r>
    </w:p>
    <w:p w14:paraId="0F4C9ABC" w14:textId="3B7BDF20" w:rsidR="00B625A5" w:rsidRPr="005629D6" w:rsidRDefault="00B625A5" w:rsidP="00B625A5">
      <w:pPr>
        <w:rPr>
          <w:rFonts w:ascii="Calibri" w:hAnsi="Calibri" w:cs="Calibri"/>
        </w:rPr>
      </w:pPr>
      <w:r w:rsidRPr="005629D6">
        <w:rPr>
          <w:rFonts w:ascii="Calibri" w:hAnsi="Calibri" w:cs="Calibri"/>
        </w:rPr>
        <w:t xml:space="preserve">The closest ORs from other aphid species to </w:t>
      </w:r>
      <w:r w:rsidR="00213FD6" w:rsidRPr="005629D6">
        <w:rPr>
          <w:rFonts w:ascii="Calibri" w:hAnsi="Calibri" w:cs="Calibri"/>
        </w:rPr>
        <w:t>Apis</w:t>
      </w:r>
      <w:r w:rsidRPr="005629D6">
        <w:rPr>
          <w:rFonts w:ascii="Calibri" w:hAnsi="Calibri" w:cs="Calibri"/>
        </w:rPr>
        <w:t xml:space="preserve">OR5 are </w:t>
      </w:r>
      <w:r w:rsidR="00213FD6" w:rsidRPr="005629D6">
        <w:rPr>
          <w:rFonts w:ascii="Calibri" w:hAnsi="Calibri" w:cs="Calibri"/>
        </w:rPr>
        <w:t xml:space="preserve">from the peach-potato aphid, </w:t>
      </w:r>
      <w:proofErr w:type="spellStart"/>
      <w:r w:rsidR="00213FD6" w:rsidRPr="005629D6">
        <w:rPr>
          <w:rFonts w:ascii="Calibri" w:hAnsi="Calibri" w:cs="Calibri"/>
          <w:i/>
          <w:iCs/>
        </w:rPr>
        <w:t>Myzus</w:t>
      </w:r>
      <w:proofErr w:type="spellEnd"/>
      <w:r w:rsidR="00213FD6" w:rsidRPr="005629D6">
        <w:rPr>
          <w:rFonts w:ascii="Calibri" w:hAnsi="Calibri" w:cs="Calibri"/>
          <w:i/>
          <w:iCs/>
        </w:rPr>
        <w:t xml:space="preserve"> </w:t>
      </w:r>
      <w:proofErr w:type="spellStart"/>
      <w:r w:rsidR="00213FD6" w:rsidRPr="005629D6">
        <w:rPr>
          <w:rFonts w:ascii="Calibri" w:hAnsi="Calibri" w:cs="Calibri"/>
          <w:i/>
          <w:iCs/>
        </w:rPr>
        <w:t>persicae</w:t>
      </w:r>
      <w:proofErr w:type="spellEnd"/>
      <w:r w:rsidR="00213FD6" w:rsidRPr="005629D6">
        <w:rPr>
          <w:rFonts w:ascii="Calibri" w:hAnsi="Calibri" w:cs="Calibri"/>
        </w:rPr>
        <w:t xml:space="preserve"> (</w:t>
      </w:r>
      <w:r w:rsidRPr="005629D6">
        <w:rPr>
          <w:rFonts w:ascii="Calibri" w:hAnsi="Calibri" w:cs="Calibri"/>
          <w:i/>
          <w:iCs/>
        </w:rPr>
        <w:t xml:space="preserve">M. </w:t>
      </w:r>
      <w:proofErr w:type="spellStart"/>
      <w:r w:rsidRPr="005629D6">
        <w:rPr>
          <w:rFonts w:ascii="Calibri" w:hAnsi="Calibri" w:cs="Calibri"/>
          <w:i/>
          <w:iCs/>
        </w:rPr>
        <w:t>persicae</w:t>
      </w:r>
      <w:proofErr w:type="spellEnd"/>
      <w:r w:rsidRPr="005629D6">
        <w:rPr>
          <w:rFonts w:ascii="Calibri" w:hAnsi="Calibri" w:cs="Calibri"/>
        </w:rPr>
        <w:t xml:space="preserve"> OR43b-like</w:t>
      </w:r>
      <w:r w:rsidR="00213FD6" w:rsidRPr="005629D6">
        <w:rPr>
          <w:rFonts w:ascii="Calibri" w:hAnsi="Calibri" w:cs="Calibri"/>
        </w:rPr>
        <w:t>)</w:t>
      </w:r>
      <w:r w:rsidRPr="005629D6">
        <w:rPr>
          <w:rFonts w:ascii="Calibri" w:hAnsi="Calibri" w:cs="Calibri"/>
        </w:rPr>
        <w:t xml:space="preserve"> and </w:t>
      </w:r>
      <w:r w:rsidR="00213FD6" w:rsidRPr="005629D6">
        <w:rPr>
          <w:rFonts w:ascii="Calibri" w:hAnsi="Calibri" w:cs="Calibri"/>
        </w:rPr>
        <w:t xml:space="preserve">the cotton aphid, </w:t>
      </w:r>
      <w:r w:rsidR="00213FD6" w:rsidRPr="005629D6">
        <w:rPr>
          <w:rFonts w:ascii="Calibri" w:hAnsi="Calibri" w:cs="Calibri"/>
          <w:i/>
          <w:iCs/>
        </w:rPr>
        <w:t>Aphis gossypii</w:t>
      </w:r>
      <w:r w:rsidR="00213FD6" w:rsidRPr="005629D6">
        <w:rPr>
          <w:rFonts w:ascii="Calibri" w:hAnsi="Calibri" w:cs="Calibri"/>
        </w:rPr>
        <w:t xml:space="preserve"> (</w:t>
      </w:r>
      <w:r w:rsidRPr="005629D6">
        <w:rPr>
          <w:rFonts w:ascii="Calibri" w:hAnsi="Calibri" w:cs="Calibri"/>
          <w:i/>
          <w:iCs/>
        </w:rPr>
        <w:t>A. gossypii</w:t>
      </w:r>
      <w:r w:rsidRPr="005629D6">
        <w:rPr>
          <w:rFonts w:ascii="Calibri" w:hAnsi="Calibri" w:cs="Calibri"/>
        </w:rPr>
        <w:t xml:space="preserve"> OR43b-like</w:t>
      </w:r>
      <w:r w:rsidR="00213FD6" w:rsidRPr="005629D6">
        <w:rPr>
          <w:rFonts w:ascii="Calibri" w:hAnsi="Calibri" w:cs="Calibri"/>
        </w:rPr>
        <w:t>)</w:t>
      </w:r>
      <w:r w:rsidRPr="005629D6">
        <w:rPr>
          <w:rFonts w:ascii="Calibri" w:hAnsi="Calibri" w:cs="Calibri"/>
        </w:rPr>
        <w:t>. The binding site of EB</w:t>
      </w:r>
      <w:r w:rsidR="00213FD6" w:rsidRPr="005629D6">
        <w:rPr>
          <w:rFonts w:ascii="Calibri" w:hAnsi="Calibri" w:cs="Calibri"/>
        </w:rPr>
        <w:t>F</w:t>
      </w:r>
      <w:r w:rsidR="00B0129D" w:rsidRPr="005629D6">
        <w:rPr>
          <w:rFonts w:ascii="Calibri" w:hAnsi="Calibri" w:cs="Calibri"/>
        </w:rPr>
        <w:t xml:space="preserve"> in ApisOR5</w:t>
      </w:r>
      <w:r w:rsidRPr="005629D6">
        <w:rPr>
          <w:rFonts w:ascii="Calibri" w:hAnsi="Calibri" w:cs="Calibri"/>
        </w:rPr>
        <w:t xml:space="preserve">, including residues Tyr157, His168, Phe239 and Tyr243, is conserved across all three </w:t>
      </w:r>
      <w:r w:rsidR="00213FD6" w:rsidRPr="005629D6">
        <w:rPr>
          <w:rFonts w:ascii="Calibri" w:hAnsi="Calibri" w:cs="Calibri"/>
        </w:rPr>
        <w:t xml:space="preserve">ORs </w:t>
      </w:r>
      <w:r w:rsidRPr="005629D6">
        <w:rPr>
          <w:rFonts w:ascii="Calibri" w:hAnsi="Calibri" w:cs="Calibri"/>
        </w:rPr>
        <w:t xml:space="preserve">(Figure </w:t>
      </w:r>
      <w:r w:rsidR="00D65851" w:rsidRPr="005629D6">
        <w:rPr>
          <w:rFonts w:ascii="Calibri" w:hAnsi="Calibri" w:cs="Calibri"/>
        </w:rPr>
        <w:t>6</w:t>
      </w:r>
      <w:r w:rsidRPr="005629D6">
        <w:rPr>
          <w:rFonts w:ascii="Calibri" w:hAnsi="Calibri" w:cs="Calibri"/>
        </w:rPr>
        <w:t xml:space="preserve">). As both </w:t>
      </w:r>
      <w:r w:rsidRPr="005629D6">
        <w:rPr>
          <w:rFonts w:ascii="Calibri" w:hAnsi="Calibri" w:cs="Calibri"/>
          <w:i/>
          <w:iCs/>
        </w:rPr>
        <w:t xml:space="preserve">M. </w:t>
      </w:r>
      <w:proofErr w:type="spellStart"/>
      <w:r w:rsidRPr="005629D6">
        <w:rPr>
          <w:rFonts w:ascii="Calibri" w:hAnsi="Calibri" w:cs="Calibri"/>
          <w:i/>
          <w:iCs/>
        </w:rPr>
        <w:t>persicae</w:t>
      </w:r>
      <w:proofErr w:type="spellEnd"/>
      <w:r w:rsidRPr="005629D6">
        <w:rPr>
          <w:rFonts w:ascii="Calibri" w:hAnsi="Calibri" w:cs="Calibri"/>
        </w:rPr>
        <w:t xml:space="preserve"> and </w:t>
      </w:r>
      <w:r w:rsidRPr="005629D6">
        <w:rPr>
          <w:rFonts w:ascii="Calibri" w:hAnsi="Calibri" w:cs="Calibri"/>
          <w:i/>
          <w:iCs/>
        </w:rPr>
        <w:t xml:space="preserve">A. gossypii </w:t>
      </w:r>
      <w:r w:rsidRPr="005629D6">
        <w:rPr>
          <w:rFonts w:ascii="Calibri" w:hAnsi="Calibri" w:cs="Calibri"/>
        </w:rPr>
        <w:t>both utilise the alarm pheromone EBF</w:t>
      </w:r>
      <w:r w:rsidRPr="005629D6">
        <w:rPr>
          <w:rFonts w:ascii="Calibri" w:hAnsi="Calibri" w:cs="Calibri"/>
        </w:rPr>
        <w:fldChar w:fldCharType="begin" w:fldLock="1"/>
      </w:r>
      <w:r w:rsidR="00E03828" w:rsidRPr="005629D6">
        <w:rPr>
          <w:rFonts w:ascii="Calibri" w:hAnsi="Calibri" w:cs="Calibri"/>
        </w:rPr>
        <w:instrText>ADDIN CSL_CITATION {"citationItems":[{"id":"ITEM-1","itemData":{"DOI":"DOI: 10.1126/science.177.4054.1121","author":[{"dropping-particle":"","family":"Bowers","given":"William S.","non-dropping-particle":"","parse-names":false,"suffix":""},{"dropping-particle":"","family":"Nault","given":"Lowell R.","non-dropping-particle":"","parse-names":false,"suffix":""},{"dropping-particle":"","family":"Webb","given":"Ralph E.","non-dropping-particle":"","parse-names":false,"suffix":""},{"dropping-particle":"","family":"Dutky","given":"Samson R.","non-dropping-particle":"","parse-names":false,"suffix":""}],"container-title":"Science","id":"ITEM-1","issue":"4054","issued":{"date-parts":[["1972"]]},"page":"1121-1122","title":"Aphid Alarm Pheromone : Isolation, Identification, Synthesis","type":"article-journal","volume":"177"},"uris":["http://www.mendeley.com/documents/?uuid=f80e787e-117f-4bc9-92fe-5e2175434517"]},{"id":"ITEM-2","itemData":{"DOI":"10.1038/246421a0","ISBN":"1059-1524","ISSN":"00280836","PMID":"3507349","author":[{"dropping-particle":"","family":"Edwards","given":"L J","non-dropping-particle":"","parse-names":false,"suffix":""},{"dropping-particle":"","family":"Siddall","given":"J B","non-dropping-particle":"","parse-names":false,"suffix":""},{"dropping-particle":"","family":"Dunham","given":"L L","non-dropping-particle":"","parse-names":false,"suffix":""},{"dropping-particle":"","family":"Uden","given":"P","non-dropping-particle":"","parse-names":false,"suffix":""},{"dropping-particle":"","family":"Kislow","given":"C","non-dropping-particle":"","parse-names":false,"suffix":""}],"container-title":"Nature","id":"ITEM-2","issue":"5385","issued":{"date-parts":[["1973"]]},"page":"126-127","title":"Trans-β-farnesene, Alarm Pheromone of the Green Peach Aphid, Myzus persicae (Sulzer)","type":"article-journal","volume":"241"},"uris":["http://www.mendeley.com/documents/?uuid=b58d7237-1310-458f-bb80-5234a13b70cb"]}],"mendeley":{"formattedCitation":"&lt;sup&gt;69,70&lt;/sup&gt;","plainTextFormattedCitation":"69,70","previouslyFormattedCitation":"&lt;sup&gt;69,70&lt;/sup&gt;"},"properties":{"noteIndex":0},"schema":"https://github.com/citation-style-language/schema/raw/master/csl-citation.json"}</w:instrText>
      </w:r>
      <w:r w:rsidRPr="005629D6">
        <w:rPr>
          <w:rFonts w:ascii="Calibri" w:hAnsi="Calibri" w:cs="Calibri"/>
        </w:rPr>
        <w:fldChar w:fldCharType="separate"/>
      </w:r>
      <w:r w:rsidR="009F2217" w:rsidRPr="005629D6">
        <w:rPr>
          <w:rFonts w:ascii="Calibri" w:hAnsi="Calibri" w:cs="Calibri"/>
          <w:noProof/>
          <w:vertAlign w:val="superscript"/>
        </w:rPr>
        <w:t>69,70</w:t>
      </w:r>
      <w:r w:rsidRPr="005629D6">
        <w:rPr>
          <w:rFonts w:ascii="Calibri" w:hAnsi="Calibri" w:cs="Calibri"/>
        </w:rPr>
        <w:fldChar w:fldCharType="end"/>
      </w:r>
      <w:r w:rsidRPr="005629D6">
        <w:rPr>
          <w:rFonts w:ascii="Calibri" w:hAnsi="Calibri" w:cs="Calibri"/>
        </w:rPr>
        <w:t>, it is likely that the OR43b-like receptors are involved in its perception in these species.</w:t>
      </w:r>
    </w:p>
    <w:p w14:paraId="0648A237" w14:textId="72A814EF" w:rsidR="008A61E0" w:rsidRPr="005629D6" w:rsidRDefault="00E37FF5" w:rsidP="008A61E0">
      <w:pPr>
        <w:rPr>
          <w:b/>
          <w:bCs/>
        </w:rPr>
      </w:pPr>
      <w:r w:rsidRPr="005629D6">
        <w:rPr>
          <w:b/>
          <w:bCs/>
        </w:rPr>
        <w:t>Screening of highly conserved</w:t>
      </w:r>
      <w:r w:rsidR="00857D4C" w:rsidRPr="005629D6">
        <w:rPr>
          <w:b/>
          <w:bCs/>
        </w:rPr>
        <w:t>, deorphanized</w:t>
      </w:r>
      <w:r w:rsidRPr="005629D6">
        <w:rPr>
          <w:b/>
          <w:bCs/>
        </w:rPr>
        <w:t xml:space="preserve"> receptors</w:t>
      </w:r>
      <w:r w:rsidR="007230BA" w:rsidRPr="005629D6">
        <w:rPr>
          <w:b/>
          <w:bCs/>
        </w:rPr>
        <w:t xml:space="preserve">. </w:t>
      </w:r>
      <w:r w:rsidR="008A61E0" w:rsidRPr="005629D6">
        <w:t>In addition to previously functionalised receptors, six highly conserved deorphanized receptors (</w:t>
      </w:r>
      <w:r w:rsidR="0085328F" w:rsidRPr="005629D6">
        <w:t>Apis</w:t>
      </w:r>
      <w:r w:rsidR="008A61E0" w:rsidRPr="005629D6">
        <w:t xml:space="preserve">OR2, </w:t>
      </w:r>
      <w:r w:rsidR="00213FD6" w:rsidRPr="005629D6">
        <w:t>Apis</w:t>
      </w:r>
      <w:r w:rsidR="008A61E0" w:rsidRPr="005629D6">
        <w:t xml:space="preserve">OR10, </w:t>
      </w:r>
      <w:r w:rsidR="00213FD6" w:rsidRPr="005629D6">
        <w:t>Apis</w:t>
      </w:r>
      <w:r w:rsidR="008A61E0" w:rsidRPr="005629D6">
        <w:t xml:space="preserve">OR17, </w:t>
      </w:r>
      <w:r w:rsidR="00213FD6" w:rsidRPr="005629D6">
        <w:t>Apis</w:t>
      </w:r>
      <w:r w:rsidR="008A61E0" w:rsidRPr="005629D6">
        <w:t xml:space="preserve">OR20, </w:t>
      </w:r>
      <w:r w:rsidR="00213FD6" w:rsidRPr="005629D6">
        <w:t>Apis</w:t>
      </w:r>
      <w:r w:rsidR="008A61E0" w:rsidRPr="005629D6">
        <w:t xml:space="preserve">OR22c, </w:t>
      </w:r>
      <w:r w:rsidR="00213FD6" w:rsidRPr="005629D6">
        <w:t>Apis</w:t>
      </w:r>
      <w:r w:rsidR="008A61E0" w:rsidRPr="005629D6">
        <w:t>OR39) were modelled and screened for activity with the aphid sex pheromone components [(1</w:t>
      </w:r>
      <w:r w:rsidR="008A61E0" w:rsidRPr="005629D6">
        <w:rPr>
          <w:i/>
        </w:rPr>
        <w:t>R</w:t>
      </w:r>
      <w:r w:rsidR="008A61E0" w:rsidRPr="005629D6">
        <w:t>,4a</w:t>
      </w:r>
      <w:r w:rsidR="008A61E0" w:rsidRPr="005629D6">
        <w:rPr>
          <w:i/>
        </w:rPr>
        <w:t>S</w:t>
      </w:r>
      <w:r w:rsidR="008A61E0" w:rsidRPr="005629D6">
        <w:t>,7</w:t>
      </w:r>
      <w:r w:rsidR="008A61E0" w:rsidRPr="005629D6">
        <w:rPr>
          <w:i/>
        </w:rPr>
        <w:t>S</w:t>
      </w:r>
      <w:r w:rsidR="008A61E0" w:rsidRPr="005629D6">
        <w:t>,7a</w:t>
      </w:r>
      <w:r w:rsidR="008A61E0" w:rsidRPr="005629D6">
        <w:rPr>
          <w:i/>
        </w:rPr>
        <w:t>R</w:t>
      </w:r>
      <w:r w:rsidR="008A61E0" w:rsidRPr="005629D6">
        <w:t>)-</w:t>
      </w:r>
      <w:proofErr w:type="spellStart"/>
      <w:r w:rsidR="008A61E0" w:rsidRPr="005629D6">
        <w:t>nepetalactol</w:t>
      </w:r>
      <w:proofErr w:type="spellEnd"/>
      <w:r w:rsidR="008A61E0" w:rsidRPr="005629D6">
        <w:t xml:space="preserve"> and (4a</w:t>
      </w:r>
      <w:r w:rsidR="008A61E0" w:rsidRPr="005629D6">
        <w:rPr>
          <w:i/>
          <w:iCs/>
        </w:rPr>
        <w:t>S</w:t>
      </w:r>
      <w:r w:rsidR="008A61E0" w:rsidRPr="005629D6">
        <w:t>,7</w:t>
      </w:r>
      <w:r w:rsidR="008A61E0" w:rsidRPr="005629D6">
        <w:rPr>
          <w:i/>
          <w:iCs/>
        </w:rPr>
        <w:t>S</w:t>
      </w:r>
      <w:r w:rsidR="008A61E0" w:rsidRPr="005629D6">
        <w:t>,7a</w:t>
      </w:r>
      <w:r w:rsidR="008A61E0" w:rsidRPr="005629D6">
        <w:rPr>
          <w:i/>
          <w:iCs/>
        </w:rPr>
        <w:t>R</w:t>
      </w:r>
      <w:r w:rsidR="008A61E0" w:rsidRPr="005629D6">
        <w:t>)-nepetalactone] and their respective, non-naturally occurring enantiomers [(1</w:t>
      </w:r>
      <w:r w:rsidR="008A61E0" w:rsidRPr="005629D6">
        <w:rPr>
          <w:i/>
          <w:iCs/>
        </w:rPr>
        <w:t>S</w:t>
      </w:r>
      <w:r w:rsidR="008A61E0" w:rsidRPr="005629D6">
        <w:t>,4a</w:t>
      </w:r>
      <w:r w:rsidR="008A61E0" w:rsidRPr="005629D6">
        <w:rPr>
          <w:i/>
          <w:iCs/>
        </w:rPr>
        <w:t>R</w:t>
      </w:r>
      <w:r w:rsidR="008A61E0" w:rsidRPr="005629D6">
        <w:t>,7</w:t>
      </w:r>
      <w:r w:rsidR="008A61E0" w:rsidRPr="005629D6">
        <w:rPr>
          <w:i/>
          <w:iCs/>
        </w:rPr>
        <w:t>R</w:t>
      </w:r>
      <w:r w:rsidR="008A61E0" w:rsidRPr="005629D6">
        <w:t>,7a</w:t>
      </w:r>
      <w:r w:rsidR="008A61E0" w:rsidRPr="005629D6">
        <w:rPr>
          <w:i/>
          <w:iCs/>
        </w:rPr>
        <w:t>S</w:t>
      </w:r>
      <w:r w:rsidR="008A61E0" w:rsidRPr="005629D6">
        <w:t>)-</w:t>
      </w:r>
      <w:proofErr w:type="spellStart"/>
      <w:r w:rsidR="008A61E0" w:rsidRPr="005629D6">
        <w:t>nepetalactol</w:t>
      </w:r>
      <w:proofErr w:type="spellEnd"/>
      <w:r w:rsidR="008A61E0" w:rsidRPr="005629D6">
        <w:t xml:space="preserve"> and (4a</w:t>
      </w:r>
      <w:r w:rsidR="008A61E0" w:rsidRPr="005629D6">
        <w:rPr>
          <w:i/>
          <w:iCs/>
        </w:rPr>
        <w:t>R</w:t>
      </w:r>
      <w:r w:rsidR="008A61E0" w:rsidRPr="005629D6">
        <w:t>,7</w:t>
      </w:r>
      <w:r w:rsidR="008A61E0" w:rsidRPr="005629D6">
        <w:rPr>
          <w:i/>
          <w:iCs/>
        </w:rPr>
        <w:t>R</w:t>
      </w:r>
      <w:r w:rsidR="008A61E0" w:rsidRPr="005629D6">
        <w:t>,7a</w:t>
      </w:r>
      <w:r w:rsidR="008A61E0" w:rsidRPr="005629D6">
        <w:rPr>
          <w:i/>
          <w:iCs/>
        </w:rPr>
        <w:t>S</w:t>
      </w:r>
      <w:r w:rsidR="008A61E0" w:rsidRPr="005629D6">
        <w:t xml:space="preserve">)-nepetalactone] (Table </w:t>
      </w:r>
      <w:r w:rsidR="007230BA" w:rsidRPr="005629D6">
        <w:t>1</w:t>
      </w:r>
      <w:r w:rsidR="008A61E0" w:rsidRPr="005629D6">
        <w:t xml:space="preserve">). Little is understood about how sex pheromone components are </w:t>
      </w:r>
      <w:r w:rsidR="00244F29" w:rsidRPr="005629D6">
        <w:t>perceived;</w:t>
      </w:r>
      <w:r w:rsidR="00213FD6" w:rsidRPr="005629D6">
        <w:t xml:space="preserve"> </w:t>
      </w:r>
      <w:proofErr w:type="gramStart"/>
      <w:r w:rsidR="008A61E0" w:rsidRPr="005629D6">
        <w:t>in particular how</w:t>
      </w:r>
      <w:proofErr w:type="gramEnd"/>
      <w:r w:rsidR="008A61E0" w:rsidRPr="005629D6">
        <w:t xml:space="preserve"> enantiomeric discrimination occurs.</w:t>
      </w:r>
    </w:p>
    <w:p w14:paraId="2B83BDD2" w14:textId="76598D5C" w:rsidR="008A61E0" w:rsidRPr="005629D6" w:rsidRDefault="008A61E0" w:rsidP="00DC59C3">
      <w:pPr>
        <w:jc w:val="center"/>
        <w:rPr>
          <w:szCs w:val="20"/>
        </w:rPr>
      </w:pPr>
      <w:r w:rsidRPr="005629D6">
        <w:rPr>
          <w:b/>
          <w:bCs/>
          <w:szCs w:val="20"/>
        </w:rPr>
        <w:t xml:space="preserve">Table </w:t>
      </w:r>
      <w:r w:rsidR="00942FD3" w:rsidRPr="005629D6">
        <w:rPr>
          <w:b/>
          <w:bCs/>
          <w:szCs w:val="20"/>
        </w:rPr>
        <w:t>1</w:t>
      </w:r>
      <w:r w:rsidRPr="005629D6">
        <w:rPr>
          <w:b/>
          <w:bCs/>
          <w:szCs w:val="20"/>
        </w:rPr>
        <w:t>:</w:t>
      </w:r>
      <w:r w:rsidRPr="005629D6">
        <w:rPr>
          <w:szCs w:val="20"/>
        </w:rPr>
        <w:t xml:space="preserve"> Binding energy for the interactions of the deorphanized, highly conserved odorant receptors (</w:t>
      </w:r>
      <w:r w:rsidR="006B1FFC" w:rsidRPr="005629D6">
        <w:rPr>
          <w:szCs w:val="20"/>
        </w:rPr>
        <w:t>Apis</w:t>
      </w:r>
      <w:r w:rsidRPr="005629D6">
        <w:rPr>
          <w:szCs w:val="20"/>
        </w:rPr>
        <w:t xml:space="preserve">OR2, </w:t>
      </w:r>
      <w:r w:rsidR="00213FD6" w:rsidRPr="005629D6">
        <w:rPr>
          <w:szCs w:val="20"/>
        </w:rPr>
        <w:t>Apis</w:t>
      </w:r>
      <w:r w:rsidRPr="005629D6">
        <w:rPr>
          <w:szCs w:val="20"/>
        </w:rPr>
        <w:t xml:space="preserve">OR10, </w:t>
      </w:r>
      <w:r w:rsidR="00213FD6" w:rsidRPr="005629D6">
        <w:rPr>
          <w:szCs w:val="20"/>
        </w:rPr>
        <w:t>Apis</w:t>
      </w:r>
      <w:r w:rsidRPr="005629D6">
        <w:rPr>
          <w:szCs w:val="20"/>
        </w:rPr>
        <w:t xml:space="preserve">OR17, </w:t>
      </w:r>
      <w:r w:rsidR="00213FD6" w:rsidRPr="005629D6">
        <w:rPr>
          <w:szCs w:val="20"/>
        </w:rPr>
        <w:t>Apis</w:t>
      </w:r>
      <w:r w:rsidRPr="005629D6">
        <w:rPr>
          <w:szCs w:val="20"/>
        </w:rPr>
        <w:t xml:space="preserve">OR20, </w:t>
      </w:r>
      <w:r w:rsidR="00213FD6" w:rsidRPr="005629D6">
        <w:rPr>
          <w:szCs w:val="20"/>
        </w:rPr>
        <w:t>Apis</w:t>
      </w:r>
      <w:r w:rsidRPr="005629D6">
        <w:rPr>
          <w:szCs w:val="20"/>
        </w:rPr>
        <w:t xml:space="preserve">OR22c, </w:t>
      </w:r>
      <w:r w:rsidR="00213FD6" w:rsidRPr="005629D6">
        <w:rPr>
          <w:szCs w:val="20"/>
        </w:rPr>
        <w:t>Apis</w:t>
      </w:r>
      <w:r w:rsidRPr="005629D6">
        <w:rPr>
          <w:szCs w:val="20"/>
        </w:rPr>
        <w:t>OR39) with the aphid sex pheromone components and respective enantiomers</w:t>
      </w:r>
      <w:r w:rsidR="00DC59C3" w:rsidRPr="005629D6">
        <w:rPr>
          <w:szCs w:val="20"/>
        </w:rPr>
        <w:t xml:space="preserve"> from </w:t>
      </w:r>
      <w:proofErr w:type="spellStart"/>
      <w:r w:rsidR="00DC59C3" w:rsidRPr="005629D6">
        <w:rPr>
          <w:szCs w:val="20"/>
        </w:rPr>
        <w:t>Autodock</w:t>
      </w:r>
      <w:proofErr w:type="spellEnd"/>
      <w:r w:rsidR="00DC59C3" w:rsidRPr="005629D6">
        <w:rPr>
          <w:szCs w:val="20"/>
        </w:rPr>
        <w:t xml:space="preserve"> Data. Vina binding data </w:t>
      </w:r>
      <w:r w:rsidR="00C15E65" w:rsidRPr="005629D6">
        <w:rPr>
          <w:szCs w:val="20"/>
        </w:rPr>
        <w:t xml:space="preserve">for both comparative models and </w:t>
      </w:r>
      <w:proofErr w:type="spellStart"/>
      <w:r w:rsidR="00C15E65" w:rsidRPr="005629D6">
        <w:rPr>
          <w:szCs w:val="20"/>
        </w:rPr>
        <w:t>AlphaFold</w:t>
      </w:r>
      <w:proofErr w:type="spellEnd"/>
      <w:r w:rsidR="00C15E65" w:rsidRPr="005629D6">
        <w:rPr>
          <w:szCs w:val="20"/>
        </w:rPr>
        <w:t xml:space="preserve"> models </w:t>
      </w:r>
      <w:r w:rsidR="00DC59C3" w:rsidRPr="005629D6">
        <w:rPr>
          <w:szCs w:val="20"/>
        </w:rPr>
        <w:t>can be found in Supplementary Data (Table S4)</w:t>
      </w:r>
      <w:r w:rsidRPr="005629D6">
        <w:rPr>
          <w:szCs w:val="20"/>
        </w:rPr>
        <w:t xml:space="preserve">. </w:t>
      </w:r>
      <w:r w:rsidRPr="005629D6">
        <w:rPr>
          <w:color w:val="000000" w:themeColor="text1"/>
        </w:rPr>
        <w:t xml:space="preserve">The values highlighted in </w:t>
      </w:r>
      <w:r w:rsidRPr="005629D6">
        <w:rPr>
          <w:b/>
          <w:bCs/>
          <w:color w:val="000000" w:themeColor="text1"/>
        </w:rPr>
        <w:t>bold</w:t>
      </w:r>
      <w:r w:rsidRPr="005629D6">
        <w:rPr>
          <w:color w:val="000000" w:themeColor="text1"/>
        </w:rPr>
        <w:t xml:space="preserve"> represent the lowest energy interaction for that ligand.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560"/>
        <w:gridCol w:w="559"/>
        <w:gridCol w:w="660"/>
        <w:gridCol w:w="1075"/>
        <w:gridCol w:w="660"/>
        <w:gridCol w:w="745"/>
        <w:gridCol w:w="660"/>
      </w:tblGrid>
      <w:tr w:rsidR="008A61E0" w:rsidRPr="005629D6" w14:paraId="7BE1980E" w14:textId="77777777" w:rsidTr="00942FD3">
        <w:trPr>
          <w:trHeight w:val="382"/>
          <w:jc w:val="center"/>
        </w:trPr>
        <w:tc>
          <w:tcPr>
            <w:tcW w:w="0" w:type="auto"/>
            <w:vMerge w:val="restart"/>
            <w:tcBorders>
              <w:top w:val="single" w:sz="4" w:space="0" w:color="auto"/>
            </w:tcBorders>
          </w:tcPr>
          <w:p w14:paraId="7815F0B6" w14:textId="77777777" w:rsidR="008A61E0" w:rsidRPr="005629D6" w:rsidRDefault="008A61E0" w:rsidP="00427F7F">
            <w:pPr>
              <w:jc w:val="center"/>
              <w:rPr>
                <w:b/>
                <w:bCs/>
                <w:szCs w:val="20"/>
              </w:rPr>
            </w:pPr>
            <w:r w:rsidRPr="005629D6">
              <w:rPr>
                <w:b/>
                <w:bCs/>
                <w:szCs w:val="20"/>
              </w:rPr>
              <w:t>Ligand</w:t>
            </w:r>
          </w:p>
        </w:tc>
        <w:tc>
          <w:tcPr>
            <w:tcW w:w="0" w:type="auto"/>
            <w:gridSpan w:val="6"/>
            <w:tcBorders>
              <w:top w:val="single" w:sz="4" w:space="0" w:color="auto"/>
              <w:bottom w:val="single" w:sz="4" w:space="0" w:color="auto"/>
            </w:tcBorders>
          </w:tcPr>
          <w:p w14:paraId="7CC064A2" w14:textId="77777777" w:rsidR="008A61E0" w:rsidRPr="005629D6" w:rsidRDefault="008A61E0" w:rsidP="00427F7F">
            <w:pPr>
              <w:jc w:val="center"/>
              <w:rPr>
                <w:b/>
                <w:bCs/>
                <w:szCs w:val="20"/>
              </w:rPr>
            </w:pPr>
            <w:r w:rsidRPr="005629D6">
              <w:rPr>
                <w:b/>
                <w:bCs/>
                <w:szCs w:val="20"/>
              </w:rPr>
              <w:t>Binding Energy (kcal mol</w:t>
            </w:r>
            <w:r w:rsidRPr="005629D6">
              <w:rPr>
                <w:b/>
                <w:bCs/>
                <w:szCs w:val="20"/>
                <w:vertAlign w:val="superscript"/>
              </w:rPr>
              <w:t>-1</w:t>
            </w:r>
            <w:r w:rsidRPr="005629D6">
              <w:rPr>
                <w:b/>
                <w:bCs/>
                <w:szCs w:val="20"/>
              </w:rPr>
              <w:t>)</w:t>
            </w:r>
          </w:p>
        </w:tc>
      </w:tr>
      <w:tr w:rsidR="008A61E0" w:rsidRPr="005629D6" w14:paraId="433F9D65" w14:textId="77777777" w:rsidTr="00942FD3">
        <w:trPr>
          <w:trHeight w:val="372"/>
          <w:jc w:val="center"/>
        </w:trPr>
        <w:tc>
          <w:tcPr>
            <w:tcW w:w="0" w:type="auto"/>
            <w:vMerge/>
            <w:tcBorders>
              <w:bottom w:val="single" w:sz="4" w:space="0" w:color="auto"/>
            </w:tcBorders>
          </w:tcPr>
          <w:p w14:paraId="18933F02" w14:textId="77777777" w:rsidR="008A61E0" w:rsidRPr="005629D6" w:rsidRDefault="008A61E0" w:rsidP="00427F7F">
            <w:pPr>
              <w:jc w:val="center"/>
              <w:rPr>
                <w:szCs w:val="20"/>
              </w:rPr>
            </w:pPr>
          </w:p>
        </w:tc>
        <w:tc>
          <w:tcPr>
            <w:tcW w:w="0" w:type="auto"/>
            <w:tcBorders>
              <w:top w:val="single" w:sz="4" w:space="0" w:color="auto"/>
              <w:bottom w:val="single" w:sz="4" w:space="0" w:color="auto"/>
            </w:tcBorders>
          </w:tcPr>
          <w:p w14:paraId="63E4F52F" w14:textId="77777777" w:rsidR="008A61E0" w:rsidRPr="005629D6" w:rsidRDefault="008A61E0" w:rsidP="00427F7F">
            <w:pPr>
              <w:jc w:val="center"/>
              <w:rPr>
                <w:szCs w:val="20"/>
              </w:rPr>
            </w:pPr>
            <w:r w:rsidRPr="005629D6">
              <w:rPr>
                <w:szCs w:val="20"/>
              </w:rPr>
              <w:t>OR2</w:t>
            </w:r>
          </w:p>
        </w:tc>
        <w:tc>
          <w:tcPr>
            <w:tcW w:w="245" w:type="dxa"/>
            <w:tcBorders>
              <w:top w:val="single" w:sz="4" w:space="0" w:color="auto"/>
              <w:bottom w:val="single" w:sz="4" w:space="0" w:color="auto"/>
            </w:tcBorders>
          </w:tcPr>
          <w:p w14:paraId="619EF486" w14:textId="77777777" w:rsidR="008A61E0" w:rsidRPr="005629D6" w:rsidRDefault="008A61E0" w:rsidP="00427F7F">
            <w:pPr>
              <w:jc w:val="center"/>
              <w:rPr>
                <w:szCs w:val="20"/>
              </w:rPr>
            </w:pPr>
            <w:r w:rsidRPr="005629D6">
              <w:rPr>
                <w:szCs w:val="20"/>
              </w:rPr>
              <w:t>OR10</w:t>
            </w:r>
          </w:p>
        </w:tc>
        <w:tc>
          <w:tcPr>
            <w:tcW w:w="1075" w:type="dxa"/>
            <w:tcBorders>
              <w:top w:val="single" w:sz="4" w:space="0" w:color="auto"/>
              <w:bottom w:val="single" w:sz="4" w:space="0" w:color="auto"/>
            </w:tcBorders>
          </w:tcPr>
          <w:p w14:paraId="2A179A76" w14:textId="77777777" w:rsidR="008A61E0" w:rsidRPr="005629D6" w:rsidRDefault="008A61E0" w:rsidP="00427F7F">
            <w:pPr>
              <w:jc w:val="center"/>
              <w:rPr>
                <w:szCs w:val="20"/>
              </w:rPr>
            </w:pPr>
            <w:r w:rsidRPr="005629D6">
              <w:rPr>
                <w:szCs w:val="20"/>
              </w:rPr>
              <w:t>OR17</w:t>
            </w:r>
          </w:p>
        </w:tc>
        <w:tc>
          <w:tcPr>
            <w:tcW w:w="0" w:type="auto"/>
            <w:tcBorders>
              <w:top w:val="single" w:sz="4" w:space="0" w:color="auto"/>
              <w:bottom w:val="single" w:sz="4" w:space="0" w:color="auto"/>
            </w:tcBorders>
          </w:tcPr>
          <w:p w14:paraId="668D7C47" w14:textId="77777777" w:rsidR="008A61E0" w:rsidRPr="005629D6" w:rsidRDefault="008A61E0" w:rsidP="00427F7F">
            <w:pPr>
              <w:jc w:val="center"/>
              <w:rPr>
                <w:szCs w:val="20"/>
              </w:rPr>
            </w:pPr>
            <w:r w:rsidRPr="005629D6">
              <w:rPr>
                <w:szCs w:val="20"/>
              </w:rPr>
              <w:t>OR20</w:t>
            </w:r>
          </w:p>
        </w:tc>
        <w:tc>
          <w:tcPr>
            <w:tcW w:w="0" w:type="auto"/>
            <w:tcBorders>
              <w:top w:val="single" w:sz="4" w:space="0" w:color="auto"/>
              <w:bottom w:val="single" w:sz="4" w:space="0" w:color="auto"/>
            </w:tcBorders>
          </w:tcPr>
          <w:p w14:paraId="5CE5A0B5" w14:textId="77777777" w:rsidR="008A61E0" w:rsidRPr="005629D6" w:rsidRDefault="008A61E0" w:rsidP="00427F7F">
            <w:pPr>
              <w:jc w:val="center"/>
              <w:rPr>
                <w:szCs w:val="20"/>
              </w:rPr>
            </w:pPr>
            <w:r w:rsidRPr="005629D6">
              <w:rPr>
                <w:szCs w:val="20"/>
              </w:rPr>
              <w:t>OR22c</w:t>
            </w:r>
          </w:p>
        </w:tc>
        <w:tc>
          <w:tcPr>
            <w:tcW w:w="0" w:type="auto"/>
            <w:tcBorders>
              <w:top w:val="single" w:sz="4" w:space="0" w:color="auto"/>
              <w:bottom w:val="single" w:sz="4" w:space="0" w:color="auto"/>
            </w:tcBorders>
          </w:tcPr>
          <w:p w14:paraId="705335B0" w14:textId="77777777" w:rsidR="008A61E0" w:rsidRPr="005629D6" w:rsidRDefault="008A61E0" w:rsidP="00427F7F">
            <w:pPr>
              <w:jc w:val="center"/>
              <w:rPr>
                <w:szCs w:val="20"/>
              </w:rPr>
            </w:pPr>
            <w:r w:rsidRPr="005629D6">
              <w:rPr>
                <w:szCs w:val="20"/>
              </w:rPr>
              <w:t>OR39</w:t>
            </w:r>
          </w:p>
        </w:tc>
      </w:tr>
      <w:tr w:rsidR="008A61E0" w:rsidRPr="005629D6" w14:paraId="331FFD0F" w14:textId="77777777" w:rsidTr="00942FD3">
        <w:trPr>
          <w:trHeight w:val="382"/>
          <w:jc w:val="center"/>
        </w:trPr>
        <w:tc>
          <w:tcPr>
            <w:tcW w:w="0" w:type="auto"/>
            <w:tcBorders>
              <w:top w:val="single" w:sz="4" w:space="0" w:color="auto"/>
            </w:tcBorders>
          </w:tcPr>
          <w:p w14:paraId="7A85FA4A" w14:textId="1355F310" w:rsidR="008A61E0" w:rsidRPr="005629D6" w:rsidRDefault="008A61E0" w:rsidP="00427F7F">
            <w:pPr>
              <w:jc w:val="center"/>
              <w:rPr>
                <w:szCs w:val="20"/>
              </w:rPr>
            </w:pPr>
            <w:r w:rsidRPr="005629D6">
              <w:rPr>
                <w:szCs w:val="20"/>
              </w:rPr>
              <w:t>(4a</w:t>
            </w:r>
            <w:r w:rsidRPr="005629D6">
              <w:rPr>
                <w:i/>
                <w:iCs/>
                <w:szCs w:val="20"/>
              </w:rPr>
              <w:t>S</w:t>
            </w:r>
            <w:r w:rsidRPr="005629D6">
              <w:rPr>
                <w:szCs w:val="20"/>
              </w:rPr>
              <w:t>,7</w:t>
            </w:r>
            <w:r w:rsidRPr="005629D6">
              <w:rPr>
                <w:i/>
                <w:iCs/>
                <w:szCs w:val="20"/>
              </w:rPr>
              <w:t>S</w:t>
            </w:r>
            <w:r w:rsidRPr="005629D6">
              <w:rPr>
                <w:szCs w:val="20"/>
              </w:rPr>
              <w:t>,7a</w:t>
            </w:r>
            <w:r w:rsidRPr="005629D6">
              <w:rPr>
                <w:i/>
                <w:iCs/>
                <w:szCs w:val="20"/>
              </w:rPr>
              <w:t>R</w:t>
            </w:r>
            <w:r w:rsidRPr="005629D6">
              <w:rPr>
                <w:szCs w:val="20"/>
              </w:rPr>
              <w:t>)-nepetalactone</w:t>
            </w:r>
          </w:p>
        </w:tc>
        <w:tc>
          <w:tcPr>
            <w:tcW w:w="0" w:type="auto"/>
            <w:tcBorders>
              <w:top w:val="single" w:sz="4" w:space="0" w:color="auto"/>
            </w:tcBorders>
          </w:tcPr>
          <w:p w14:paraId="00DFD77B" w14:textId="77777777" w:rsidR="008A61E0" w:rsidRPr="005629D6" w:rsidRDefault="008A61E0" w:rsidP="00427F7F">
            <w:pPr>
              <w:jc w:val="center"/>
              <w:rPr>
                <w:szCs w:val="20"/>
              </w:rPr>
            </w:pPr>
            <w:r w:rsidRPr="005629D6">
              <w:rPr>
                <w:szCs w:val="20"/>
              </w:rPr>
              <w:t>-6.8</w:t>
            </w:r>
          </w:p>
        </w:tc>
        <w:tc>
          <w:tcPr>
            <w:tcW w:w="245" w:type="dxa"/>
            <w:tcBorders>
              <w:top w:val="single" w:sz="4" w:space="0" w:color="auto"/>
            </w:tcBorders>
          </w:tcPr>
          <w:p w14:paraId="265A410F" w14:textId="4BD7D085" w:rsidR="008A61E0" w:rsidRPr="005629D6" w:rsidRDefault="008A61E0" w:rsidP="00427F7F">
            <w:pPr>
              <w:jc w:val="center"/>
              <w:rPr>
                <w:szCs w:val="20"/>
              </w:rPr>
            </w:pPr>
            <w:r w:rsidRPr="005629D6">
              <w:rPr>
                <w:szCs w:val="20"/>
              </w:rPr>
              <w:t>-7.0</w:t>
            </w:r>
          </w:p>
        </w:tc>
        <w:tc>
          <w:tcPr>
            <w:tcW w:w="1075" w:type="dxa"/>
            <w:tcBorders>
              <w:top w:val="single" w:sz="4" w:space="0" w:color="auto"/>
            </w:tcBorders>
          </w:tcPr>
          <w:p w14:paraId="6F7E98D7" w14:textId="77777777" w:rsidR="008A61E0" w:rsidRPr="005629D6" w:rsidRDefault="008A61E0" w:rsidP="00427F7F">
            <w:pPr>
              <w:jc w:val="center"/>
              <w:rPr>
                <w:szCs w:val="20"/>
              </w:rPr>
            </w:pPr>
            <w:r w:rsidRPr="005629D6">
              <w:rPr>
                <w:szCs w:val="20"/>
              </w:rPr>
              <w:t>-7.2</w:t>
            </w:r>
          </w:p>
        </w:tc>
        <w:tc>
          <w:tcPr>
            <w:tcW w:w="0" w:type="auto"/>
            <w:tcBorders>
              <w:top w:val="single" w:sz="4" w:space="0" w:color="auto"/>
            </w:tcBorders>
          </w:tcPr>
          <w:p w14:paraId="66BA64E1" w14:textId="79C882B3" w:rsidR="008A61E0" w:rsidRPr="005629D6" w:rsidRDefault="008A61E0" w:rsidP="00427F7F">
            <w:pPr>
              <w:jc w:val="center"/>
              <w:rPr>
                <w:b/>
                <w:bCs/>
                <w:szCs w:val="20"/>
              </w:rPr>
            </w:pPr>
            <w:r w:rsidRPr="005629D6">
              <w:rPr>
                <w:b/>
                <w:bCs/>
                <w:szCs w:val="20"/>
              </w:rPr>
              <w:t>-7.</w:t>
            </w:r>
            <w:r w:rsidR="00E15AED" w:rsidRPr="005629D6">
              <w:rPr>
                <w:b/>
                <w:bCs/>
                <w:szCs w:val="20"/>
              </w:rPr>
              <w:t>3</w:t>
            </w:r>
          </w:p>
        </w:tc>
        <w:tc>
          <w:tcPr>
            <w:tcW w:w="0" w:type="auto"/>
            <w:tcBorders>
              <w:top w:val="single" w:sz="4" w:space="0" w:color="auto"/>
            </w:tcBorders>
          </w:tcPr>
          <w:p w14:paraId="17BCFC35" w14:textId="48B635A1" w:rsidR="008A61E0" w:rsidRPr="005629D6" w:rsidRDefault="008A61E0" w:rsidP="00427F7F">
            <w:pPr>
              <w:jc w:val="center"/>
              <w:rPr>
                <w:szCs w:val="20"/>
              </w:rPr>
            </w:pPr>
            <w:r w:rsidRPr="005629D6">
              <w:rPr>
                <w:szCs w:val="20"/>
              </w:rPr>
              <w:t>-6.</w:t>
            </w:r>
            <w:r w:rsidR="00E15AED" w:rsidRPr="005629D6">
              <w:rPr>
                <w:szCs w:val="20"/>
              </w:rPr>
              <w:t>9</w:t>
            </w:r>
          </w:p>
        </w:tc>
        <w:tc>
          <w:tcPr>
            <w:tcW w:w="0" w:type="auto"/>
            <w:tcBorders>
              <w:top w:val="single" w:sz="4" w:space="0" w:color="auto"/>
            </w:tcBorders>
          </w:tcPr>
          <w:p w14:paraId="48244962" w14:textId="11342BF8" w:rsidR="008A61E0" w:rsidRPr="005629D6" w:rsidRDefault="008A61E0" w:rsidP="00427F7F">
            <w:pPr>
              <w:jc w:val="center"/>
              <w:rPr>
                <w:szCs w:val="20"/>
              </w:rPr>
            </w:pPr>
            <w:r w:rsidRPr="005629D6">
              <w:rPr>
                <w:szCs w:val="20"/>
              </w:rPr>
              <w:t>-6.7</w:t>
            </w:r>
          </w:p>
        </w:tc>
      </w:tr>
      <w:tr w:rsidR="008A61E0" w:rsidRPr="005629D6" w14:paraId="09E2334E" w14:textId="77777777" w:rsidTr="00942FD3">
        <w:trPr>
          <w:trHeight w:val="755"/>
          <w:jc w:val="center"/>
        </w:trPr>
        <w:tc>
          <w:tcPr>
            <w:tcW w:w="0" w:type="auto"/>
          </w:tcPr>
          <w:p w14:paraId="6D3BF4B9" w14:textId="1D5226E0" w:rsidR="008A61E0" w:rsidRPr="005629D6" w:rsidRDefault="008A61E0" w:rsidP="00427F7F">
            <w:pPr>
              <w:jc w:val="center"/>
              <w:rPr>
                <w:b/>
                <w:bCs/>
                <w:szCs w:val="20"/>
              </w:rPr>
            </w:pPr>
            <w:r w:rsidRPr="005629D6">
              <w:rPr>
                <w:szCs w:val="20"/>
              </w:rPr>
              <w:t>(1</w:t>
            </w:r>
            <w:r w:rsidRPr="005629D6">
              <w:rPr>
                <w:i/>
                <w:szCs w:val="20"/>
              </w:rPr>
              <w:t>R</w:t>
            </w:r>
            <w:r w:rsidRPr="005629D6">
              <w:rPr>
                <w:szCs w:val="20"/>
              </w:rPr>
              <w:t>,4a</w:t>
            </w:r>
            <w:r w:rsidRPr="005629D6">
              <w:rPr>
                <w:i/>
                <w:szCs w:val="20"/>
              </w:rPr>
              <w:t>S</w:t>
            </w:r>
            <w:r w:rsidRPr="005629D6">
              <w:rPr>
                <w:szCs w:val="20"/>
              </w:rPr>
              <w:t>,7</w:t>
            </w:r>
            <w:r w:rsidRPr="005629D6">
              <w:rPr>
                <w:i/>
                <w:szCs w:val="20"/>
              </w:rPr>
              <w:t>S</w:t>
            </w:r>
            <w:r w:rsidRPr="005629D6">
              <w:rPr>
                <w:szCs w:val="20"/>
              </w:rPr>
              <w:t>,7a</w:t>
            </w:r>
            <w:r w:rsidRPr="005629D6">
              <w:rPr>
                <w:i/>
                <w:szCs w:val="20"/>
              </w:rPr>
              <w:t>R</w:t>
            </w:r>
            <w:r w:rsidRPr="005629D6">
              <w:rPr>
                <w:szCs w:val="20"/>
              </w:rPr>
              <w:t>)-</w:t>
            </w:r>
            <w:proofErr w:type="spellStart"/>
            <w:r w:rsidRPr="005629D6">
              <w:rPr>
                <w:szCs w:val="20"/>
              </w:rPr>
              <w:t>nepetalactol</w:t>
            </w:r>
            <w:proofErr w:type="spellEnd"/>
          </w:p>
        </w:tc>
        <w:tc>
          <w:tcPr>
            <w:tcW w:w="0" w:type="auto"/>
          </w:tcPr>
          <w:p w14:paraId="302859F7" w14:textId="77777777" w:rsidR="008A61E0" w:rsidRPr="005629D6" w:rsidRDefault="008A61E0" w:rsidP="00427F7F">
            <w:pPr>
              <w:jc w:val="center"/>
              <w:rPr>
                <w:szCs w:val="20"/>
              </w:rPr>
            </w:pPr>
            <w:r w:rsidRPr="005629D6">
              <w:rPr>
                <w:szCs w:val="20"/>
              </w:rPr>
              <w:t>-6.8</w:t>
            </w:r>
          </w:p>
        </w:tc>
        <w:tc>
          <w:tcPr>
            <w:tcW w:w="245" w:type="dxa"/>
          </w:tcPr>
          <w:p w14:paraId="17101CD8" w14:textId="316750E3" w:rsidR="008A61E0" w:rsidRPr="005629D6" w:rsidRDefault="008A61E0" w:rsidP="00427F7F">
            <w:pPr>
              <w:jc w:val="center"/>
              <w:rPr>
                <w:szCs w:val="20"/>
              </w:rPr>
            </w:pPr>
            <w:r w:rsidRPr="005629D6">
              <w:rPr>
                <w:szCs w:val="20"/>
              </w:rPr>
              <w:t>-6.3</w:t>
            </w:r>
          </w:p>
        </w:tc>
        <w:tc>
          <w:tcPr>
            <w:tcW w:w="1075" w:type="dxa"/>
          </w:tcPr>
          <w:p w14:paraId="602F4237" w14:textId="39F28C85" w:rsidR="008A61E0" w:rsidRPr="005629D6" w:rsidRDefault="008A61E0" w:rsidP="00427F7F">
            <w:pPr>
              <w:jc w:val="center"/>
              <w:rPr>
                <w:szCs w:val="20"/>
              </w:rPr>
            </w:pPr>
            <w:r w:rsidRPr="005629D6">
              <w:rPr>
                <w:szCs w:val="20"/>
              </w:rPr>
              <w:t>-7.</w:t>
            </w:r>
            <w:r w:rsidR="00E15AED" w:rsidRPr="005629D6">
              <w:rPr>
                <w:szCs w:val="20"/>
              </w:rPr>
              <w:t>2</w:t>
            </w:r>
          </w:p>
        </w:tc>
        <w:tc>
          <w:tcPr>
            <w:tcW w:w="0" w:type="auto"/>
          </w:tcPr>
          <w:p w14:paraId="100C1738" w14:textId="0DA54C81" w:rsidR="008A61E0" w:rsidRPr="005629D6" w:rsidRDefault="008A61E0" w:rsidP="00427F7F">
            <w:pPr>
              <w:jc w:val="center"/>
              <w:rPr>
                <w:b/>
                <w:bCs/>
                <w:szCs w:val="20"/>
              </w:rPr>
            </w:pPr>
            <w:r w:rsidRPr="005629D6">
              <w:rPr>
                <w:b/>
                <w:bCs/>
                <w:szCs w:val="20"/>
              </w:rPr>
              <w:t>-7.</w:t>
            </w:r>
            <w:r w:rsidR="00E15AED" w:rsidRPr="005629D6">
              <w:rPr>
                <w:b/>
                <w:bCs/>
                <w:szCs w:val="20"/>
              </w:rPr>
              <w:t>3</w:t>
            </w:r>
          </w:p>
        </w:tc>
        <w:tc>
          <w:tcPr>
            <w:tcW w:w="0" w:type="auto"/>
          </w:tcPr>
          <w:p w14:paraId="3AE36DA6" w14:textId="3A146492" w:rsidR="008A61E0" w:rsidRPr="005629D6" w:rsidRDefault="008A61E0" w:rsidP="00427F7F">
            <w:pPr>
              <w:jc w:val="center"/>
              <w:rPr>
                <w:szCs w:val="20"/>
              </w:rPr>
            </w:pPr>
            <w:r w:rsidRPr="005629D6">
              <w:rPr>
                <w:szCs w:val="20"/>
              </w:rPr>
              <w:t>-6.8</w:t>
            </w:r>
          </w:p>
        </w:tc>
        <w:tc>
          <w:tcPr>
            <w:tcW w:w="0" w:type="auto"/>
          </w:tcPr>
          <w:p w14:paraId="41F25CE2" w14:textId="198791B4" w:rsidR="008A61E0" w:rsidRPr="005629D6" w:rsidRDefault="008A61E0" w:rsidP="00427F7F">
            <w:pPr>
              <w:jc w:val="center"/>
              <w:rPr>
                <w:szCs w:val="20"/>
              </w:rPr>
            </w:pPr>
            <w:r w:rsidRPr="005629D6">
              <w:rPr>
                <w:szCs w:val="20"/>
              </w:rPr>
              <w:t>-6.3</w:t>
            </w:r>
          </w:p>
        </w:tc>
      </w:tr>
      <w:tr w:rsidR="008A61E0" w:rsidRPr="005629D6" w14:paraId="23C3BB8C" w14:textId="77777777" w:rsidTr="00942FD3">
        <w:trPr>
          <w:trHeight w:val="382"/>
          <w:jc w:val="center"/>
        </w:trPr>
        <w:tc>
          <w:tcPr>
            <w:tcW w:w="0" w:type="auto"/>
          </w:tcPr>
          <w:p w14:paraId="45D6EBB6" w14:textId="0E45A0FD" w:rsidR="008A61E0" w:rsidRPr="005629D6" w:rsidRDefault="008A61E0" w:rsidP="00427F7F">
            <w:pPr>
              <w:jc w:val="center"/>
              <w:rPr>
                <w:b/>
                <w:bCs/>
                <w:szCs w:val="20"/>
              </w:rPr>
            </w:pPr>
            <w:r w:rsidRPr="005629D6">
              <w:rPr>
                <w:szCs w:val="20"/>
              </w:rPr>
              <w:t>(4a</w:t>
            </w:r>
            <w:r w:rsidRPr="005629D6">
              <w:rPr>
                <w:i/>
                <w:iCs/>
                <w:szCs w:val="20"/>
              </w:rPr>
              <w:t>R</w:t>
            </w:r>
            <w:r w:rsidRPr="005629D6">
              <w:rPr>
                <w:szCs w:val="20"/>
              </w:rPr>
              <w:t>,7</w:t>
            </w:r>
            <w:r w:rsidRPr="005629D6">
              <w:rPr>
                <w:i/>
                <w:iCs/>
                <w:szCs w:val="20"/>
              </w:rPr>
              <w:t>R</w:t>
            </w:r>
            <w:r w:rsidRPr="005629D6">
              <w:rPr>
                <w:szCs w:val="20"/>
              </w:rPr>
              <w:t>,7a</w:t>
            </w:r>
            <w:r w:rsidRPr="005629D6">
              <w:rPr>
                <w:i/>
                <w:iCs/>
                <w:szCs w:val="20"/>
              </w:rPr>
              <w:t>S</w:t>
            </w:r>
            <w:r w:rsidRPr="005629D6">
              <w:rPr>
                <w:szCs w:val="20"/>
              </w:rPr>
              <w:t>)-nepetalactone</w:t>
            </w:r>
          </w:p>
        </w:tc>
        <w:tc>
          <w:tcPr>
            <w:tcW w:w="0" w:type="auto"/>
          </w:tcPr>
          <w:p w14:paraId="611D7DAE" w14:textId="4FB77E02" w:rsidR="008A61E0" w:rsidRPr="005629D6" w:rsidRDefault="008A61E0" w:rsidP="00427F7F">
            <w:pPr>
              <w:jc w:val="center"/>
              <w:rPr>
                <w:szCs w:val="20"/>
              </w:rPr>
            </w:pPr>
            <w:r w:rsidRPr="005629D6">
              <w:rPr>
                <w:szCs w:val="20"/>
              </w:rPr>
              <w:t>-6.8</w:t>
            </w:r>
          </w:p>
        </w:tc>
        <w:tc>
          <w:tcPr>
            <w:tcW w:w="245" w:type="dxa"/>
          </w:tcPr>
          <w:p w14:paraId="436B70E0" w14:textId="531ED0B6" w:rsidR="008A61E0" w:rsidRPr="005629D6" w:rsidRDefault="008A61E0" w:rsidP="00427F7F">
            <w:pPr>
              <w:jc w:val="center"/>
              <w:rPr>
                <w:szCs w:val="20"/>
              </w:rPr>
            </w:pPr>
            <w:r w:rsidRPr="005629D6">
              <w:rPr>
                <w:szCs w:val="20"/>
              </w:rPr>
              <w:t>-6.</w:t>
            </w:r>
            <w:r w:rsidR="00E15AED" w:rsidRPr="005629D6">
              <w:rPr>
                <w:szCs w:val="20"/>
              </w:rPr>
              <w:t>8</w:t>
            </w:r>
          </w:p>
        </w:tc>
        <w:tc>
          <w:tcPr>
            <w:tcW w:w="1075" w:type="dxa"/>
          </w:tcPr>
          <w:p w14:paraId="0BD61419" w14:textId="00DFB5E9" w:rsidR="008A61E0" w:rsidRPr="005629D6" w:rsidRDefault="008A61E0" w:rsidP="00427F7F">
            <w:pPr>
              <w:jc w:val="center"/>
              <w:rPr>
                <w:szCs w:val="20"/>
              </w:rPr>
            </w:pPr>
            <w:r w:rsidRPr="005629D6">
              <w:rPr>
                <w:szCs w:val="20"/>
              </w:rPr>
              <w:t>-7.</w:t>
            </w:r>
            <w:r w:rsidR="00E15AED" w:rsidRPr="005629D6">
              <w:rPr>
                <w:szCs w:val="20"/>
              </w:rPr>
              <w:t>3</w:t>
            </w:r>
          </w:p>
        </w:tc>
        <w:tc>
          <w:tcPr>
            <w:tcW w:w="0" w:type="auto"/>
          </w:tcPr>
          <w:p w14:paraId="2ECDCAF1" w14:textId="3DFE2655" w:rsidR="008A61E0" w:rsidRPr="005629D6" w:rsidRDefault="008A61E0" w:rsidP="00427F7F">
            <w:pPr>
              <w:jc w:val="center"/>
              <w:rPr>
                <w:b/>
                <w:bCs/>
                <w:szCs w:val="20"/>
              </w:rPr>
            </w:pPr>
            <w:r w:rsidRPr="005629D6">
              <w:rPr>
                <w:b/>
                <w:bCs/>
                <w:szCs w:val="20"/>
              </w:rPr>
              <w:t>-7.</w:t>
            </w:r>
            <w:r w:rsidR="00E15AED" w:rsidRPr="005629D6">
              <w:rPr>
                <w:b/>
                <w:bCs/>
                <w:szCs w:val="20"/>
              </w:rPr>
              <w:t>4</w:t>
            </w:r>
          </w:p>
        </w:tc>
        <w:tc>
          <w:tcPr>
            <w:tcW w:w="0" w:type="auto"/>
          </w:tcPr>
          <w:p w14:paraId="27EF3A72" w14:textId="5D8E6061" w:rsidR="008A61E0" w:rsidRPr="005629D6" w:rsidRDefault="008A61E0" w:rsidP="00427F7F">
            <w:pPr>
              <w:jc w:val="center"/>
              <w:rPr>
                <w:szCs w:val="20"/>
              </w:rPr>
            </w:pPr>
            <w:r w:rsidRPr="005629D6">
              <w:rPr>
                <w:szCs w:val="20"/>
              </w:rPr>
              <w:t>-6.8</w:t>
            </w:r>
          </w:p>
        </w:tc>
        <w:tc>
          <w:tcPr>
            <w:tcW w:w="0" w:type="auto"/>
          </w:tcPr>
          <w:p w14:paraId="1FA1F86A" w14:textId="558B13A2" w:rsidR="008A61E0" w:rsidRPr="005629D6" w:rsidRDefault="008A61E0" w:rsidP="00427F7F">
            <w:pPr>
              <w:jc w:val="center"/>
              <w:rPr>
                <w:szCs w:val="20"/>
              </w:rPr>
            </w:pPr>
            <w:r w:rsidRPr="005629D6">
              <w:rPr>
                <w:szCs w:val="20"/>
              </w:rPr>
              <w:t>-6.</w:t>
            </w:r>
            <w:r w:rsidR="00E15AED" w:rsidRPr="005629D6">
              <w:rPr>
                <w:szCs w:val="20"/>
              </w:rPr>
              <w:t>7</w:t>
            </w:r>
          </w:p>
        </w:tc>
      </w:tr>
      <w:tr w:rsidR="008A61E0" w:rsidRPr="005629D6" w14:paraId="41324951" w14:textId="77777777" w:rsidTr="00942FD3">
        <w:trPr>
          <w:trHeight w:val="755"/>
          <w:jc w:val="center"/>
        </w:trPr>
        <w:tc>
          <w:tcPr>
            <w:tcW w:w="0" w:type="auto"/>
            <w:tcBorders>
              <w:bottom w:val="single" w:sz="4" w:space="0" w:color="auto"/>
            </w:tcBorders>
          </w:tcPr>
          <w:p w14:paraId="26FEB6D0" w14:textId="362901AE" w:rsidR="008A61E0" w:rsidRPr="005629D6" w:rsidRDefault="008A61E0" w:rsidP="00427F7F">
            <w:pPr>
              <w:jc w:val="center"/>
              <w:rPr>
                <w:b/>
                <w:bCs/>
                <w:szCs w:val="20"/>
              </w:rPr>
            </w:pPr>
            <w:r w:rsidRPr="005629D6">
              <w:rPr>
                <w:szCs w:val="20"/>
              </w:rPr>
              <w:t>(1</w:t>
            </w:r>
            <w:r w:rsidRPr="005629D6">
              <w:rPr>
                <w:i/>
                <w:iCs/>
                <w:szCs w:val="20"/>
              </w:rPr>
              <w:t>S</w:t>
            </w:r>
            <w:r w:rsidRPr="005629D6">
              <w:rPr>
                <w:szCs w:val="20"/>
              </w:rPr>
              <w:t>,4a</w:t>
            </w:r>
            <w:r w:rsidRPr="005629D6">
              <w:rPr>
                <w:i/>
                <w:iCs/>
                <w:szCs w:val="20"/>
              </w:rPr>
              <w:t>R</w:t>
            </w:r>
            <w:r w:rsidRPr="005629D6">
              <w:rPr>
                <w:szCs w:val="20"/>
              </w:rPr>
              <w:t>,7</w:t>
            </w:r>
            <w:r w:rsidRPr="005629D6">
              <w:rPr>
                <w:i/>
                <w:iCs/>
                <w:szCs w:val="20"/>
              </w:rPr>
              <w:t>R</w:t>
            </w:r>
            <w:r w:rsidRPr="005629D6">
              <w:rPr>
                <w:szCs w:val="20"/>
              </w:rPr>
              <w:t>,7a</w:t>
            </w:r>
            <w:r w:rsidRPr="005629D6">
              <w:rPr>
                <w:i/>
                <w:iCs/>
                <w:szCs w:val="20"/>
              </w:rPr>
              <w:t>S</w:t>
            </w:r>
            <w:r w:rsidRPr="005629D6">
              <w:rPr>
                <w:szCs w:val="20"/>
              </w:rPr>
              <w:t>)-</w:t>
            </w:r>
            <w:proofErr w:type="spellStart"/>
            <w:r w:rsidRPr="005629D6">
              <w:rPr>
                <w:szCs w:val="20"/>
              </w:rPr>
              <w:t>nepetalactol</w:t>
            </w:r>
            <w:proofErr w:type="spellEnd"/>
          </w:p>
        </w:tc>
        <w:tc>
          <w:tcPr>
            <w:tcW w:w="0" w:type="auto"/>
            <w:tcBorders>
              <w:bottom w:val="single" w:sz="4" w:space="0" w:color="auto"/>
            </w:tcBorders>
          </w:tcPr>
          <w:p w14:paraId="14B811F2" w14:textId="635BB18E" w:rsidR="008A61E0" w:rsidRPr="005629D6" w:rsidRDefault="008A61E0" w:rsidP="00427F7F">
            <w:pPr>
              <w:jc w:val="center"/>
              <w:rPr>
                <w:szCs w:val="20"/>
              </w:rPr>
            </w:pPr>
            <w:r w:rsidRPr="005629D6">
              <w:rPr>
                <w:szCs w:val="20"/>
              </w:rPr>
              <w:t>-6.8</w:t>
            </w:r>
          </w:p>
        </w:tc>
        <w:tc>
          <w:tcPr>
            <w:tcW w:w="245" w:type="dxa"/>
            <w:tcBorders>
              <w:bottom w:val="single" w:sz="4" w:space="0" w:color="auto"/>
            </w:tcBorders>
          </w:tcPr>
          <w:p w14:paraId="74953638" w14:textId="751FE330" w:rsidR="008A61E0" w:rsidRPr="005629D6" w:rsidRDefault="008A61E0" w:rsidP="00427F7F">
            <w:pPr>
              <w:jc w:val="center"/>
              <w:rPr>
                <w:szCs w:val="20"/>
              </w:rPr>
            </w:pPr>
            <w:r w:rsidRPr="005629D6">
              <w:rPr>
                <w:szCs w:val="20"/>
              </w:rPr>
              <w:t>-6.</w:t>
            </w:r>
            <w:r w:rsidR="00E15AED" w:rsidRPr="005629D6">
              <w:rPr>
                <w:szCs w:val="20"/>
              </w:rPr>
              <w:t>7</w:t>
            </w:r>
          </w:p>
        </w:tc>
        <w:tc>
          <w:tcPr>
            <w:tcW w:w="1075" w:type="dxa"/>
            <w:tcBorders>
              <w:bottom w:val="single" w:sz="4" w:space="0" w:color="auto"/>
            </w:tcBorders>
          </w:tcPr>
          <w:p w14:paraId="1B4E0339" w14:textId="5BF0D0BE" w:rsidR="008A61E0" w:rsidRPr="005629D6" w:rsidRDefault="008A61E0" w:rsidP="00427F7F">
            <w:pPr>
              <w:jc w:val="center"/>
              <w:rPr>
                <w:b/>
                <w:bCs/>
                <w:szCs w:val="20"/>
              </w:rPr>
            </w:pPr>
            <w:r w:rsidRPr="005629D6">
              <w:rPr>
                <w:b/>
                <w:bCs/>
                <w:szCs w:val="20"/>
              </w:rPr>
              <w:t>-7.</w:t>
            </w:r>
            <w:r w:rsidR="00E15AED" w:rsidRPr="005629D6">
              <w:rPr>
                <w:b/>
                <w:bCs/>
                <w:szCs w:val="20"/>
              </w:rPr>
              <w:t>4</w:t>
            </w:r>
          </w:p>
        </w:tc>
        <w:tc>
          <w:tcPr>
            <w:tcW w:w="0" w:type="auto"/>
            <w:tcBorders>
              <w:bottom w:val="single" w:sz="4" w:space="0" w:color="auto"/>
            </w:tcBorders>
          </w:tcPr>
          <w:p w14:paraId="1ADE655F" w14:textId="6EDA9B13" w:rsidR="008A61E0" w:rsidRPr="005629D6" w:rsidRDefault="008A61E0" w:rsidP="00427F7F">
            <w:pPr>
              <w:jc w:val="center"/>
              <w:rPr>
                <w:szCs w:val="20"/>
              </w:rPr>
            </w:pPr>
            <w:r w:rsidRPr="005629D6">
              <w:rPr>
                <w:szCs w:val="20"/>
              </w:rPr>
              <w:t>-7.</w:t>
            </w:r>
            <w:r w:rsidR="00E15AED" w:rsidRPr="005629D6">
              <w:rPr>
                <w:szCs w:val="20"/>
              </w:rPr>
              <w:t>2</w:t>
            </w:r>
          </w:p>
        </w:tc>
        <w:tc>
          <w:tcPr>
            <w:tcW w:w="0" w:type="auto"/>
            <w:tcBorders>
              <w:bottom w:val="single" w:sz="4" w:space="0" w:color="auto"/>
            </w:tcBorders>
          </w:tcPr>
          <w:p w14:paraId="60E3A1CF" w14:textId="537C2B1A" w:rsidR="008A61E0" w:rsidRPr="005629D6" w:rsidRDefault="008A61E0" w:rsidP="00427F7F">
            <w:pPr>
              <w:jc w:val="center"/>
              <w:rPr>
                <w:szCs w:val="20"/>
              </w:rPr>
            </w:pPr>
            <w:r w:rsidRPr="005629D6">
              <w:rPr>
                <w:szCs w:val="20"/>
              </w:rPr>
              <w:t>-6.5</w:t>
            </w:r>
          </w:p>
        </w:tc>
        <w:tc>
          <w:tcPr>
            <w:tcW w:w="0" w:type="auto"/>
            <w:tcBorders>
              <w:bottom w:val="single" w:sz="4" w:space="0" w:color="auto"/>
            </w:tcBorders>
          </w:tcPr>
          <w:p w14:paraId="17C37A2A" w14:textId="03346C37" w:rsidR="008A61E0" w:rsidRPr="005629D6" w:rsidRDefault="008A61E0" w:rsidP="00427F7F">
            <w:pPr>
              <w:jc w:val="center"/>
              <w:rPr>
                <w:szCs w:val="20"/>
              </w:rPr>
            </w:pPr>
            <w:r w:rsidRPr="005629D6">
              <w:rPr>
                <w:szCs w:val="20"/>
              </w:rPr>
              <w:t>-6.</w:t>
            </w:r>
            <w:r w:rsidR="00E15AED" w:rsidRPr="005629D6">
              <w:rPr>
                <w:szCs w:val="20"/>
              </w:rPr>
              <w:t>7</w:t>
            </w:r>
          </w:p>
        </w:tc>
      </w:tr>
    </w:tbl>
    <w:p w14:paraId="41337AC6" w14:textId="17DAA665" w:rsidR="008A61E0" w:rsidRPr="005629D6" w:rsidRDefault="008A61E0" w:rsidP="008A61E0"/>
    <w:p w14:paraId="6EF9C94E" w14:textId="7E9D6B05" w:rsidR="008A61E0" w:rsidRPr="005629D6" w:rsidRDefault="008A61E0" w:rsidP="008A61E0">
      <w:r w:rsidRPr="005629D6">
        <w:t xml:space="preserve">Of all the receptors, </w:t>
      </w:r>
      <w:r w:rsidR="006B1FFC" w:rsidRPr="005629D6">
        <w:t>Apis</w:t>
      </w:r>
      <w:r w:rsidRPr="005629D6">
        <w:t xml:space="preserve">OR17 and </w:t>
      </w:r>
      <w:r w:rsidR="00213FD6" w:rsidRPr="005629D6">
        <w:t>Apis</w:t>
      </w:r>
      <w:r w:rsidRPr="005629D6">
        <w:t>OR20 showed the highest affinity interaction with the sex pheromone components. Unfortunately, no enantiomeric discrimination was seen based on binding affinity alone, and for five out of the six screened receptors</w:t>
      </w:r>
      <w:r w:rsidR="00213FD6" w:rsidRPr="005629D6">
        <w:t>,</w:t>
      </w:r>
      <w:r w:rsidRPr="005629D6">
        <w:t xml:space="preserve"> both the natural and non-natural enantiomers bound in the same site. </w:t>
      </w:r>
      <w:r w:rsidR="000C32B0" w:rsidRPr="005629D6">
        <w:t>Despite similar binding energy, when</w:t>
      </w:r>
      <w:r w:rsidRPr="005629D6">
        <w:t xml:space="preserve"> binding with </w:t>
      </w:r>
      <w:r w:rsidR="006B1FFC" w:rsidRPr="005629D6">
        <w:t>Apis</w:t>
      </w:r>
      <w:r w:rsidRPr="005629D6">
        <w:t xml:space="preserve">OR2 </w:t>
      </w:r>
      <w:proofErr w:type="gramStart"/>
      <w:r w:rsidRPr="005629D6">
        <w:t>naturally</w:t>
      </w:r>
      <w:r w:rsidR="00620921" w:rsidRPr="005629D6">
        <w:t>-</w:t>
      </w:r>
      <w:r w:rsidRPr="005629D6">
        <w:t>occurring</w:t>
      </w:r>
      <w:proofErr w:type="gramEnd"/>
      <w:r w:rsidRPr="005629D6">
        <w:t xml:space="preserve"> </w:t>
      </w:r>
      <w:proofErr w:type="spellStart"/>
      <w:r w:rsidRPr="005629D6">
        <w:t>nepetalactol</w:t>
      </w:r>
      <w:proofErr w:type="spellEnd"/>
      <w:r w:rsidRPr="005629D6">
        <w:t xml:space="preserve">/lactone and their respective enantiomers </w:t>
      </w:r>
      <w:r w:rsidR="000C32B0" w:rsidRPr="005629D6">
        <w:t>were found</w:t>
      </w:r>
      <w:r w:rsidRPr="005629D6">
        <w:t xml:space="preserve"> in different sites (Figure </w:t>
      </w:r>
      <w:r w:rsidR="004D2E85" w:rsidRPr="005629D6">
        <w:t>7</w:t>
      </w:r>
      <w:r w:rsidRPr="005629D6">
        <w:t xml:space="preserve">). In particular, the </w:t>
      </w:r>
      <w:proofErr w:type="gramStart"/>
      <w:r w:rsidRPr="005629D6">
        <w:t>natural</w:t>
      </w:r>
      <w:r w:rsidR="00620921" w:rsidRPr="005629D6">
        <w:t>ly-occurring</w:t>
      </w:r>
      <w:proofErr w:type="gramEnd"/>
      <w:r w:rsidR="00620921" w:rsidRPr="005629D6">
        <w:t xml:space="preserve"> </w:t>
      </w:r>
      <w:r w:rsidRPr="005629D6">
        <w:t>(1</w:t>
      </w:r>
      <w:r w:rsidRPr="005629D6">
        <w:rPr>
          <w:i/>
        </w:rPr>
        <w:t>R</w:t>
      </w:r>
      <w:r w:rsidRPr="005629D6">
        <w:t>,4a</w:t>
      </w:r>
      <w:r w:rsidRPr="005629D6">
        <w:rPr>
          <w:i/>
        </w:rPr>
        <w:t>S</w:t>
      </w:r>
      <w:r w:rsidRPr="005629D6">
        <w:t>,7</w:t>
      </w:r>
      <w:r w:rsidRPr="005629D6">
        <w:rPr>
          <w:i/>
        </w:rPr>
        <w:t>S</w:t>
      </w:r>
      <w:r w:rsidRPr="005629D6">
        <w:t>,7a</w:t>
      </w:r>
      <w:r w:rsidRPr="005629D6">
        <w:rPr>
          <w:i/>
        </w:rPr>
        <w:t>R</w:t>
      </w:r>
      <w:r w:rsidRPr="005629D6">
        <w:t>)-</w:t>
      </w:r>
      <w:proofErr w:type="spellStart"/>
      <w:r w:rsidRPr="005629D6">
        <w:t>nepetalactol</w:t>
      </w:r>
      <w:proofErr w:type="spellEnd"/>
      <w:r w:rsidRPr="005629D6">
        <w:t xml:space="preserve"> formed a polar hydrogen bond with Met80, whereas no polar contacts were seen between </w:t>
      </w:r>
      <w:r w:rsidR="00213FD6" w:rsidRPr="005629D6">
        <w:t>Apis</w:t>
      </w:r>
      <w:r w:rsidRPr="005629D6">
        <w:t>OR2 and (1</w:t>
      </w:r>
      <w:r w:rsidRPr="005629D6">
        <w:rPr>
          <w:i/>
          <w:iCs/>
        </w:rPr>
        <w:t>S</w:t>
      </w:r>
      <w:r w:rsidRPr="005629D6">
        <w:t>,4a</w:t>
      </w:r>
      <w:r w:rsidRPr="005629D6">
        <w:rPr>
          <w:i/>
          <w:iCs/>
        </w:rPr>
        <w:t>R</w:t>
      </w:r>
      <w:r w:rsidRPr="005629D6">
        <w:t>,7</w:t>
      </w:r>
      <w:r w:rsidRPr="005629D6">
        <w:rPr>
          <w:i/>
          <w:iCs/>
        </w:rPr>
        <w:t>R</w:t>
      </w:r>
      <w:r w:rsidRPr="005629D6">
        <w:t>,7a</w:t>
      </w:r>
      <w:r w:rsidRPr="005629D6">
        <w:rPr>
          <w:i/>
          <w:iCs/>
        </w:rPr>
        <w:t>S</w:t>
      </w:r>
      <w:r w:rsidRPr="005629D6">
        <w:t>)-</w:t>
      </w:r>
      <w:proofErr w:type="spellStart"/>
      <w:r w:rsidRPr="005629D6">
        <w:t>nepetalactol</w:t>
      </w:r>
      <w:proofErr w:type="spellEnd"/>
      <w:r w:rsidR="00C203BB" w:rsidRPr="005629D6">
        <w:t xml:space="preserve"> </w:t>
      </w:r>
      <w:r w:rsidRPr="005629D6">
        <w:t xml:space="preserve">with Asp161. This may indicate a discriminatory ability of </w:t>
      </w:r>
      <w:r w:rsidR="00213FD6" w:rsidRPr="005629D6">
        <w:t>Apis</w:t>
      </w:r>
      <w:r w:rsidRPr="005629D6">
        <w:t>OR2, further demonstrating that the binding site is critical in determining activity.</w:t>
      </w:r>
    </w:p>
    <w:p w14:paraId="1E3092BB" w14:textId="76D5DE72" w:rsidR="008A61E0" w:rsidRPr="005629D6" w:rsidRDefault="008A61E0" w:rsidP="008A61E0">
      <w:r w:rsidRPr="005629D6">
        <w:t xml:space="preserve">Future work is required to evaluate electrophysiological activity of these specific receptors, in addition to knockdown or knockout studies. Advances in molecular techniques, particularly the advent of CRISPR/Cas9, may allow for these genes to be entirely knocked out of aphids or placed into model species to determine activity. </w:t>
      </w:r>
    </w:p>
    <w:p w14:paraId="03377AEB" w14:textId="1F4C9E2A" w:rsidR="009E70FC" w:rsidRPr="005629D6" w:rsidRDefault="001A4A9F" w:rsidP="009E70FC">
      <w:pPr>
        <w:jc w:val="center"/>
        <w:rPr>
          <w:b/>
          <w:bCs/>
          <w:szCs w:val="20"/>
        </w:rPr>
      </w:pPr>
      <w:r w:rsidRPr="005629D6">
        <w:rPr>
          <w:b/>
          <w:bCs/>
          <w:noProof/>
          <w:szCs w:val="20"/>
        </w:rPr>
        <w:drawing>
          <wp:inline distT="0" distB="0" distL="0" distR="0" wp14:anchorId="595C74D8" wp14:editId="67DF1084">
            <wp:extent cx="5731510" cy="18789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extLst>
                        <a:ext uri="{28A0092B-C50C-407E-A947-70E740481C1C}">
                          <a14:useLocalDpi xmlns:a14="http://schemas.microsoft.com/office/drawing/2010/main" val="0"/>
                        </a:ext>
                      </a:extLst>
                    </a:blip>
                    <a:stretch>
                      <a:fillRect/>
                    </a:stretch>
                  </pic:blipFill>
                  <pic:spPr>
                    <a:xfrm>
                      <a:off x="0" y="0"/>
                      <a:ext cx="5731510" cy="1878965"/>
                    </a:xfrm>
                    <a:prstGeom prst="rect">
                      <a:avLst/>
                    </a:prstGeom>
                  </pic:spPr>
                </pic:pic>
              </a:graphicData>
            </a:graphic>
          </wp:inline>
        </w:drawing>
      </w:r>
    </w:p>
    <w:p w14:paraId="7BF2811E" w14:textId="70CA22D4" w:rsidR="001F3A94" w:rsidRPr="005629D6" w:rsidRDefault="009E70FC" w:rsidP="00857D4C">
      <w:pPr>
        <w:jc w:val="center"/>
        <w:rPr>
          <w:szCs w:val="20"/>
        </w:rPr>
      </w:pPr>
      <w:r w:rsidRPr="005629D6">
        <w:rPr>
          <w:b/>
          <w:bCs/>
          <w:szCs w:val="20"/>
        </w:rPr>
        <w:t>Figure 7:</w:t>
      </w:r>
      <w:r w:rsidRPr="005629D6">
        <w:rPr>
          <w:szCs w:val="20"/>
        </w:rPr>
        <w:t xml:space="preserve"> The predicted hydrogen bonding (black) of (1</w:t>
      </w:r>
      <w:r w:rsidRPr="005629D6">
        <w:rPr>
          <w:i/>
          <w:iCs/>
          <w:szCs w:val="20"/>
        </w:rPr>
        <w:t>R</w:t>
      </w:r>
      <w:r w:rsidRPr="005629D6">
        <w:rPr>
          <w:szCs w:val="20"/>
        </w:rPr>
        <w:t>,4a</w:t>
      </w:r>
      <w:r w:rsidRPr="005629D6">
        <w:rPr>
          <w:i/>
          <w:iCs/>
          <w:szCs w:val="20"/>
        </w:rPr>
        <w:t>S</w:t>
      </w:r>
      <w:r w:rsidRPr="005629D6">
        <w:rPr>
          <w:szCs w:val="20"/>
        </w:rPr>
        <w:t>,7</w:t>
      </w:r>
      <w:r w:rsidRPr="005629D6">
        <w:rPr>
          <w:i/>
          <w:iCs/>
          <w:szCs w:val="20"/>
        </w:rPr>
        <w:t>S</w:t>
      </w:r>
      <w:r w:rsidRPr="005629D6">
        <w:rPr>
          <w:szCs w:val="20"/>
        </w:rPr>
        <w:t>,7a</w:t>
      </w:r>
      <w:r w:rsidRPr="005629D6">
        <w:rPr>
          <w:i/>
          <w:iCs/>
          <w:szCs w:val="20"/>
        </w:rPr>
        <w:t>R</w:t>
      </w:r>
      <w:r w:rsidRPr="005629D6">
        <w:rPr>
          <w:szCs w:val="20"/>
        </w:rPr>
        <w:t>)-</w:t>
      </w:r>
      <w:proofErr w:type="spellStart"/>
      <w:r w:rsidRPr="005629D6">
        <w:rPr>
          <w:szCs w:val="20"/>
        </w:rPr>
        <w:t>nepetalactol</w:t>
      </w:r>
      <w:proofErr w:type="spellEnd"/>
      <w:r w:rsidRPr="005629D6">
        <w:rPr>
          <w:szCs w:val="20"/>
        </w:rPr>
        <w:t xml:space="preserve"> with Met80 (A); Both (1</w:t>
      </w:r>
      <w:r w:rsidRPr="005629D6">
        <w:rPr>
          <w:i/>
          <w:iCs/>
          <w:szCs w:val="20"/>
        </w:rPr>
        <w:t>R</w:t>
      </w:r>
      <w:r w:rsidRPr="005629D6">
        <w:rPr>
          <w:szCs w:val="20"/>
        </w:rPr>
        <w:t>,4a</w:t>
      </w:r>
      <w:r w:rsidRPr="005629D6">
        <w:rPr>
          <w:i/>
          <w:iCs/>
          <w:szCs w:val="20"/>
        </w:rPr>
        <w:t>S</w:t>
      </w:r>
      <w:r w:rsidRPr="005629D6">
        <w:rPr>
          <w:szCs w:val="20"/>
        </w:rPr>
        <w:t>,7</w:t>
      </w:r>
      <w:r w:rsidRPr="005629D6">
        <w:rPr>
          <w:i/>
          <w:iCs/>
          <w:szCs w:val="20"/>
        </w:rPr>
        <w:t>S</w:t>
      </w:r>
      <w:r w:rsidRPr="005629D6">
        <w:rPr>
          <w:szCs w:val="20"/>
        </w:rPr>
        <w:t>,7a</w:t>
      </w:r>
      <w:r w:rsidRPr="005629D6">
        <w:rPr>
          <w:i/>
          <w:iCs/>
          <w:szCs w:val="20"/>
        </w:rPr>
        <w:t>R</w:t>
      </w:r>
      <w:r w:rsidRPr="005629D6">
        <w:rPr>
          <w:szCs w:val="20"/>
        </w:rPr>
        <w:t>)-</w:t>
      </w:r>
      <w:proofErr w:type="spellStart"/>
      <w:r w:rsidRPr="005629D6">
        <w:rPr>
          <w:szCs w:val="20"/>
        </w:rPr>
        <w:t>nepetalactol</w:t>
      </w:r>
      <w:proofErr w:type="spellEnd"/>
      <w:r w:rsidRPr="005629D6">
        <w:rPr>
          <w:szCs w:val="20"/>
        </w:rPr>
        <w:t xml:space="preserve"> (green) (1</w:t>
      </w:r>
      <w:r w:rsidRPr="005629D6">
        <w:rPr>
          <w:i/>
          <w:iCs/>
          <w:szCs w:val="20"/>
        </w:rPr>
        <w:t>S</w:t>
      </w:r>
      <w:r w:rsidRPr="005629D6">
        <w:rPr>
          <w:szCs w:val="20"/>
        </w:rPr>
        <w:t>,4a</w:t>
      </w:r>
      <w:r w:rsidRPr="005629D6">
        <w:rPr>
          <w:i/>
          <w:iCs/>
          <w:szCs w:val="20"/>
        </w:rPr>
        <w:t>R</w:t>
      </w:r>
      <w:r w:rsidRPr="005629D6">
        <w:rPr>
          <w:szCs w:val="20"/>
        </w:rPr>
        <w:t>,7</w:t>
      </w:r>
      <w:r w:rsidRPr="005629D6">
        <w:rPr>
          <w:i/>
          <w:iCs/>
          <w:szCs w:val="20"/>
        </w:rPr>
        <w:t>R</w:t>
      </w:r>
      <w:r w:rsidRPr="005629D6">
        <w:rPr>
          <w:szCs w:val="20"/>
        </w:rPr>
        <w:t>,7a</w:t>
      </w:r>
      <w:r w:rsidRPr="005629D6">
        <w:rPr>
          <w:i/>
          <w:iCs/>
          <w:szCs w:val="20"/>
        </w:rPr>
        <w:t>S</w:t>
      </w:r>
      <w:r w:rsidRPr="005629D6">
        <w:rPr>
          <w:szCs w:val="20"/>
        </w:rPr>
        <w:t>)-</w:t>
      </w:r>
      <w:proofErr w:type="spellStart"/>
      <w:r w:rsidRPr="005629D6">
        <w:rPr>
          <w:szCs w:val="20"/>
        </w:rPr>
        <w:t>nepetalactol</w:t>
      </w:r>
      <w:proofErr w:type="spellEnd"/>
      <w:r w:rsidRPr="005629D6">
        <w:rPr>
          <w:szCs w:val="20"/>
        </w:rPr>
        <w:t xml:space="preserve"> (blue) with OR2 (pink) (B).</w:t>
      </w:r>
    </w:p>
    <w:p w14:paraId="72067532" w14:textId="58704713" w:rsidR="001F3A94" w:rsidRPr="005629D6" w:rsidRDefault="001F3A94" w:rsidP="001C4A8C">
      <w:pPr>
        <w:rPr>
          <w:szCs w:val="20"/>
        </w:rPr>
      </w:pPr>
      <w:r w:rsidRPr="005629D6">
        <w:rPr>
          <w:b/>
          <w:bCs/>
          <w:szCs w:val="20"/>
        </w:rPr>
        <w:t>Comparisons with MharOR5.</w:t>
      </w:r>
      <w:r w:rsidRPr="005629D6">
        <w:rPr>
          <w:szCs w:val="20"/>
        </w:rPr>
        <w:t xml:space="preserve"> Recently, the structure of a ligand-binding insect OR was solved. OR5 from the jumping bristletail, </w:t>
      </w:r>
      <w:r w:rsidRPr="005629D6">
        <w:rPr>
          <w:i/>
          <w:iCs/>
          <w:szCs w:val="20"/>
        </w:rPr>
        <w:t xml:space="preserve">M. </w:t>
      </w:r>
      <w:proofErr w:type="spellStart"/>
      <w:r w:rsidRPr="005629D6">
        <w:rPr>
          <w:i/>
          <w:iCs/>
          <w:szCs w:val="20"/>
        </w:rPr>
        <w:t>harabi</w:t>
      </w:r>
      <w:proofErr w:type="spellEnd"/>
      <w:r w:rsidRPr="005629D6">
        <w:rPr>
          <w:szCs w:val="20"/>
        </w:rPr>
        <w:t>, is a homomeric OR that exists without ORCO.</w:t>
      </w:r>
      <w:r w:rsidRPr="005629D6">
        <w:rPr>
          <w:szCs w:val="20"/>
        </w:rPr>
        <w:fldChar w:fldCharType="begin" w:fldLock="1"/>
      </w:r>
      <w:r w:rsidR="000D52F2" w:rsidRPr="005629D6">
        <w:rPr>
          <w:szCs w:val="20"/>
        </w:rPr>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mendeley":{"formattedCitation":"&lt;sup&gt;18&lt;/sup&gt;","plainTextFormattedCitation":"18","previouslyFormattedCitation":"&lt;sup&gt;18&lt;/sup&gt;"},"properties":{"noteIndex":0},"schema":"https://github.com/citation-style-language/schema/raw/master/csl-citation.json"}</w:instrText>
      </w:r>
      <w:r w:rsidRPr="005629D6">
        <w:rPr>
          <w:szCs w:val="20"/>
        </w:rPr>
        <w:fldChar w:fldCharType="separate"/>
      </w:r>
      <w:r w:rsidR="002F2ECE" w:rsidRPr="005629D6">
        <w:rPr>
          <w:noProof/>
          <w:szCs w:val="20"/>
          <w:vertAlign w:val="superscript"/>
        </w:rPr>
        <w:t>18</w:t>
      </w:r>
      <w:r w:rsidRPr="005629D6">
        <w:rPr>
          <w:szCs w:val="20"/>
        </w:rPr>
        <w:fldChar w:fldCharType="end"/>
      </w:r>
      <w:r w:rsidRPr="005629D6">
        <w:rPr>
          <w:szCs w:val="20"/>
        </w:rPr>
        <w:t xml:space="preserve"> Ligand-binding stabilised the structure of the receptor and allowed for identification of a clear, highly conserved binding pocket.</w:t>
      </w:r>
      <w:r w:rsidRPr="005629D6">
        <w:rPr>
          <w:szCs w:val="20"/>
        </w:rPr>
        <w:fldChar w:fldCharType="begin" w:fldLock="1"/>
      </w:r>
      <w:r w:rsidR="000D52F2" w:rsidRPr="005629D6">
        <w:rPr>
          <w:szCs w:val="20"/>
        </w:rPr>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mendeley":{"formattedCitation":"&lt;sup&gt;18&lt;/sup&gt;","plainTextFormattedCitation":"18","previouslyFormattedCitation":"&lt;sup&gt;18&lt;/sup&gt;"},"properties":{"noteIndex":0},"schema":"https://github.com/citation-style-language/schema/raw/master/csl-citation.json"}</w:instrText>
      </w:r>
      <w:r w:rsidRPr="005629D6">
        <w:rPr>
          <w:szCs w:val="20"/>
        </w:rPr>
        <w:fldChar w:fldCharType="separate"/>
      </w:r>
      <w:r w:rsidR="002F2ECE" w:rsidRPr="005629D6">
        <w:rPr>
          <w:noProof/>
          <w:szCs w:val="20"/>
          <w:vertAlign w:val="superscript"/>
        </w:rPr>
        <w:t>18</w:t>
      </w:r>
      <w:r w:rsidRPr="005629D6">
        <w:rPr>
          <w:szCs w:val="20"/>
        </w:rPr>
        <w:fldChar w:fldCharType="end"/>
      </w:r>
      <w:r w:rsidRPr="005629D6">
        <w:rPr>
          <w:szCs w:val="20"/>
        </w:rPr>
        <w:t xml:space="preserve"> Key residues identified in MharOR5’s binding site were Val88, Tyr91, Phe92, Ser151, Gly154, Trp158, Met209, Ile213, Tyr380 and Tyr383. MharOR5 shares the highest sequence identity with </w:t>
      </w:r>
      <w:proofErr w:type="spellStart"/>
      <w:r w:rsidRPr="005629D6">
        <w:rPr>
          <w:szCs w:val="20"/>
        </w:rPr>
        <w:t>ApisORCO</w:t>
      </w:r>
      <w:proofErr w:type="spellEnd"/>
      <w:r w:rsidRPr="005629D6">
        <w:rPr>
          <w:szCs w:val="20"/>
        </w:rPr>
        <w:t xml:space="preserve"> (20.75 %), and subsequently shares conserved amino acids within the binding pocket. Phe82 and Phe83 from </w:t>
      </w:r>
      <w:proofErr w:type="spellStart"/>
      <w:r w:rsidRPr="005629D6">
        <w:rPr>
          <w:szCs w:val="20"/>
        </w:rPr>
        <w:t>ApisORCO</w:t>
      </w:r>
      <w:proofErr w:type="spellEnd"/>
      <w:r w:rsidRPr="005629D6">
        <w:rPr>
          <w:szCs w:val="20"/>
        </w:rPr>
        <w:t xml:space="preserve"> correspond to Tyr91 and Phe92 in MharOR5. No other clearly conserved residues were identified, however, ApisOR4 and </w:t>
      </w:r>
      <w:proofErr w:type="spellStart"/>
      <w:r w:rsidRPr="005629D6">
        <w:rPr>
          <w:szCs w:val="20"/>
        </w:rPr>
        <w:t>ApisORCO</w:t>
      </w:r>
      <w:proofErr w:type="spellEnd"/>
      <w:r w:rsidRPr="005629D6">
        <w:rPr>
          <w:szCs w:val="20"/>
        </w:rPr>
        <w:t xml:space="preserve"> both had highly aromatic binding sites similar to the architecture of the MharOR5 binding pocket.</w:t>
      </w:r>
      <w:r w:rsidRPr="005629D6">
        <w:rPr>
          <w:szCs w:val="20"/>
        </w:rPr>
        <w:fldChar w:fldCharType="begin" w:fldLock="1"/>
      </w:r>
      <w:r w:rsidR="000D52F2" w:rsidRPr="005629D6">
        <w:rPr>
          <w:szCs w:val="20"/>
        </w:rPr>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mendeley":{"formattedCitation":"&lt;sup&gt;18&lt;/sup&gt;","plainTextFormattedCitation":"18","previouslyFormattedCitation":"&lt;sup&gt;18&lt;/sup&gt;"},"properties":{"noteIndex":0},"schema":"https://github.com/citation-style-language/schema/raw/master/csl-citation.json"}</w:instrText>
      </w:r>
      <w:r w:rsidRPr="005629D6">
        <w:rPr>
          <w:szCs w:val="20"/>
        </w:rPr>
        <w:fldChar w:fldCharType="separate"/>
      </w:r>
      <w:r w:rsidR="002F2ECE" w:rsidRPr="005629D6">
        <w:rPr>
          <w:noProof/>
          <w:szCs w:val="20"/>
          <w:vertAlign w:val="superscript"/>
        </w:rPr>
        <w:t>18</w:t>
      </w:r>
      <w:r w:rsidRPr="005629D6">
        <w:rPr>
          <w:szCs w:val="20"/>
        </w:rPr>
        <w:fldChar w:fldCharType="end"/>
      </w:r>
      <w:r w:rsidRPr="005629D6">
        <w:rPr>
          <w:szCs w:val="20"/>
        </w:rPr>
        <w:t xml:space="preserve"> Similar conserved residues and binding pocket features have been observed in other modelling studies.</w:t>
      </w:r>
      <w:r w:rsidRPr="005629D6">
        <w:rPr>
          <w:szCs w:val="20"/>
        </w:rPr>
        <w:fldChar w:fldCharType="begin" w:fldLock="1"/>
      </w:r>
      <w:r w:rsidR="000D52F2" w:rsidRPr="005629D6">
        <w:rPr>
          <w:szCs w:val="20"/>
        </w:rPr>
        <w:instrText>ADDIN CSL_CITATION {"citationItems":[{"id":"ITEM-1","itemData":{"DOI":"10.1101/2020.03.07.980797","author":[{"dropping-particle":"","family":"Yuvaraj","given":"Jothi","non-dropping-particle":"","parse-names":false,"suffix":""},{"dropping-particle":"","family":"Roberts","given":"Rebecca","non-dropping-particle":"","parse-names":false,"suffix":""},{"dropping-particle":"","family":"Sonntag","given":"Yonathan","non-dropping-particle":"","parse-names":false,"suffix":""},{"dropping-particle":"","family":"Hou","given":"Xiaoqing","non-dropping-particle":"","parse-names":false,"suffix":""},{"dropping-particle":"","family":"Grosse-Wilde","given":"Ewald","non-dropping-particle":"","parse-names":false,"suffix":""},{"dropping-particle":"","family":"Machara","given":"Aleš","non-dropping-particle":"","parse-names":false,"suffix":""},{"dropping-particle":"","family":"Hansson","given":"Bill","non-dropping-particle":"","parse-names":false,"suffix":""},{"dropping-particle":"","family":"Johanson","given":"Urban","non-dropping-particle":"","parse-names":false,"suffix":""},{"dropping-particle":"","family":"Löfstedt","given":"Christer","non-dropping-particle":"","parse-names":false,"suffix":""},{"dropping-particle":"","family":"Andersson","given":"Martin","non-dropping-particle":"","parse-names":false,"suffix":""}],"container-title":"BMC Biology","id":"ITEM-1","issue":"16","issued":{"date-parts":[["2021"]]},"title":"Putative ligand binding sites of two functionally characterized bark beetle odorant receptors","type":"article-journal","volume":"19"},"uris":["http://www.mendeley.com/documents/?uuid=2e659630-e489-47c8-b90d-23856f66b7a1"]},{"id":"ITEM-2","itemData":{"DOI":"10.7554/eLife.29100","ISSN":"2050084X","PMID":"29063835","abstract":"Male moths possess highly sensitive and selective olfactory systems that detect sex pheromones produced by their females. Pheromone receptors (PRs) play a key role in this process. The PR HassOr14b is found to be tuned to (Z)-9-hexadecenal, the major sex-pheromone component, in Helicoverpa assulta. HassOr14b is co-localized with HassOr6 or HassOr16 in two olfactory sensory neurons within the same sensilla. As HarmOr14b, the ortholog of HassOr14b in the closely related species Helicoverpa armigera, is tuned to another chemical (Z)-9-tetradecenal, we study the amino acid residues that determine their ligand selectivity. Two amino acids located in the intracellular domains F232I and T355I together determine the functional difference between the two orthologs. We conclude that species-specific changes in the tuning specificity of the PRs in the two Helicoverpa moth species could be achieved with just a few amino acid substitutions, which provides new insights into the evolution of closely related moth species.","author":[{"dropping-particle":"","family":"Yang","given":"Ke","non-dropping-particle":"","parse-names":false,"suffix":""},{"dropping-particle":"","family":"Huang","given":"Ling Qiao","non-dropping-particle":"","parse-names":false,"suffix":""},{"dropping-particle":"","family":"Ning","given":"Chao","non-dropping-particle":"","parse-names":false,"suffix":""},{"dropping-particle":"","family":"Wang","given":"Chen Zhu","non-dropping-particle":"","parse-names":false,"suffix":""}],"container-title":"eLife","id":"ITEM-2","issued":{"date-parts":[["2017"]]},"page":"1-21","title":"Two single-point mutations shift the ligand selectivity of a pheromone receptor between two closely related moth species","type":"article-journal","volume":"6"},"uris":["http://www.mendeley.com/documents/?uuid=d1169886-dda5-4d6f-9ff6-a03f56b3cad3"]}],"mendeley":{"formattedCitation":"&lt;sup&gt;26,27&lt;/sup&gt;","plainTextFormattedCitation":"26,27","previouslyFormattedCitation":"&lt;sup&gt;26,27&lt;/sup&gt;"},"properties":{"noteIndex":0},"schema":"https://github.com/citation-style-language/schema/raw/master/csl-citation.json"}</w:instrText>
      </w:r>
      <w:r w:rsidRPr="005629D6">
        <w:rPr>
          <w:szCs w:val="20"/>
        </w:rPr>
        <w:fldChar w:fldCharType="separate"/>
      </w:r>
      <w:r w:rsidR="002F2ECE" w:rsidRPr="005629D6">
        <w:rPr>
          <w:noProof/>
          <w:szCs w:val="20"/>
          <w:vertAlign w:val="superscript"/>
        </w:rPr>
        <w:t>26,27</w:t>
      </w:r>
      <w:r w:rsidRPr="005629D6">
        <w:rPr>
          <w:szCs w:val="20"/>
        </w:rPr>
        <w:fldChar w:fldCharType="end"/>
      </w:r>
      <w:r w:rsidR="00B311C8" w:rsidRPr="005629D6">
        <w:rPr>
          <w:szCs w:val="20"/>
        </w:rPr>
        <w:t xml:space="preserve"> </w:t>
      </w:r>
      <w:proofErr w:type="spellStart"/>
      <w:r w:rsidR="00B311C8" w:rsidRPr="005629D6">
        <w:rPr>
          <w:szCs w:val="20"/>
        </w:rPr>
        <w:t>ApisORCO</w:t>
      </w:r>
      <w:proofErr w:type="spellEnd"/>
      <w:r w:rsidR="00B311C8" w:rsidRPr="005629D6">
        <w:rPr>
          <w:szCs w:val="20"/>
        </w:rPr>
        <w:t xml:space="preserve"> was docked with DEET, </w:t>
      </w:r>
      <w:r w:rsidR="00EA686D" w:rsidRPr="005629D6">
        <w:rPr>
          <w:szCs w:val="20"/>
        </w:rPr>
        <w:t>an insect repellent compound that activates MharOR5.</w:t>
      </w:r>
      <w:r w:rsidR="00EA686D" w:rsidRPr="005629D6">
        <w:rPr>
          <w:szCs w:val="20"/>
        </w:rPr>
        <w:fldChar w:fldCharType="begin" w:fldLock="1"/>
      </w:r>
      <w:r w:rsidR="007A5A58" w:rsidRPr="005629D6">
        <w:rPr>
          <w:szCs w:val="20"/>
        </w:rPr>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mendeley":{"formattedCitation":"&lt;sup&gt;18&lt;/sup&gt;","plainTextFormattedCitation":"18","previouslyFormattedCitation":"&lt;sup&gt;18&lt;/sup&gt;"},"properties":{"noteIndex":0},"schema":"https://github.com/citation-style-language/schema/raw/master/csl-citation.json"}</w:instrText>
      </w:r>
      <w:r w:rsidR="00EA686D" w:rsidRPr="005629D6">
        <w:rPr>
          <w:szCs w:val="20"/>
        </w:rPr>
        <w:fldChar w:fldCharType="separate"/>
      </w:r>
      <w:r w:rsidR="00EA686D" w:rsidRPr="005629D6">
        <w:rPr>
          <w:noProof/>
          <w:szCs w:val="20"/>
          <w:vertAlign w:val="superscript"/>
        </w:rPr>
        <w:t>18</w:t>
      </w:r>
      <w:r w:rsidR="00EA686D" w:rsidRPr="005629D6">
        <w:rPr>
          <w:szCs w:val="20"/>
        </w:rPr>
        <w:fldChar w:fldCharType="end"/>
      </w:r>
      <w:r w:rsidR="00EA686D" w:rsidRPr="005629D6">
        <w:rPr>
          <w:szCs w:val="20"/>
        </w:rPr>
        <w:t xml:space="preserve"> DEET bound to </w:t>
      </w:r>
      <w:proofErr w:type="spellStart"/>
      <w:r w:rsidR="00EA686D" w:rsidRPr="005629D6">
        <w:rPr>
          <w:szCs w:val="20"/>
        </w:rPr>
        <w:t>ApisORCO</w:t>
      </w:r>
      <w:proofErr w:type="spellEnd"/>
      <w:r w:rsidR="00EA686D" w:rsidRPr="005629D6">
        <w:rPr>
          <w:szCs w:val="20"/>
        </w:rPr>
        <w:t xml:space="preserve"> in the exact same pocket as VUAA1</w:t>
      </w:r>
      <w:r w:rsidR="00500AB1" w:rsidRPr="005629D6">
        <w:rPr>
          <w:szCs w:val="20"/>
        </w:rPr>
        <w:t xml:space="preserve"> (Supplementary data Figure S3)</w:t>
      </w:r>
      <w:r w:rsidR="00EA686D" w:rsidRPr="005629D6">
        <w:rPr>
          <w:szCs w:val="20"/>
        </w:rPr>
        <w:t xml:space="preserve">. It is not known if DEET activates </w:t>
      </w:r>
      <w:proofErr w:type="spellStart"/>
      <w:r w:rsidR="00EA686D" w:rsidRPr="005629D6">
        <w:rPr>
          <w:szCs w:val="20"/>
        </w:rPr>
        <w:t>ApisORCO</w:t>
      </w:r>
      <w:proofErr w:type="spellEnd"/>
      <w:r w:rsidR="00EA686D" w:rsidRPr="005629D6">
        <w:rPr>
          <w:szCs w:val="20"/>
        </w:rPr>
        <w:t>, however,</w:t>
      </w:r>
      <w:r w:rsidR="00500AB1" w:rsidRPr="005629D6">
        <w:rPr>
          <w:szCs w:val="20"/>
        </w:rPr>
        <w:t xml:space="preserve"> despite</w:t>
      </w:r>
      <w:r w:rsidR="00EA686D" w:rsidRPr="005629D6">
        <w:rPr>
          <w:szCs w:val="20"/>
        </w:rPr>
        <w:t xml:space="preserve"> the</w:t>
      </w:r>
      <w:r w:rsidR="00500AB1" w:rsidRPr="005629D6">
        <w:rPr>
          <w:szCs w:val="20"/>
        </w:rPr>
        <w:t xml:space="preserve"> low sequence identity between </w:t>
      </w:r>
      <w:proofErr w:type="spellStart"/>
      <w:r w:rsidR="00500AB1" w:rsidRPr="005629D6">
        <w:rPr>
          <w:szCs w:val="20"/>
        </w:rPr>
        <w:t>ApisORCO</w:t>
      </w:r>
      <w:proofErr w:type="spellEnd"/>
      <w:r w:rsidR="00500AB1" w:rsidRPr="005629D6">
        <w:rPr>
          <w:szCs w:val="20"/>
        </w:rPr>
        <w:t xml:space="preserve"> and MharOR5 the binding site remains conserved.</w:t>
      </w:r>
    </w:p>
    <w:p w14:paraId="0879E795" w14:textId="39853018" w:rsidR="00946864" w:rsidRPr="005629D6" w:rsidRDefault="00946864" w:rsidP="001C4A8C">
      <w:pPr>
        <w:rPr>
          <w:szCs w:val="20"/>
        </w:rPr>
      </w:pPr>
      <w:r w:rsidRPr="005629D6">
        <w:rPr>
          <w:b/>
          <w:bCs/>
          <w:szCs w:val="20"/>
        </w:rPr>
        <w:lastRenderedPageBreak/>
        <w:t>Comparison of model</w:t>
      </w:r>
      <w:r w:rsidR="00E03828" w:rsidRPr="005629D6">
        <w:rPr>
          <w:b/>
          <w:bCs/>
          <w:szCs w:val="20"/>
        </w:rPr>
        <w:t>s</w:t>
      </w:r>
      <w:r w:rsidRPr="005629D6">
        <w:rPr>
          <w:b/>
          <w:bCs/>
          <w:szCs w:val="20"/>
        </w:rPr>
        <w:t xml:space="preserve"> and docking methodology</w:t>
      </w:r>
      <w:r w:rsidRPr="005629D6">
        <w:rPr>
          <w:szCs w:val="20"/>
        </w:rPr>
        <w:t>.</w:t>
      </w:r>
      <w:r w:rsidR="008821A9" w:rsidRPr="005629D6">
        <w:rPr>
          <w:szCs w:val="20"/>
        </w:rPr>
        <w:t xml:space="preserve"> </w:t>
      </w:r>
      <w:proofErr w:type="spellStart"/>
      <w:r w:rsidR="008821A9" w:rsidRPr="005629D6">
        <w:rPr>
          <w:szCs w:val="20"/>
        </w:rPr>
        <w:t>AlphaFold</w:t>
      </w:r>
      <w:proofErr w:type="spellEnd"/>
      <w:r w:rsidR="008821A9" w:rsidRPr="005629D6">
        <w:rPr>
          <w:szCs w:val="20"/>
        </w:rPr>
        <w:t xml:space="preserve"> models for each receptor studied were also generated, and Vina docking methodology used with both the comparative models and </w:t>
      </w:r>
      <w:proofErr w:type="spellStart"/>
      <w:r w:rsidR="008821A9" w:rsidRPr="005629D6">
        <w:rPr>
          <w:szCs w:val="20"/>
        </w:rPr>
        <w:t>AlphaFold</w:t>
      </w:r>
      <w:proofErr w:type="spellEnd"/>
      <w:r w:rsidR="008821A9" w:rsidRPr="005629D6">
        <w:rPr>
          <w:szCs w:val="20"/>
        </w:rPr>
        <w:t xml:space="preserve"> Models. </w:t>
      </w:r>
      <w:r w:rsidR="00E03828" w:rsidRPr="005629D6">
        <w:rPr>
          <w:szCs w:val="20"/>
        </w:rPr>
        <w:t>Vina is a useful docking method that allows for fast screening of protein-ligand interactions</w:t>
      </w:r>
      <w:r w:rsidR="00896256" w:rsidRPr="005629D6">
        <w:rPr>
          <w:szCs w:val="20"/>
        </w:rPr>
        <w:t>.</w:t>
      </w:r>
      <w:r w:rsidR="00896256" w:rsidRPr="005629D6">
        <w:rPr>
          <w:szCs w:val="20"/>
        </w:rPr>
        <w:fldChar w:fldCharType="begin" w:fldLock="1"/>
      </w:r>
      <w:r w:rsidR="00896256" w:rsidRPr="005629D6">
        <w:rPr>
          <w:szCs w:val="20"/>
        </w:rPr>
        <w:instrText>ADDIN CSL_CITATION {"citationItems":[{"id":"ITEM-1","itemData":{"DOI":"DOI 10.1002/jcc.21334","ISBN":"1096-987X","ISSN":"1096-987X","author":[{"dropping-particle":"","family":"Trott","given":"Oleg","non-dropping-particle":"","parse-names":false,"suffix":""},{"dropping-particle":"","family":"Olson","given":"Arthur J.","non-dropping-particle":"","parse-names":false,"suffix":""}],"container-title":"Journal of computational chemistry","id":"ITEM-1","issued":{"date-parts":[["2010"]]},"page":"455-461","title":"AutoDock Vina: Improving the Speed and Accuracy ofDocking with a New Scoring Function, EfficientOptimization, and Multithreading","type":"article-journal","volume":"31"},"uris":["http://www.mendeley.com/documents/?uuid=c9e4af4b-8bdb-4d21-bb89-a832b0cf2973"]},{"id":"ITEM-2","itemData":{"DOI":"10.1021/acs.jcim.9b00778","ISSN":"15205142","PMID":"31887035","abstract":"The binding pose and affinity between a ligand and enzyme are very important pieces of information for computer-aided drug design. In the initial stage of a drug discovery project, this information is often obtained by using molecular docking methods. Autodock4 and Autodock Vina are two commonly used open-source and free software tools to perform this task, and each has been cited more than 6000 times in the last ten years. It is of great interest to compare the success rate of the two docking software programs for a large and diverse set of protein-ligand complexes. In this study, we selected 800 protein-ligand complexes for which both PDB structures and experimental binding affinity are available. Docking calculations were performed for these complexes using both Autodock4 and Autodock Vina with different docking options related to computing resource consumption and accuracy. Our calculation results are in good agreement with a previous study that the Vina approach converges much faster than AD4 one. However, interestingly, AD4 shows a better performance than Vina over 21 considered targets, whereas the Vina protocol is better than the AD4 package for 10 other targets. There are 16 complexes for which both the AD4 and Vina protocols fail to produce a reasonable correlation with respected experiments so both are not suitable to use to estimate binding free energies for these cases. In addition, the best docking option for performing the AD4 approach is the long option. However, the short option is the best solution for carrying out Vina docking. The obtained results probably will be useful for future docking studies in deciding which program to use.","author":[{"dropping-particle":"","family":"Nguyen","given":"Nguyen Thanh","non-dropping-particle":"","parse-names":false,"suffix":""},{"dropping-particle":"","family":"Nguyen","given":"Trung Hai","non-dropping-particle":"","parse-names":false,"suffix":""},{"dropping-particle":"","family":"Pham","given":"T. Ngoc Han","non-dropping-particle":"","parse-names":false,"suffix":""},{"dropping-particle":"","family":"Huy","given":"Nguyen Truong","non-dropping-particle":"","parse-names":false,"suffix":""},{"dropping-particle":"Van","family":"Bay","given":"Mai","non-dropping-particle":"","parse-names":false,"suffix":""},{"dropping-particle":"","family":"Pham","given":"Minh Quan","non-dropping-particle":"","parse-names":false,"suffix":""},{"dropping-particle":"","family":"Nam","given":"Pham Cam","non-dropping-particle":"","parse-names":false,"suffix":""},{"dropping-particle":"V.","family":"Vu","given":"Van","non-dropping-particle":"","parse-names":false,"suffix":""},{"dropping-particle":"","family":"Ngo","given":"Son Tung","non-dropping-particle":"","parse-names":false,"suffix":""}],"container-title":"Journal of Chemical Information and Modeling","id":"ITEM-2","issue":"1","issued":{"date-parts":[["2020"]]},"page":"204-211","title":"Autodock Vina Adopts More Accurate Binding Poses but Autodock4 Forms Better Binding Affinity","type":"article-journal","volume":"60"},"uris":["http://www.mendeley.com/documents/?uuid=4f1e84f9-506a-4414-9e14-cf097f121de9"]}],"mendeley":{"formattedCitation":"&lt;sup&gt;60,71&lt;/sup&gt;","plainTextFormattedCitation":"60,71","previouslyFormattedCitation":"&lt;sup&gt;60,71&lt;/sup&gt;"},"properties":{"noteIndex":0},"schema":"https://github.com/citation-style-language/schema/raw/master/csl-citation.json"}</w:instrText>
      </w:r>
      <w:r w:rsidR="00896256" w:rsidRPr="005629D6">
        <w:rPr>
          <w:szCs w:val="20"/>
        </w:rPr>
        <w:fldChar w:fldCharType="separate"/>
      </w:r>
      <w:r w:rsidR="00896256" w:rsidRPr="005629D6">
        <w:rPr>
          <w:noProof/>
          <w:szCs w:val="20"/>
          <w:vertAlign w:val="superscript"/>
        </w:rPr>
        <w:t>60,71</w:t>
      </w:r>
      <w:r w:rsidR="00896256" w:rsidRPr="005629D6">
        <w:rPr>
          <w:szCs w:val="20"/>
        </w:rPr>
        <w:fldChar w:fldCharType="end"/>
      </w:r>
      <w:r w:rsidR="00896256" w:rsidRPr="005629D6">
        <w:rPr>
          <w:szCs w:val="20"/>
        </w:rPr>
        <w:t xml:space="preserve"> </w:t>
      </w:r>
      <w:r w:rsidR="00E03828" w:rsidRPr="005629D6">
        <w:rPr>
          <w:szCs w:val="20"/>
        </w:rPr>
        <w:t xml:space="preserve">Vina docking is accurate at binding site prediction, but not as accurate as </w:t>
      </w:r>
      <w:proofErr w:type="spellStart"/>
      <w:r w:rsidR="00E03828" w:rsidRPr="005629D6">
        <w:rPr>
          <w:szCs w:val="20"/>
        </w:rPr>
        <w:t>Autodock</w:t>
      </w:r>
      <w:proofErr w:type="spellEnd"/>
      <w:r w:rsidR="00E03828" w:rsidRPr="005629D6">
        <w:rPr>
          <w:szCs w:val="20"/>
        </w:rPr>
        <w:t xml:space="preserve"> 4.0 for quantitative data generation</w:t>
      </w:r>
      <w:r w:rsidR="007A0B6A" w:rsidRPr="005629D6">
        <w:rPr>
          <w:szCs w:val="20"/>
        </w:rPr>
        <w:t>.</w:t>
      </w:r>
      <w:r w:rsidR="00896256" w:rsidRPr="005629D6">
        <w:rPr>
          <w:szCs w:val="20"/>
        </w:rPr>
        <w:fldChar w:fldCharType="begin" w:fldLock="1"/>
      </w:r>
      <w:r w:rsidR="00EA686D" w:rsidRPr="005629D6">
        <w:rPr>
          <w:szCs w:val="20"/>
        </w:rPr>
        <w:instrText>ADDIN CSL_CITATION {"citationItems":[{"id":"ITEM-1","itemData":{"DOI":"10.1021/acs.jcim.9b00778","ISSN":"15205142","PMID":"31887035","abstract":"The binding pose and affinity between a ligand and enzyme are very important pieces of information for computer-aided drug design. In the initial stage of a drug discovery project, this information is often obtained by using molecular docking methods. Autodock4 and Autodock Vina are two commonly used open-source and free software tools to perform this task, and each has been cited more than 6000 times in the last ten years. It is of great interest to compare the success rate of the two docking software programs for a large and diverse set of protein-ligand complexes. In this study, we selected 800 protein-ligand complexes for which both PDB structures and experimental binding affinity are available. Docking calculations were performed for these complexes using both Autodock4 and Autodock Vina with different docking options related to computing resource consumption and accuracy. Our calculation results are in good agreement with a previous study that the Vina approach converges much faster than AD4 one. However, interestingly, AD4 shows a better performance than Vina over 21 considered targets, whereas the Vina protocol is better than the AD4 package for 10 other targets. There are 16 complexes for which both the AD4 and Vina protocols fail to produce a reasonable correlation with respected experiments so both are not suitable to use to estimate binding free energies for these cases. In addition, the best docking option for performing the AD4 approach is the long option. However, the short option is the best solution for carrying out Vina docking. The obtained results probably will be useful for future docking studies in deciding which program to use.","author":[{"dropping-particle":"","family":"Nguyen","given":"Nguyen Thanh","non-dropping-particle":"","parse-names":false,"suffix":""},{"dropping-particle":"","family":"Nguyen","given":"Trung Hai","non-dropping-particle":"","parse-names":false,"suffix":""},{"dropping-particle":"","family":"Pham","given":"T. Ngoc Han","non-dropping-particle":"","parse-names":false,"suffix":""},{"dropping-particle":"","family":"Huy","given":"Nguyen Truong","non-dropping-particle":"","parse-names":false,"suffix":""},{"dropping-particle":"Van","family":"Bay","given":"Mai","non-dropping-particle":"","parse-names":false,"suffix":""},{"dropping-particle":"","family":"Pham","given":"Minh Quan","non-dropping-particle":"","parse-names":false,"suffix":""},{"dropping-particle":"","family":"Nam","given":"Pham Cam","non-dropping-particle":"","parse-names":false,"suffix":""},{"dropping-particle":"V.","family":"Vu","given":"Van","non-dropping-particle":"","parse-names":false,"suffix":""},{"dropping-particle":"","family":"Ngo","given":"Son Tung","non-dropping-particle":"","parse-names":false,"suffix":""}],"container-title":"Journal of Chemical Information and Modeling","id":"ITEM-1","issue":"1","issued":{"date-parts":[["2020"]]},"page":"204-211","title":"Autodock Vina Adopts More Accurate Binding Poses but Autodock4 Forms Better Binding Affinity","type":"article-journal","volume":"60"},"uris":["http://www.mendeley.com/documents/?uuid=4f1e84f9-506a-4414-9e14-cf097f121de9"]}],"mendeley":{"formattedCitation":"&lt;sup&gt;71&lt;/sup&gt;","plainTextFormattedCitation":"71","previouslyFormattedCitation":"&lt;sup&gt;71&lt;/sup&gt;"},"properties":{"noteIndex":0},"schema":"https://github.com/citation-style-language/schema/raw/master/csl-citation.json"}</w:instrText>
      </w:r>
      <w:r w:rsidR="00896256" w:rsidRPr="005629D6">
        <w:rPr>
          <w:szCs w:val="20"/>
        </w:rPr>
        <w:fldChar w:fldCharType="separate"/>
      </w:r>
      <w:r w:rsidR="00896256" w:rsidRPr="005629D6">
        <w:rPr>
          <w:noProof/>
          <w:szCs w:val="20"/>
          <w:vertAlign w:val="superscript"/>
        </w:rPr>
        <w:t>71</w:t>
      </w:r>
      <w:r w:rsidR="00896256" w:rsidRPr="005629D6">
        <w:rPr>
          <w:szCs w:val="20"/>
        </w:rPr>
        <w:fldChar w:fldCharType="end"/>
      </w:r>
    </w:p>
    <w:p w14:paraId="673C92BD" w14:textId="0150CBF4" w:rsidR="00CF30D1" w:rsidRPr="005629D6" w:rsidRDefault="00C06842" w:rsidP="001C4A8C">
      <w:pPr>
        <w:rPr>
          <w:szCs w:val="20"/>
        </w:rPr>
      </w:pPr>
      <w:r w:rsidRPr="005629D6">
        <w:rPr>
          <w:szCs w:val="20"/>
        </w:rPr>
        <w:t xml:space="preserve">For ApisOR4, most of the highly conserved residues were found in the binding site of the </w:t>
      </w:r>
      <w:proofErr w:type="spellStart"/>
      <w:r w:rsidRPr="005629D6">
        <w:rPr>
          <w:szCs w:val="20"/>
        </w:rPr>
        <w:t>AlphaFold</w:t>
      </w:r>
      <w:proofErr w:type="spellEnd"/>
      <w:r w:rsidRPr="005629D6">
        <w:rPr>
          <w:szCs w:val="20"/>
        </w:rPr>
        <w:t xml:space="preserve"> Model</w:t>
      </w:r>
      <w:r w:rsidR="00FF55E9" w:rsidRPr="005629D6">
        <w:rPr>
          <w:szCs w:val="20"/>
        </w:rPr>
        <w:t xml:space="preserve"> </w:t>
      </w:r>
      <w:proofErr w:type="gramStart"/>
      <w:r w:rsidR="00FF55E9" w:rsidRPr="005629D6">
        <w:rPr>
          <w:szCs w:val="20"/>
        </w:rPr>
        <w:t>with the exception of</w:t>
      </w:r>
      <w:proofErr w:type="gramEnd"/>
      <w:r w:rsidR="00FF55E9" w:rsidRPr="005629D6">
        <w:rPr>
          <w:szCs w:val="20"/>
        </w:rPr>
        <w:t xml:space="preserve"> Phe82 which was found deeper in the pocket</w:t>
      </w:r>
      <w:r w:rsidRPr="005629D6">
        <w:rPr>
          <w:szCs w:val="20"/>
        </w:rPr>
        <w:t>.</w:t>
      </w:r>
      <w:r w:rsidR="004347EE" w:rsidRPr="005629D6">
        <w:rPr>
          <w:szCs w:val="20"/>
        </w:rPr>
        <w:t xml:space="preserve"> Aromatic ligands were found in comparable positions, </w:t>
      </w:r>
      <w:r w:rsidR="00FF55E9" w:rsidRPr="005629D6">
        <w:rPr>
          <w:szCs w:val="20"/>
        </w:rPr>
        <w:t>mainly interacting with Phe162</w:t>
      </w:r>
      <w:r w:rsidR="00561CC5" w:rsidRPr="005629D6">
        <w:rPr>
          <w:szCs w:val="20"/>
        </w:rPr>
        <w:t xml:space="preserve">. </w:t>
      </w:r>
      <w:r w:rsidR="008247C5" w:rsidRPr="005629D6">
        <w:rPr>
          <w:szCs w:val="20"/>
        </w:rPr>
        <w:t xml:space="preserve"> </w:t>
      </w:r>
      <w:r w:rsidR="00F56E70" w:rsidRPr="005629D6">
        <w:rPr>
          <w:szCs w:val="20"/>
        </w:rPr>
        <w:t>Other ligands were found in a similar site</w:t>
      </w:r>
      <w:r w:rsidR="00CF30D1" w:rsidRPr="005629D6">
        <w:rPr>
          <w:szCs w:val="20"/>
        </w:rPr>
        <w:t xml:space="preserve"> as the aromatic ligands. For ApisOR5</w:t>
      </w:r>
      <w:r w:rsidR="00D66F45" w:rsidRPr="005629D6">
        <w:rPr>
          <w:szCs w:val="20"/>
        </w:rPr>
        <w:t xml:space="preserve">, the binding site was conserved </w:t>
      </w:r>
      <w:proofErr w:type="gramStart"/>
      <w:r w:rsidR="00D66F45" w:rsidRPr="005629D6">
        <w:rPr>
          <w:szCs w:val="20"/>
        </w:rPr>
        <w:t>with the exception of</w:t>
      </w:r>
      <w:proofErr w:type="gramEnd"/>
      <w:r w:rsidR="00D66F45" w:rsidRPr="005629D6">
        <w:rPr>
          <w:szCs w:val="20"/>
        </w:rPr>
        <w:t xml:space="preserve"> Tyr157</w:t>
      </w:r>
      <w:r w:rsidR="00857D4C" w:rsidRPr="005629D6">
        <w:rPr>
          <w:szCs w:val="20"/>
        </w:rPr>
        <w:t xml:space="preserve">. </w:t>
      </w:r>
    </w:p>
    <w:p w14:paraId="5035D3BA" w14:textId="5C361D90" w:rsidR="00094299" w:rsidRPr="005629D6" w:rsidRDefault="007842A0" w:rsidP="00A8422D">
      <w:pPr>
        <w:rPr>
          <w:szCs w:val="20"/>
        </w:rPr>
      </w:pPr>
      <w:r w:rsidRPr="005629D6">
        <w:rPr>
          <w:szCs w:val="20"/>
        </w:rPr>
        <w:t xml:space="preserve">Overall, the results from the </w:t>
      </w:r>
      <w:proofErr w:type="spellStart"/>
      <w:r w:rsidRPr="005629D6">
        <w:rPr>
          <w:szCs w:val="20"/>
        </w:rPr>
        <w:t>AlphaFold</w:t>
      </w:r>
      <w:proofErr w:type="spellEnd"/>
      <w:r w:rsidRPr="005629D6">
        <w:rPr>
          <w:szCs w:val="20"/>
        </w:rPr>
        <w:t xml:space="preserve"> and Vina modelling/docking combination suggests that </w:t>
      </w:r>
      <w:proofErr w:type="spellStart"/>
      <w:r w:rsidRPr="005629D6">
        <w:rPr>
          <w:szCs w:val="20"/>
        </w:rPr>
        <w:t>AlphaFold</w:t>
      </w:r>
      <w:proofErr w:type="spellEnd"/>
      <w:r w:rsidRPr="005629D6">
        <w:rPr>
          <w:szCs w:val="20"/>
        </w:rPr>
        <w:t xml:space="preserve"> is acceptable for modelling of insect odorant receptors. </w:t>
      </w:r>
      <w:r w:rsidR="00BC7C88" w:rsidRPr="005629D6">
        <w:rPr>
          <w:szCs w:val="20"/>
        </w:rPr>
        <w:t>However, quant</w:t>
      </w:r>
      <w:r w:rsidR="00996592" w:rsidRPr="005629D6">
        <w:rPr>
          <w:szCs w:val="20"/>
        </w:rPr>
        <w:t>it</w:t>
      </w:r>
      <w:r w:rsidR="00BC7C88" w:rsidRPr="005629D6">
        <w:rPr>
          <w:szCs w:val="20"/>
        </w:rPr>
        <w:t xml:space="preserve">ative values </w:t>
      </w:r>
      <w:r w:rsidR="00996592" w:rsidRPr="005629D6">
        <w:rPr>
          <w:szCs w:val="20"/>
        </w:rPr>
        <w:t>derived</w:t>
      </w:r>
      <w:r w:rsidR="00BC7C88" w:rsidRPr="005629D6">
        <w:rPr>
          <w:szCs w:val="20"/>
        </w:rPr>
        <w:t xml:space="preserve"> from </w:t>
      </w:r>
      <w:proofErr w:type="spellStart"/>
      <w:r w:rsidR="00BC7C88" w:rsidRPr="005629D6">
        <w:rPr>
          <w:szCs w:val="20"/>
        </w:rPr>
        <w:t>AutoDock</w:t>
      </w:r>
      <w:proofErr w:type="spellEnd"/>
      <w:r w:rsidR="00BC7C88" w:rsidRPr="005629D6">
        <w:rPr>
          <w:szCs w:val="20"/>
        </w:rPr>
        <w:t xml:space="preserve"> 4.0 modelling </w:t>
      </w:r>
      <w:r w:rsidR="00552B27" w:rsidRPr="005629D6">
        <w:rPr>
          <w:szCs w:val="20"/>
        </w:rPr>
        <w:t>were more varied, demonstrating larger differences between different ligands</w:t>
      </w:r>
      <w:r w:rsidR="00A8422D" w:rsidRPr="005629D6">
        <w:rPr>
          <w:szCs w:val="20"/>
        </w:rPr>
        <w:t>. This might be more useful in future when using modelling and docking tools to elucidate the function of deorphanized odorant receptors.</w:t>
      </w:r>
    </w:p>
    <w:p w14:paraId="4A2BF29D" w14:textId="3258943E" w:rsidR="00827901" w:rsidRPr="005629D6" w:rsidRDefault="00827901" w:rsidP="00DE0BEC">
      <w:pPr>
        <w:pStyle w:val="Heading1"/>
      </w:pPr>
      <w:r w:rsidRPr="005629D6">
        <w:t>Discussion</w:t>
      </w:r>
    </w:p>
    <w:p w14:paraId="00EFC500" w14:textId="0E5F4919" w:rsidR="00561BAD" w:rsidRPr="005629D6" w:rsidRDefault="00561BAD" w:rsidP="00561BAD">
      <w:r w:rsidRPr="005629D6">
        <w:t xml:space="preserve">In this study, a total of nine odorant receptors (ORs) </w:t>
      </w:r>
      <w:r w:rsidR="003877C0" w:rsidRPr="005629D6">
        <w:t xml:space="preserve">from the pea aphid, </w:t>
      </w:r>
      <w:proofErr w:type="spellStart"/>
      <w:r w:rsidR="003877C0" w:rsidRPr="005629D6">
        <w:rPr>
          <w:i/>
          <w:iCs/>
        </w:rPr>
        <w:t>A</w:t>
      </w:r>
      <w:r w:rsidR="00213FD6" w:rsidRPr="005629D6">
        <w:rPr>
          <w:i/>
          <w:iCs/>
        </w:rPr>
        <w:t>cyrthosiphon</w:t>
      </w:r>
      <w:proofErr w:type="spellEnd"/>
      <w:r w:rsidR="003877C0" w:rsidRPr="005629D6">
        <w:rPr>
          <w:i/>
          <w:iCs/>
        </w:rPr>
        <w:t xml:space="preserve"> </w:t>
      </w:r>
      <w:proofErr w:type="spellStart"/>
      <w:r w:rsidR="003877C0" w:rsidRPr="005629D6">
        <w:rPr>
          <w:i/>
          <w:iCs/>
        </w:rPr>
        <w:t>pisum</w:t>
      </w:r>
      <w:proofErr w:type="spellEnd"/>
      <w:r w:rsidR="003877C0" w:rsidRPr="005629D6">
        <w:t>, have been modelled</w:t>
      </w:r>
      <w:r w:rsidR="00B65DDE" w:rsidRPr="005629D6">
        <w:t xml:space="preserve"> and </w:t>
      </w:r>
      <w:r w:rsidR="00213FD6" w:rsidRPr="005629D6">
        <w:t xml:space="preserve">used to conduct </w:t>
      </w:r>
      <w:r w:rsidR="00B65DDE" w:rsidRPr="005629D6">
        <w:t>ligand-docking studies</w:t>
      </w:r>
      <w:r w:rsidR="00785ADB" w:rsidRPr="005629D6">
        <w:t>.</w:t>
      </w:r>
      <w:r w:rsidR="000A268A" w:rsidRPr="005629D6">
        <w:t xml:space="preserve"> The binding site</w:t>
      </w:r>
      <w:r w:rsidR="002D488E" w:rsidRPr="005629D6">
        <w:t>s</w:t>
      </w:r>
      <w:r w:rsidR="000A268A" w:rsidRPr="005629D6">
        <w:t xml:space="preserve"> of VUAA1 in </w:t>
      </w:r>
      <w:proofErr w:type="spellStart"/>
      <w:r w:rsidR="006B1FFC" w:rsidRPr="005629D6">
        <w:t>Apis</w:t>
      </w:r>
      <w:r w:rsidR="000A268A" w:rsidRPr="005629D6">
        <w:t>ORCO</w:t>
      </w:r>
      <w:proofErr w:type="spellEnd"/>
      <w:r w:rsidR="000A268A" w:rsidRPr="005629D6">
        <w:t xml:space="preserve">, EBF and </w:t>
      </w:r>
      <w:r w:rsidR="006B1FFC" w:rsidRPr="005629D6">
        <w:t>GA</w:t>
      </w:r>
      <w:r w:rsidR="00201CF7" w:rsidRPr="005629D6">
        <w:t xml:space="preserve"> </w:t>
      </w:r>
      <w:r w:rsidR="00213FD6" w:rsidRPr="005629D6">
        <w:t xml:space="preserve">in </w:t>
      </w:r>
      <w:r w:rsidR="006B1FFC" w:rsidRPr="005629D6">
        <w:t>Apis</w:t>
      </w:r>
      <w:r w:rsidR="00201CF7" w:rsidRPr="005629D6">
        <w:t xml:space="preserve">OR5 and plant volatiles </w:t>
      </w:r>
      <w:r w:rsidR="00213FD6" w:rsidRPr="005629D6">
        <w:t>in Apis</w:t>
      </w:r>
      <w:r w:rsidR="00201CF7" w:rsidRPr="005629D6">
        <w:t>OR4</w:t>
      </w:r>
      <w:r w:rsidR="002D488E" w:rsidRPr="005629D6">
        <w:t xml:space="preserve"> </w:t>
      </w:r>
      <w:r w:rsidR="00454482" w:rsidRPr="005629D6">
        <w:t xml:space="preserve">respectively </w:t>
      </w:r>
      <w:r w:rsidR="002D488E" w:rsidRPr="005629D6">
        <w:t>have all been predicted and described</w:t>
      </w:r>
      <w:r w:rsidRPr="005629D6">
        <w:t xml:space="preserve"> and</w:t>
      </w:r>
      <w:r w:rsidR="00201CF7" w:rsidRPr="005629D6">
        <w:t xml:space="preserve"> </w:t>
      </w:r>
      <w:r w:rsidRPr="005629D6">
        <w:t>a</w:t>
      </w:r>
      <w:r w:rsidR="009823BD" w:rsidRPr="005629D6">
        <w:t xml:space="preserve">ll </w:t>
      </w:r>
      <w:r w:rsidR="00213FD6" w:rsidRPr="005629D6">
        <w:t xml:space="preserve">ORs </w:t>
      </w:r>
      <w:r w:rsidR="009823BD" w:rsidRPr="005629D6">
        <w:t>show</w:t>
      </w:r>
      <w:r w:rsidR="00213FD6" w:rsidRPr="005629D6">
        <w:t>ed</w:t>
      </w:r>
      <w:r w:rsidR="009823BD" w:rsidRPr="005629D6">
        <w:t xml:space="preserve"> high levels of conservation at the </w:t>
      </w:r>
      <w:r w:rsidR="002D488E" w:rsidRPr="005629D6">
        <w:t xml:space="preserve">predicted </w:t>
      </w:r>
      <w:r w:rsidR="009823BD" w:rsidRPr="005629D6">
        <w:t xml:space="preserve">binding site </w:t>
      </w:r>
      <w:r w:rsidRPr="005629D6">
        <w:t>between</w:t>
      </w:r>
      <w:r w:rsidR="009823BD" w:rsidRPr="005629D6">
        <w:t xml:space="preserve"> aphid</w:t>
      </w:r>
      <w:r w:rsidR="002D488E" w:rsidRPr="005629D6">
        <w:t xml:space="preserve"> </w:t>
      </w:r>
      <w:r w:rsidR="009823BD" w:rsidRPr="005629D6">
        <w:t>s</w:t>
      </w:r>
      <w:r w:rsidR="002D488E" w:rsidRPr="005629D6">
        <w:t>pecies</w:t>
      </w:r>
      <w:r w:rsidR="009823BD" w:rsidRPr="005629D6">
        <w:t xml:space="preserve">. </w:t>
      </w:r>
      <w:r w:rsidRPr="005629D6">
        <w:t>Multiple</w:t>
      </w:r>
      <w:r w:rsidR="00D91B32" w:rsidRPr="005629D6">
        <w:t xml:space="preserve"> modelling and docking methodologies have been utilised and evaluated. Both traditional comparative modelling and </w:t>
      </w:r>
      <w:r w:rsidR="007A5A58" w:rsidRPr="005629D6">
        <w:t xml:space="preserve">the use of </w:t>
      </w:r>
      <w:proofErr w:type="spellStart"/>
      <w:r w:rsidR="007A5A58" w:rsidRPr="005629D6">
        <w:t>AlphaFold</w:t>
      </w:r>
      <w:proofErr w:type="spellEnd"/>
      <w:r w:rsidR="007A5A58" w:rsidRPr="005629D6">
        <w:t xml:space="preserve"> both gave similar model structures, with both </w:t>
      </w:r>
      <w:proofErr w:type="spellStart"/>
      <w:r w:rsidR="007A5A58" w:rsidRPr="005629D6">
        <w:t>AutoDock</w:t>
      </w:r>
      <w:proofErr w:type="spellEnd"/>
      <w:r w:rsidR="007A5A58" w:rsidRPr="005629D6">
        <w:t xml:space="preserve"> 4.0 and </w:t>
      </w:r>
      <w:proofErr w:type="spellStart"/>
      <w:r w:rsidR="007A5A58" w:rsidRPr="005629D6">
        <w:t>AutoDock</w:t>
      </w:r>
      <w:proofErr w:type="spellEnd"/>
      <w:r w:rsidR="007A5A58" w:rsidRPr="005629D6">
        <w:t xml:space="preserve"> Vina docking ligands in similar sites. Quant</w:t>
      </w:r>
      <w:r w:rsidR="00173E4F" w:rsidRPr="005629D6">
        <w:t>it</w:t>
      </w:r>
      <w:r w:rsidR="00BB65DD" w:rsidRPr="005629D6">
        <w:t>at</w:t>
      </w:r>
      <w:r w:rsidR="007A5A58" w:rsidRPr="005629D6">
        <w:t xml:space="preserve">ive data from </w:t>
      </w:r>
      <w:proofErr w:type="spellStart"/>
      <w:r w:rsidR="007A5A58" w:rsidRPr="005629D6">
        <w:t>AutoDock</w:t>
      </w:r>
      <w:proofErr w:type="spellEnd"/>
      <w:r w:rsidR="007A5A58" w:rsidRPr="005629D6">
        <w:t xml:space="preserve"> 4.0 </w:t>
      </w:r>
      <w:r w:rsidR="00173E4F" w:rsidRPr="005629D6">
        <w:t>gave a</w:t>
      </w:r>
      <w:r w:rsidR="007A5A58" w:rsidRPr="005629D6">
        <w:t xml:space="preserve"> broader range of</w:t>
      </w:r>
      <w:r w:rsidR="00173E4F" w:rsidRPr="005629D6">
        <w:t xml:space="preserve"> predicted</w:t>
      </w:r>
      <w:r w:rsidR="007A5A58" w:rsidRPr="005629D6">
        <w:t xml:space="preserve"> values than with Vina.</w:t>
      </w:r>
      <w:r w:rsidR="007A5A58" w:rsidRPr="005629D6">
        <w:fldChar w:fldCharType="begin" w:fldLock="1"/>
      </w:r>
      <w:r w:rsidR="00153DF9" w:rsidRPr="005629D6">
        <w:instrText>ADDIN CSL_CITATION {"citationItems":[{"id":"ITEM-1","itemData":{"DOI":"10.1021/acs.jcim.9b00778","ISSN":"15205142","PMID":"31887035","abstract":"The binding pose and affinity between a ligand and enzyme are very important pieces of information for computer-aided drug design. In the initial stage of a drug discovery project, this information is often obtained by using molecular docking methods. Autodock4 and Autodock Vina are two commonly used open-source and free software tools to perform this task, and each has been cited more than 6000 times in the last ten years. It is of great interest to compare the success rate of the two docking software programs for a large and diverse set of protein-ligand complexes. In this study, we selected 800 protein-ligand complexes for which both PDB structures and experimental binding affinity are available. Docking calculations were performed for these complexes using both Autodock4 and Autodock Vina with different docking options related to computing resource consumption and accuracy. Our calculation results are in good agreement with a previous study that the Vina approach converges much faster than AD4 one. However, interestingly, AD4 shows a better performance than Vina over 21 considered targets, whereas the Vina protocol is better than the AD4 package for 10 other targets. There are 16 complexes for which both the AD4 and Vina protocols fail to produce a reasonable correlation with respected experiments so both are not suitable to use to estimate binding free energies for these cases. In addition, the best docking option for performing the AD4 approach is the long option. However, the short option is the best solution for carrying out Vina docking. The obtained results probably will be useful for future docking studies in deciding which program to use.","author":[{"dropping-particle":"","family":"Nguyen","given":"Nguyen Thanh","non-dropping-particle":"","parse-names":false,"suffix":""},{"dropping-particle":"","family":"Nguyen","given":"Trung Hai","non-dropping-particle":"","parse-names":false,"suffix":""},{"dropping-particle":"","family":"Pham","given":"T. Ngoc Han","non-dropping-particle":"","parse-names":false,"suffix":""},{"dropping-particle":"","family":"Huy","given":"Nguyen Truong","non-dropping-particle":"","parse-names":false,"suffix":""},{"dropping-particle":"Van","family":"Bay","given":"Mai","non-dropping-particle":"","parse-names":false,"suffix":""},{"dropping-particle":"","family":"Pham","given":"Minh Quan","non-dropping-particle":"","parse-names":false,"suffix":""},{"dropping-particle":"","family":"Nam","given":"Pham Cam","non-dropping-particle":"","parse-names":false,"suffix":""},{"dropping-particle":"V.","family":"Vu","given":"Van","non-dropping-particle":"","parse-names":false,"suffix":""},{"dropping-particle":"","family":"Ngo","given":"Son Tung","non-dropping-particle":"","parse-names":false,"suffix":""}],"container-title":"Journal of Chemical Information and Modeling","id":"ITEM-1","issue":"1","issued":{"date-parts":[["2020"]]},"page":"204-211","title":"Autodock Vina Adopts More Accurate Binding Poses but Autodock4 Forms Better Binding Affinity","type":"article-journal","volume":"60"},"uris":["http://www.mendeley.com/documents/?uuid=4f1e84f9-506a-4414-9e14-cf097f121de9"]}],"mendeley":{"formattedCitation":"&lt;sup&gt;71&lt;/sup&gt;","plainTextFormattedCitation":"71","previouslyFormattedCitation":"&lt;sup&gt;71&lt;/sup&gt;"},"properties":{"noteIndex":0},"schema":"https://github.com/citation-style-language/schema/raw/master/csl-citation.json"}</w:instrText>
      </w:r>
      <w:r w:rsidR="007A5A58" w:rsidRPr="005629D6">
        <w:fldChar w:fldCharType="separate"/>
      </w:r>
      <w:r w:rsidR="007A5A58" w:rsidRPr="005629D6">
        <w:rPr>
          <w:noProof/>
          <w:vertAlign w:val="superscript"/>
        </w:rPr>
        <w:t>71</w:t>
      </w:r>
      <w:r w:rsidR="007A5A58" w:rsidRPr="005629D6">
        <w:fldChar w:fldCharType="end"/>
      </w:r>
      <w:r w:rsidR="007A5A58" w:rsidRPr="005629D6">
        <w:t xml:space="preserve"> In addition to classical ligand docking, molecular dynamics studies of </w:t>
      </w:r>
      <w:proofErr w:type="spellStart"/>
      <w:r w:rsidR="007A5A58" w:rsidRPr="005629D6">
        <w:t>ApisORCO</w:t>
      </w:r>
      <w:proofErr w:type="spellEnd"/>
      <w:r w:rsidR="007A5A58" w:rsidRPr="005629D6">
        <w:t xml:space="preserve"> and VUAA1 were undertaken. </w:t>
      </w:r>
      <w:r w:rsidR="00C448FE" w:rsidRPr="005629D6">
        <w:t>A</w:t>
      </w:r>
      <w:r w:rsidR="00C31077" w:rsidRPr="005629D6">
        <w:t xml:space="preserve"> 15 </w:t>
      </w:r>
      <w:r w:rsidR="00C448FE" w:rsidRPr="005629D6">
        <w:t xml:space="preserve">ns simulation of both </w:t>
      </w:r>
      <w:proofErr w:type="spellStart"/>
      <w:r w:rsidR="00C448FE" w:rsidRPr="005629D6">
        <w:t>ApisORCO</w:t>
      </w:r>
      <w:proofErr w:type="spellEnd"/>
      <w:r w:rsidR="00C448FE" w:rsidRPr="005629D6">
        <w:t xml:space="preserve"> and </w:t>
      </w:r>
      <w:proofErr w:type="spellStart"/>
      <w:r w:rsidR="00C448FE" w:rsidRPr="005629D6">
        <w:t>ApisORCO</w:t>
      </w:r>
      <w:proofErr w:type="spellEnd"/>
      <w:r w:rsidR="00C448FE" w:rsidRPr="005629D6">
        <w:t xml:space="preserve"> complexed with VUAA1 </w:t>
      </w:r>
      <w:r w:rsidR="00173E4F" w:rsidRPr="005629D6">
        <w:t xml:space="preserve">were conducted. First, RMSDs of backbone atoms from </w:t>
      </w:r>
      <w:proofErr w:type="spellStart"/>
      <w:r w:rsidR="00173E4F" w:rsidRPr="005629D6">
        <w:t>ApisORCO</w:t>
      </w:r>
      <w:proofErr w:type="spellEnd"/>
      <w:r w:rsidR="00173E4F" w:rsidRPr="005629D6">
        <w:t xml:space="preserve"> </w:t>
      </w:r>
      <w:r w:rsidR="00786D47" w:rsidRPr="005629D6">
        <w:t xml:space="preserve">complexed with VUAA1 was slightly lower, and subsequently more stable, than without VUAA1. Furthermore, </w:t>
      </w:r>
      <w:r w:rsidR="00C133F0" w:rsidRPr="005629D6">
        <w:t>the RMS</w:t>
      </w:r>
      <w:r w:rsidR="00C31077" w:rsidRPr="005629D6">
        <w:t xml:space="preserve">F of individual residues gave insight into the structure and flexibility of the receptor monomer, highlighting areas of key movement during the interaction between </w:t>
      </w:r>
      <w:proofErr w:type="spellStart"/>
      <w:r w:rsidR="00C31077" w:rsidRPr="005629D6">
        <w:t>ApisORCO</w:t>
      </w:r>
      <w:proofErr w:type="spellEnd"/>
      <w:r w:rsidR="00C31077" w:rsidRPr="005629D6">
        <w:t xml:space="preserve"> and VUAA1. Though further exploration is required with longer simulations and tetrameric complexes, the results of this experiment highlight the value of molecular dynamics simulations in exploration of these </w:t>
      </w:r>
      <w:proofErr w:type="spellStart"/>
      <w:r w:rsidR="00C31077" w:rsidRPr="005629D6">
        <w:t>unqiue</w:t>
      </w:r>
      <w:proofErr w:type="spellEnd"/>
      <w:r w:rsidR="00C31077" w:rsidRPr="005629D6">
        <w:t xml:space="preserve"> proteins.</w:t>
      </w:r>
    </w:p>
    <w:p w14:paraId="18F1D419" w14:textId="5D7FFA49" w:rsidR="00AB74F1" w:rsidRPr="005629D6" w:rsidRDefault="00201CF7" w:rsidP="00AB74F1">
      <w:r w:rsidRPr="005629D6">
        <w:t xml:space="preserve">It is clear from these results that binding affinity and energy </w:t>
      </w:r>
      <w:r w:rsidR="00213FD6" w:rsidRPr="005629D6">
        <w:t>are</w:t>
      </w:r>
      <w:r w:rsidRPr="005629D6">
        <w:t xml:space="preserve"> not the only factor</w:t>
      </w:r>
      <w:r w:rsidR="00213FD6" w:rsidRPr="005629D6">
        <w:t>s</w:t>
      </w:r>
      <w:r w:rsidRPr="005629D6">
        <w:t xml:space="preserve"> that can be evaluated in a computational screen to determine</w:t>
      </w:r>
      <w:r w:rsidR="0020707D" w:rsidRPr="005629D6">
        <w:t xml:space="preserve"> subsequent biological roles and activities of specific </w:t>
      </w:r>
      <w:r w:rsidR="00213FD6" w:rsidRPr="005629D6">
        <w:t xml:space="preserve">ORs </w:t>
      </w:r>
      <w:r w:rsidR="0020707D" w:rsidRPr="005629D6">
        <w:t>and receptor/ligand combinations.</w:t>
      </w:r>
      <w:r w:rsidR="00097B95" w:rsidRPr="005629D6">
        <w:t xml:space="preserve"> </w:t>
      </w:r>
      <w:r w:rsidR="00F059EA" w:rsidRPr="005629D6">
        <w:t>Both str</w:t>
      </w:r>
      <w:r w:rsidR="009D6B63" w:rsidRPr="005629D6">
        <w:t>uctural data computational models provide insights into the mechanism of odorant detection in insect</w:t>
      </w:r>
      <w:r w:rsidR="00466E4F" w:rsidRPr="005629D6">
        <w:t xml:space="preserve"> and have been used </w:t>
      </w:r>
      <w:r w:rsidR="00153DF9" w:rsidRPr="005629D6">
        <w:t xml:space="preserve">extensively </w:t>
      </w:r>
      <w:r w:rsidR="00466E4F" w:rsidRPr="005629D6">
        <w:t>previously to study odorant-binding proteins</w:t>
      </w:r>
      <w:r w:rsidR="009D6B63" w:rsidRPr="005629D6">
        <w:t>.</w:t>
      </w:r>
      <w:r w:rsidR="009D6B63" w:rsidRPr="005629D6">
        <w:fldChar w:fldCharType="begin" w:fldLock="1"/>
      </w:r>
      <w:r w:rsidR="00153DF9" w:rsidRPr="005629D6">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receptors","type":"article-journal"},"uris":["http://www.mendeley.com/documents/?uuid=2dec9e12-4bd0-4f9d-97b9-f4ca47b69bef"]},{"id":"ITEM-2","itemData":{"DOI":"10.1038/s41586-018-0420-8","ISSN":"14764687","PMID":"30111839","abstract":"The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-2","issue":"7719","issued":{"date-parts":[["2018"]]},"page":"447-452","publisher":"Springer US","title":"Cryo-EM structure of the insect olfactory receptor Orco","type":"article-journal","volume":"560"},"uris":["http://www.mendeley.com/documents/?uuid=39008980-944d-4b35-826d-38ce947c6ad8"]},{"id":"ITEM-3","itemData":{"author":[{"dropping-particle":"","family":"Du","given":"Shaoqing","non-dropping-particle":"","parse-names":false,"suffix":""},{"dropping-particle":"","family":"Yang","given":"Zhaokai","non-dropping-particle":"","parse-names":false,"suffix":""},{"dropping-particle":"","family":"Qin","given":"Yaoguo","non-dropping-particle":"","parse-names":false,"suffix":""},{"dropping-particle":"","family":"Wang","given":"Shanshan","non-dropping-particle":"","parse-names":false,"suffix":""},{"dropping-particle":"","family":"Duan","given":"Hongxia","non-dropping-particle":"","parse-names":false,"suffix":""},{"dropping-particle":"","family":"Yang","given":"Xinling","non-dropping-particle":"","parse-names":false,"suffix":""}],"id":"ITEM-3","issued":{"date-parts":[["2018"]]},"publisher":"Journal of Molecular Modeling","title":"Computational investigation of the molecular conformation-dependent binding mode of ( E ) - β -farnesene analogs with a heterocycle to aphid odorant-binding proteins","type":"article-journal","volume":"7"},"uris":["http://www.mendeley.com/documents/?uuid=d19ca62b-3e2c-4cf3-8da5-afaae5bd1a08"]},{"id":"ITEM-4","itemData":{"DOI":"10.1098/rstb.2019.0263","ISSN":"14712970","PMID":"32306882","abstract":"Interactions relating to human chemical signalling, although widely acknowledged, are relatively poorly characterized chemically, except for human axillary odour. However, the extensive chemical ecology of insects, involving countless pheromone and other semiochemical identifications, may offer insights into overcoming problems of characterizing human-derived semiochemicals more widely. Current techniques for acquiring insect semiochemicals are discussed, particularly in relation to the need for samples to relate, as closely as possible, to the ecological situation in which they are naturally deployed. Analysis is facilitated by chromatography coupled to electrophysiological preparations from the olfactory organs of insects in vivo. This is not feasible with human olfaction, but there are now potential approaches using molecular genetically reconstructed olfactory preparations already in use with insect systems. There are specific insights of value for characterizing human semiochemicals from advanced studies on semiochemicals of haematophagous insects, which include those involving human hosts, in addition to wider studies on farm and companion animals. The characterization of the precise molecular properties recognized in olfaction could lead to new advances in analogue design and a range of novel semiochemicals for human benefit. There are insights from successful synthetic biology studies on insect semiochemicals using novel biosynthetic precursors. Already, wider opportunities in olfaction emerging from in silico studies, involving a range of theoretical and computational approaches to molecular design and understanding olfactory systems at the molecular level, are showing promise for studying human semiochemistry. This article is part of the Theo Murphy meeting issue ‘Olfactory communication in humans’.","author":[{"dropping-particle":"","family":"Radadiya","given":"Ashish","non-dropping-particle":"","parse-names":false,"suffix":""},{"dropping-particle":"","family":"Pickett","given":"John A.","non-dropping-particle":"","parse-names":false,"suffix":""}],"container-title":"Philosophical Transactions of the Royal Society B: Biological Sciences","id":"ITEM-4","issue":"1800","issued":{"date-parts":[["2020"]]},"title":"Characterizing human odorant signals: Insights from insect semiochemistry and in silico modelling","type":"article-journal","volume":"375"},"uris":["http://www.mendeley.com/documents/?uuid=1141a17a-a51e-4ef6-bf8b-94532a1da697"]},{"id":"ITEM-5","itemData":{"DOI":"10.1111/phen.12066","ISSN":"13653032","abstract":"This review describes the main characteristics of odorant-binding proteins (OBPs) for homology modelling and presents a summary of structure prediction studies on insect OBPs, along with the steps involved and some limitations and improvements. The technique involves a computing approach to model protein structures and is based on a comparison between a target (unknown structure) and one or more templates (experimentally determined structures). As targets for structure prediction, OBPs are considered to play a functional role for recognition, desorption, scavenging, protection and transportation of hydrophobic molecules (odourants) across an aqueous environment (lymph) to olfactory receptor neurones (ORNs) located in sensilla, the main olfactory units of insect antennae. Lepidopteran pheromone-binding proteins, a subgroup of OBPs, are characterized by remarkable structural features, in which high sequence identities (approximately 30%) among these OBPs and a large number of available templates can facilitate the prediction of precise homology models. Approximately 30 studies have been performed on insect OBPs using homology modelling as a tool to predict their structures. Although some of the studies have assessed ligand-binding affinity using structural information and biochemical measurements, few have performed docking and molecular dynamic (MD) simulations as a virtual method to predict best ligands. Docking and MD simulations are discussed in the context of discovery of novel semiochemicals (super-ligands) using homology modelling to conceive further strategies in insect management.","author":[{"dropping-particle":"","family":"Venthur","given":"Herbert","non-dropping-particle":"","parse-names":false,"suffix":""},{"dropping-particle":"","family":"Mutis","given":"Ana","non-dropping-particle":"","parse-names":false,"suffix":""},{"dropping-particle":"","family":"Zhou","given":"Jing Jiang","non-dropping-particle":"","parse-names":false,"suffix":""},{"dropping-particle":"","family":"Quiroz","given":"Andrés","non-dropping-particle":"","parse-names":false,"suffix":""}],"container-title":"Physiological Entomology","id":"ITEM-5","issue":"3","issued":{"date-parts":[["2014"]]},"page":"183-198","title":"Ligand binding and homology modelling of insect odorant-binding proteins","type":"article-journal","volume":"39"},"uris":["http://www.mendeley.com/documents/?uuid=7f127188-f6ba-4d03-bb3c-23ee23878e99"]}],"mendeley":{"formattedCitation":"&lt;sup&gt;17,18,72–74&lt;/sup&gt;","plainTextFormattedCitation":"17,18,72–74","previouslyFormattedCitation":"&lt;sup&gt;17,18&lt;/sup&gt;"},"properties":{"noteIndex":0},"schema":"https://github.com/citation-style-language/schema/raw/master/csl-citation.json"}</w:instrText>
      </w:r>
      <w:r w:rsidR="009D6B63" w:rsidRPr="005629D6">
        <w:fldChar w:fldCharType="separate"/>
      </w:r>
      <w:r w:rsidR="00153DF9" w:rsidRPr="005629D6">
        <w:rPr>
          <w:noProof/>
          <w:vertAlign w:val="superscript"/>
        </w:rPr>
        <w:t>17,18,72–74</w:t>
      </w:r>
      <w:r w:rsidR="009D6B63" w:rsidRPr="005629D6">
        <w:fldChar w:fldCharType="end"/>
      </w:r>
      <w:r w:rsidR="009D6B63" w:rsidRPr="005629D6">
        <w:t xml:space="preserve"> </w:t>
      </w:r>
      <w:r w:rsidR="0014520F" w:rsidRPr="005629D6">
        <w:t>Computation</w:t>
      </w:r>
      <w:r w:rsidR="00213FD6" w:rsidRPr="005629D6">
        <w:t>al</w:t>
      </w:r>
      <w:r w:rsidR="0014520F" w:rsidRPr="005629D6">
        <w:t xml:space="preserve"> screens can be</w:t>
      </w:r>
      <w:r w:rsidR="009D6B63" w:rsidRPr="005629D6">
        <w:t xml:space="preserve"> further</w:t>
      </w:r>
      <w:r w:rsidR="0014520F" w:rsidRPr="005629D6">
        <w:t xml:space="preserve"> </w:t>
      </w:r>
      <w:r w:rsidR="009D6B63" w:rsidRPr="005629D6">
        <w:t>evaluated</w:t>
      </w:r>
      <w:r w:rsidR="0014520F" w:rsidRPr="005629D6">
        <w:t xml:space="preserve"> by </w:t>
      </w:r>
      <w:r w:rsidR="0014520F" w:rsidRPr="005629D6">
        <w:rPr>
          <w:i/>
          <w:iCs/>
        </w:rPr>
        <w:t>in vitro</w:t>
      </w:r>
      <w:r w:rsidR="00213FD6" w:rsidRPr="005629D6">
        <w:t xml:space="preserve"> studies</w:t>
      </w:r>
      <w:r w:rsidR="0014520F" w:rsidRPr="005629D6">
        <w:t>, particularly by mutagenesis of predicted binding sites.</w:t>
      </w:r>
      <w:r w:rsidR="009D6B63" w:rsidRPr="005629D6">
        <w:fldChar w:fldCharType="begin" w:fldLock="1"/>
      </w:r>
      <w:r w:rsidR="000D52F2" w:rsidRPr="005629D6">
        <w:instrText>ADDIN CSL_CITATION {"citationItems":[{"id":"ITEM-1","itemData":{"DOI":"10.1038/s41586-021-03794-8","ISSN":"0028-0836","abstract":"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-1","issue":"January","issued":{"date-parts":[["2021"]]},"title":"The structural basis of odorant recognition in insect olfactory receptors","type":"article-journal"},"uris":["http://www.mendeley.com/documents/?uuid=2dec9e12-4bd0-4f9d-97b9-f4ca47b69bef"]},{"id":"ITEM-2","itemData":{"DOI":"10.1101/2020.03.07.980797","author":[{"dropping-particle":"","family":"Yuvaraj","given":"Jothi","non-dropping-particle":"","parse-names":false,"suffix":""},{"dropping-particle":"","family":"Roberts","given":"Rebecca","non-dropping-particle":"","parse-names":false,"suffix":""},{"dropping-particle":"","family":"Sonntag","given":"Yonathan","non-dropping-particle":"","parse-names":false,"suffix":""},{"dropping-particle":"","family":"Hou","given":"Xiaoqing","non-dropping-particle":"","parse-names":false,"suffix":""},{"dropping-particle":"","family":"Grosse-Wilde","given":"Ewald","non-dropping-particle":"","parse-names":false,"suffix":""},{"dropping-particle":"","family":"Machara","given":"Aleš","non-dropping-particle":"","parse-names":false,"suffix":""},{"dropping-particle":"","family":"Hansson","given":"Bill","non-dropping-particle":"","parse-names":false,"suffix":""},{"dropping-particle":"","family":"Johanson","given":"Urban","non-dropping-particle":"","parse-names":false,"suffix":""},{"dropping-particle":"","family":"Löfstedt","given":"Christer","non-dropping-particle":"","parse-names":false,"suffix":""},{"dropping-particle":"","family":"Andersson","given":"Martin","non-dropping-particle":"","parse-names":false,"suffix":""}],"container-title":"BMC Biology","id":"ITEM-2","issue":"16","issued":{"date-parts":[["2021"]]},"title":"Putative ligand binding sites of two functionally characterized bark beetle odorant receptors","type":"article-journal","volume":"19"},"uris":["http://www.mendeley.com/documents/?uuid=2e659630-e489-47c8-b90d-23856f66b7a1"]},{"id":"ITEM-3","itemData":{"DOI":"10.7554/eLife.29100","ISSN":"2050084X","PMID":"29063835","abstract":"Male moths possess highly sensitive and selective olfactory systems that detect sex pheromones produced by their females. Pheromone receptors (PRs) play a key role in this process. The PR HassOr14b is found to be tuned to (Z)-9-hexadecenal, the major sex-pheromone component, in Helicoverpa assulta. HassOr14b is co-localized with HassOr6 or HassOr16 in two olfactory sensory neurons within the same sensilla. As HarmOr14b, the ortholog of HassOr14b in the closely related species Helicoverpa armigera, is tuned to another chemical (Z)-9-tetradecenal, we study the amino acid residues that determine their ligand selectivity. Two amino acids located in the intracellular domains F232I and T355I together determine the functional difference between the two orthologs. We conclude that species-specific changes in the tuning specificity of the PRs in the two Helicoverpa moth species could be achieved with just a few amino acid substitutions, which provides new insights into the evolution of closely related moth species.","author":[{"dropping-particle":"","family":"Yang","given":"Ke","non-dropping-particle":"","parse-names":false,"suffix":""},{"dropping-particle":"","family":"Huang","given":"Ling Qiao","non-dropping-particle":"","parse-names":false,"suffix":""},{"dropping-particle":"","family":"Ning","given":"Chao","non-dropping-particle":"","parse-names":false,"suffix":""},{"dropping-particle":"","family":"Wang","given":"Chen Zhu","non-dropping-particle":"","parse-names":false,"suffix":""}],"container-title":"eLife","id":"ITEM-3","issued":{"date-parts":[["2017"]]},"page":"1-21","title":"Two single-point mutations shift the ligand selectivity of a pheromone receptor between two closely related moth species","type":"article-journal","volume":"6"},"uris":["http://www.mendeley.com/documents/?uuid=d1169886-dda5-4d6f-9ff6-a03f56b3cad3"]}],"mendeley":{"formattedCitation":"&lt;sup&gt;18,26,27&lt;/sup&gt;","plainTextFormattedCitation":"18,26,27","previouslyFormattedCitation":"&lt;sup&gt;18,26,27&lt;/sup&gt;"},"properties":{"noteIndex":0},"schema":"https://github.com/citation-style-language/schema/raw/master/csl-citation.json"}</w:instrText>
      </w:r>
      <w:r w:rsidR="009D6B63" w:rsidRPr="005629D6">
        <w:fldChar w:fldCharType="separate"/>
      </w:r>
      <w:r w:rsidR="002F2ECE" w:rsidRPr="005629D6">
        <w:rPr>
          <w:noProof/>
          <w:vertAlign w:val="superscript"/>
        </w:rPr>
        <w:t>18,26,27</w:t>
      </w:r>
      <w:r w:rsidR="009D6B63" w:rsidRPr="005629D6">
        <w:fldChar w:fldCharType="end"/>
      </w:r>
    </w:p>
    <w:p w14:paraId="4FBDC292" w14:textId="22A66392" w:rsidR="00E24673" w:rsidRPr="005629D6" w:rsidRDefault="00250E55" w:rsidP="00AB74F1">
      <w:pPr>
        <w:rPr>
          <w:rFonts w:cstheme="minorHAnsi"/>
        </w:rPr>
      </w:pPr>
      <w:r w:rsidRPr="005629D6">
        <w:lastRenderedPageBreak/>
        <w:t>There are</w:t>
      </w:r>
      <w:r w:rsidR="00213FD6" w:rsidRPr="005629D6">
        <w:t>, however,</w:t>
      </w:r>
      <w:r w:rsidRPr="005629D6">
        <w:t xml:space="preserve"> limitations </w:t>
      </w:r>
      <w:r w:rsidR="00213FD6" w:rsidRPr="005629D6">
        <w:t>in the computational approaches that have been used.</w:t>
      </w:r>
      <w:r w:rsidRPr="005629D6">
        <w:t xml:space="preserve"> </w:t>
      </w:r>
      <w:r w:rsidR="00213FD6" w:rsidRPr="005629D6">
        <w:rPr>
          <w:rFonts w:cstheme="minorHAnsi"/>
        </w:rPr>
        <w:t>M</w:t>
      </w:r>
      <w:r w:rsidRPr="005629D6">
        <w:rPr>
          <w:rFonts w:cstheme="minorHAnsi"/>
        </w:rPr>
        <w:t xml:space="preserve">any olfactory ligands, such as aromatic compounds and unsaturated aldehydes, have a significant number of π-bonds, creating a challenge when predicting interactions </w:t>
      </w:r>
      <w:r w:rsidRPr="005629D6">
        <w:rPr>
          <w:rFonts w:cstheme="minorHAnsi"/>
          <w:i/>
          <w:iCs/>
        </w:rPr>
        <w:t xml:space="preserve">via </w:t>
      </w:r>
      <w:r w:rsidRPr="005629D6">
        <w:rPr>
          <w:rFonts w:cstheme="minorHAnsi"/>
        </w:rPr>
        <w:t>computational methods</w:t>
      </w:r>
      <w:r w:rsidR="00213FD6" w:rsidRPr="005629D6">
        <w:rPr>
          <w:rFonts w:cstheme="minorHAnsi"/>
        </w:rPr>
        <w:t>.</w:t>
      </w:r>
      <w:r w:rsidRPr="005629D6">
        <w:rPr>
          <w:rFonts w:cstheme="minorHAnsi"/>
        </w:rPr>
        <w:t xml:space="preserve"> </w:t>
      </w:r>
      <w:r w:rsidRPr="005629D6">
        <w:t xml:space="preserve">Binding interactions are predicted by </w:t>
      </w:r>
      <w:proofErr w:type="spellStart"/>
      <w:r w:rsidRPr="005629D6">
        <w:t>AutoDock</w:t>
      </w:r>
      <w:proofErr w:type="spellEnd"/>
      <w:r w:rsidRPr="005629D6">
        <w:t xml:space="preserve"> 4.3 using a point-charge based force field. This results in several limitations when predicting binding conformations and kinetic values, </w:t>
      </w:r>
      <w:proofErr w:type="gramStart"/>
      <w:r w:rsidRPr="005629D6">
        <w:t>in particular those</w:t>
      </w:r>
      <w:proofErr w:type="gramEnd"/>
      <w:r w:rsidRPr="005629D6">
        <w:t xml:space="preserve"> involving </w:t>
      </w:r>
      <w:r w:rsidRPr="005629D6">
        <w:rPr>
          <w:rFonts w:cstheme="minorHAnsi"/>
        </w:rPr>
        <w:t>π</w:t>
      </w:r>
      <w:r w:rsidRPr="005629D6">
        <w:t>-</w:t>
      </w:r>
      <w:r w:rsidRPr="005629D6">
        <w:rPr>
          <w:rFonts w:cstheme="minorHAnsi"/>
        </w:rPr>
        <w:t xml:space="preserve"> π</w:t>
      </w:r>
      <w:r w:rsidR="00213FD6" w:rsidRPr="005629D6">
        <w:rPr>
          <w:rFonts w:cstheme="minorHAnsi"/>
        </w:rPr>
        <w:t xml:space="preserve"> interactions</w:t>
      </w:r>
      <w:r w:rsidRPr="005629D6">
        <w:rPr>
          <w:rFonts w:cstheme="minorHAnsi"/>
        </w:rPr>
        <w:t xml:space="preserve">. Though these values are likely inaccurate </w:t>
      </w:r>
      <w:r w:rsidR="0087471E" w:rsidRPr="005629D6">
        <w:rPr>
          <w:rFonts w:cstheme="minorHAnsi"/>
        </w:rPr>
        <w:t xml:space="preserve">compared with </w:t>
      </w:r>
      <w:r w:rsidR="0087471E" w:rsidRPr="005629D6">
        <w:rPr>
          <w:rFonts w:cstheme="minorHAnsi"/>
          <w:i/>
          <w:iCs/>
        </w:rPr>
        <w:t>in vitro</w:t>
      </w:r>
      <w:r w:rsidR="0087471E" w:rsidRPr="005629D6">
        <w:rPr>
          <w:rFonts w:cstheme="minorHAnsi"/>
        </w:rPr>
        <w:t xml:space="preserve"> measurements</w:t>
      </w:r>
      <w:r w:rsidRPr="005629D6">
        <w:rPr>
          <w:rFonts w:cstheme="minorHAnsi"/>
        </w:rPr>
        <w:t>, they can be used to score the binding conformations. Furthermore, π</w:t>
      </w:r>
      <w:r w:rsidRPr="005629D6">
        <w:t>-</w:t>
      </w:r>
      <w:r w:rsidRPr="005629D6">
        <w:rPr>
          <w:rFonts w:cstheme="minorHAnsi"/>
        </w:rPr>
        <w:t xml:space="preserve"> π interactions that may appear in the true </w:t>
      </w:r>
      <w:r w:rsidRPr="005629D6">
        <w:rPr>
          <w:rFonts w:cstheme="minorHAnsi"/>
          <w:i/>
          <w:iCs/>
        </w:rPr>
        <w:t>in vivo</w:t>
      </w:r>
      <w:r w:rsidRPr="005629D6">
        <w:rPr>
          <w:rFonts w:cstheme="minorHAnsi"/>
        </w:rPr>
        <w:t xml:space="preserve"> interactions can be predicted and estimated based on the positions of π bonds in the ligand and/or surrounding residues.</w:t>
      </w:r>
      <w:r w:rsidR="001511AB" w:rsidRPr="005629D6">
        <w:rPr>
          <w:rFonts w:cstheme="minorHAnsi"/>
        </w:rPr>
        <w:t xml:space="preserve"> Novel work in protein modelling, such as the launch of </w:t>
      </w:r>
      <w:proofErr w:type="spellStart"/>
      <w:r w:rsidR="001511AB" w:rsidRPr="005629D6">
        <w:rPr>
          <w:rFonts w:cstheme="minorHAnsi"/>
        </w:rPr>
        <w:t>AlphaFold</w:t>
      </w:r>
      <w:proofErr w:type="spellEnd"/>
      <w:r w:rsidR="001511AB" w:rsidRPr="005629D6">
        <w:rPr>
          <w:rFonts w:cstheme="minorHAnsi"/>
        </w:rPr>
        <w:t>, or machine-learning techniques may provide further insight and more powerful results in future.</w:t>
      </w:r>
      <w:r w:rsidR="00691953" w:rsidRPr="005629D6">
        <w:rPr>
          <w:rFonts w:cstheme="minorHAnsi"/>
        </w:rPr>
        <w:fldChar w:fldCharType="begin" w:fldLock="1"/>
      </w:r>
      <w:r w:rsidR="00153DF9" w:rsidRPr="005629D6">
        <w:rPr>
          <w:rFonts w:cstheme="minorHAnsi"/>
        </w:rPr>
        <w:instrText>ADDIN CSL_CITATION {"citationItems":[{"id":"ITEM-1","itemData":{"DOI":"10.1007/s00018-021-03919-2","ISBN":"0123456789","ISSN":"1420-682X","abstract":" The concept of reverse chemical ecology (exploitation of molecular knowledge for chemical ecology) has recently emerged in conservation biology and human health. Here, we extend this concept to crop protection. Targeting odorant receptors from a crop pest insect, the noctuid moth Spodoptera littoralis , we demonstrate that reverse chemical ecology has the potential to accelerate the discovery of novel crop pest insect attractants and repellents. Using machine learning, we first predicted novel natural ligands for two odorant receptors, SlitOR24 and 25. Then, electrophysiological validation proved in silico predictions to be highly sensitive, as 93% and 67% of predicted agonists triggered a response in Drosophila olfactory neurons expressing SlitOR24 and SlitOR25, respectively, despite a lack of specificity. Last, when tested in Y-maze behavioral assays, the most active novel ligands of the receptors were attractive to caterpillars. This work provides a template for rational design of new eco-friendly semiochemicals to manage crop pest populations. ","author":[{"dropping-particle":"","family":"Caballero-Vidal","given":"Gabriela","non-dropping-particle":"","parse-names":false,"suffix":""},{"dropping-particle":"","family":"Bouysset","given":"Cédric","non-dropping-particle":"","parse-names":false,"suffix":""},{"dropping-particle":"","family":"Gévar","given":"Jérémy","non-dropping-particle":"","parse-names":false,"suffix":""},{"dropping-particle":"","family":"Mbouzid","given":"Hayat","non-dropping-particle":"","parse-names":false,"suffix":""},{"dropping-particle":"","family":"Nara","given":"Céline","non-dropping-particle":"","parse-names":false,"suffix":""},{"dropping-particle":"","family":"Delaroche","given":"Julie","non-dropping-particle":"","parse-names":false,"suffix":""},{"dropping-particle":"","family":"Golebiowski","given":"Jérôme","non-dropping-particle":"","parse-names":false,"suffix":""},{"dropping-particle":"","family":"Montagné","given":"Nicolas","non-dropping-particle":"","parse-names":false,"suffix":""},{"dropping-particle":"","family":"Fiorucci","given":"Sébastien","non-dropping-particle":"","parse-names":false,"suffix":""},{"dropping-particle":"","family":"Jacquin-Joly","given":"Emmanuelle","non-dropping-particle":"","parse-names":false,"suffix":""}],"container-title":"Cellular and Molecular Life Sciences","id":"ITEM-1","issued":{"date-parts":[["2021"]]},"publisher":"Springer International Publishing","title":"Reverse chemical ecology in a moth: machine learning on odorant receptors identifies new behaviorally active agonists","type":"article-journal"},"uris":["http://www.mendeley.com/documents/?uuid=d41d9358-0c3f-4c01-8eda-b41be5162027"]},{"id":"ITEM-2","itemData":{"DOI":"10.1038/s41598-020-58564-9","ISSN":"20452322","PMID":"32015393","abstract":"Odorant receptors expressed at the peripheral olfactory organs are key proteins for animal volatile sensing. Although they determine the odor space of a given species, their functional characterization is a long process and remains limited. To date, machine learning virtual screening has been used to predict new ligands for such receptors in both mammals and insects, using chemical features of known ligands. In insects, such approach is yet limited to Diptera, whereas insect odorant receptors are known to be highly divergent between orders. Here, we extend this strategy to a Lepidoptera receptor, SlitOR25, involved in the recognition of attractive odorants in the crop pest Spodoptera littoralis larvae. Virtual screening of 3 million molecules predicted 32 purchasable ones whose function has been systematically tested on SlitOR25, revealing 11 novel agonists with a success rate of 28%. Our results show that Support Vector Machine optimizes the discovery of novel agonists and expands the chemical space of a Lepidoptera OR. More, it opens up structure-function relationship analyses through a comparison of the agonist chemical structures. This proof-of-concept in a crop pest could ultimately enable the identification of OR agonists or antagonists, capable of modifying olfactory behaviors in a context of biocontrol.","author":[{"dropping-particle":"","family":"Caballero-Vidal","given":"Gabriela","non-dropping-particle":"","parse-names":false,"suffix":""},{"dropping-particle":"","family":"Bouysset","given":"Cédric","non-dropping-particle":"","parse-names":false,"suffix":""},{"dropping-particle":"","family":"Grunig","given":"Hubert","non-dropping-particle":"","parse-names":false,"suffix":""},{"dropping-particle":"","family":"Fiorucci","given":"Sébastien","non-dropping-particle":"","parse-names":false,"suffix":""},{"dropping-particle":"","family":"Montagné","given":"Nicolas","non-dropping-particle":"","parse-names":false,"suffix":""},{"dropping-particle":"","family":"Golebiowski","given":"Jérôme","non-dropping-particle":"","parse-names":false,"suffix":""},{"dropping-particle":"","family":"Jacquin-Joly","given":"Emmanuelle","non-dropping-particle":"","parse-names":false,"suffix":""}],"container-title":"Scientific Reports","id":"ITEM-2","issue":"1","issued":{"date-parts":[["2020"]]},"page":"1-9","title":"Machine learning decodes chemical features to identify novel agonists of a moth odorant receptor","type":"article-journal","volume":"10"},"uris":["http://www.mendeley.com/documents/?uuid=a34789c6-941a-4cc6-baac-9d3d85e30fd1"]},{"id":"ITEM-3","itemData":{"DOI":"10.1038/s41586-021-03819-2","ISSN":"14764687","PMID":"34265844","abstract":"Proteins are essential to life, and understanding their structure can facilitate a mechanistic understanding of their function. Through an enormous experimental effort1–4, the structures of around 100,000 unique proteins have been determined5, but this represents a small fraction of the billions of known protein sequences6,7. Structural coverage is bottlenecked by the months to years of painstaking effort required to determine a single protein structure. Accurate computational approaches are needed to address this gap and to enable large-scale structural bioinformatics. Predicting the 3-D structure that a protein will adopt based solely on its amino acid sequence, the structure prediction component of the ‘protein folding problem’8, has been an important open research problem for more than 50 years9. Despite recent progress10–14, existing methods fall far short of atomic accuracy, especially when no homologous structure is available. Here we provide the first computational method that can regularly predict protein structures with atomic accuracy even where no similar structure is known. We validated an entirely redesigned version of our neural network-based model, AlphaFold, in the challenging 14th Critical Assessment of protein Structure Prediction (CASP14)15, demonstrating accuracy competitive with experiment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author":[{"dropping-particle":"","family":"Jumper","given":"John","non-dropping-particle":"","parse-names":false,"suffix":""},{"dropping-particle":"","family":"Evans","given":"Richard","non-dropping-particle":"","parse-names":false,"suffix":""},{"dropping-particle":"","family":"Pritzel","given":"Alexander","non-dropping-particle":"","parse-names":false,"suffix":""},{"dropping-particle":"","family":"Green","given":"Tim","non-dropping-particle":"","parse-names":false,"suffix":""},{"dropping-particle":"","family":"Figurnov","given":"Michael","non-dropping-particle":"","parse-names":false,"suffix":""},{"dropping-particle":"","family":"Ronneberger","given":"Olaf","non-dropping-particle":"","parse-names":false,"suffix":""},{"dropping-particle":"","family":"Tunyasuvunakool","given":"Kathryn","non-dropping-particle":"","parse-names":false,"suffix":""},{"dropping-particle":"","family":"Bates","given":"Russ","non-dropping-particle":"","parse-names":false,"suffix":""},{"dropping-particle":"","family":"Žídek","given":"Augustin","non-dropping-particle":"","parse-names":false,"suffix":""},{"dropping-particle":"","family":"Potapenko","given":"Anna","non-dropping-particle":"","parse-names":false,"suffix":""},{"dropping-particle":"","family":"Bridgland","given":"Alex","non-dropping-particle":"","parse-names":false,"suffix":""},{"dropping-particle":"","family":"Meyer","given":"Clemens","non-dropping-particle":"","parse-names":false,"suffix":""},{"dropping-particle":"","family":"Kohl","given":"Simon A.A.","non-dropping-particle":"","parse-names":false,"suffix":""},{"dropping-particle":"","family":"Ballard","given":"Andrew J.","non-dropping-particle":"","parse-names":false,"suffix":""},{"dropping-particle":"","family":"Cowie","given":"Andrew","non-dropping-particle":"","parse-names":false,"suffix":""},{"dropping-particle":"","family":"Romera-Paredes","given":"Bernardino","non-dropping-particle":"","parse-names":false,"suffix":""},{"dropping-particle":"","family":"Nikolov","given":"Stanislav","non-dropping-particle":"","parse-names":false,"suffix":""},{"dropping-particle":"","family":"Jain","given":"Rishub","non-dropping-particle":"","parse-names":false,"suffix":""},{"dropping-particle":"","family":"Adler","given":"Jonas","non-dropping-particle":"","parse-names":false,"suffix":""},{"dropping-particle":"","family":"Back","given":"Trevor","non-dropping-particle":"","parse-names":false,"suffix":""},{"dropping-particle":"","family":"Petersen","given":"Stig","non-dropping-particle":"","parse-names":false,"suffix":""},{"dropping-particle":"","family":"Reiman","given":"David","non-dropping-particle":"","parse-names":false,"suffix":""},{"dropping-particle":"","family":"Clancy","given":"Ellen","non-dropping-particle":"","parse-names":false,"suffix":""},{"dropping-particle":"","family":"Zielinski","given":"Michal","non-dropping-particle":"","parse-names":false,"suffix":""},{"dropping-particle":"","family":"Steinegger","given":"Martin","non-dropping-particle":"","parse-names":false,"suffix":""},{"dropping-particle":"","family":"Pacholska","given":"Michalina","non-dropping-particle":"","parse-names":false,"suffix":""},{"dropping-particle":"","family":"Berghammer","given":"Tamas","non-dropping-particle":"","parse-names":false,"suffix":""},{"dropping-particle":"","family":"Bodenstein","given":"Sebastian","non-dropping-particle":"","parse-names":false,"suffix":""},{"dropping-particle":"","family":"Silver","given":"David","non-dropping-particle":"","parse-names":false,"suffix":""},{"dropping-particle":"","family":"Vinyals","given":"Oriol","non-dropping-particle":"","parse-names":false,"suffix":""},{"dropping-particle":"","family":"Senior","given":"Andrew W.","non-dropping-particle":"","parse-names":false,"suffix":""},{"dropping-particle":"","family":"Kavukcuoglu","given":"Koray","non-dropping-particle":"","parse-names":false,"suffix":""},{"dropping-particle":"","family":"Kohli","given":"Pushmeet","non-dropping-particle":"","parse-names":false,"suffix":""},{"dropping-particle":"","family":"Hassabis","given":"Demis","non-dropping-particle":"","parse-names":false,"suffix":""}],"container-title":"Nature","id":"ITEM-3","issue":"August","issued":{"date-parts":[["2021"]]},"publisher":"Springer US","title":"Highly accurate protein structure prediction with AlphaFold","type":"article-journal","volume":"596"},"uris":["http://www.mendeley.com/documents/?uuid=d00f2fcd-7e6e-476d-a274-aa9fa48dc5c4"]}],"mendeley":{"formattedCitation":"&lt;sup&gt;54,75,76&lt;/sup&gt;","plainTextFormattedCitation":"54,75,76","previouslyFormattedCitation":"&lt;sup&gt;54,72,73&lt;/sup&gt;"},"properties":{"noteIndex":0},"schema":"https://github.com/citation-style-language/schema/raw/master/csl-citation.json"}</w:instrText>
      </w:r>
      <w:r w:rsidR="00691953" w:rsidRPr="005629D6">
        <w:rPr>
          <w:rFonts w:cstheme="minorHAnsi"/>
        </w:rPr>
        <w:fldChar w:fldCharType="separate"/>
      </w:r>
      <w:r w:rsidR="00153DF9" w:rsidRPr="005629D6">
        <w:rPr>
          <w:rFonts w:cstheme="minorHAnsi"/>
          <w:noProof/>
          <w:vertAlign w:val="superscript"/>
        </w:rPr>
        <w:t>54,75,76</w:t>
      </w:r>
      <w:r w:rsidR="00691953" w:rsidRPr="005629D6">
        <w:rPr>
          <w:rFonts w:cstheme="minorHAnsi"/>
        </w:rPr>
        <w:fldChar w:fldCharType="end"/>
      </w:r>
      <w:r w:rsidR="001511AB" w:rsidRPr="005629D6">
        <w:rPr>
          <w:rFonts w:cstheme="minorHAnsi"/>
        </w:rPr>
        <w:t xml:space="preserve"> Furthermore, additional analysis involving quantum computing or molecular dynamics simulations could be utilised to understand the mechanism of these unique receptors.</w:t>
      </w:r>
      <w:r w:rsidR="001511AB" w:rsidRPr="005629D6">
        <w:rPr>
          <w:rFonts w:cstheme="minorHAnsi"/>
        </w:rPr>
        <w:fldChar w:fldCharType="begin" w:fldLock="1"/>
      </w:r>
      <w:r w:rsidR="00153DF9" w:rsidRPr="005629D6">
        <w:rPr>
          <w:rFonts w:cstheme="minorHAnsi"/>
        </w:rPr>
        <w:instrText>ADDIN CSL_CITATION {"citationItems":[{"id":"ITEM-1","itemData":{"DOI":"10.1002/jcc.20291","ISSN":"01928651","PMID":"16211538","abstract":"This article describes the software suite GROMACS (Groningen MAchine for Chemical Simulation) that was developed at the University of Groningen, The Netherlands, in the early 1990s. The software, written in ANSI C, originates from a parallel hardware project, and is well suited for parallelization on processor clusters. By careful optimization of neighbor searching and of inner loop performance, GROMACS is a very fast program for molecular dynamics simulation. It does not have a force field of its own, but is compatible with GROMOS, OPLS, AMBER, and ENCAD force fields. In addition, it can handle polarizable shell models and flexible constraints. The program is versatile, as force routines can be added by the user, tabulated functions can be specified, and analyses can be easily customized. Nonequilibrium dynamics and free energy determinations are incorporated. Interfaces with popular quantum-chemical packages (MOPAC, GAMES-UK, GAUSSIAN) are provided to perform mixed MM/QM simulations. The package includes about 100 utility and analysis programs. GROMACS is in the public domain and distributed (with source code and documentation) under the GNU General Public License. It is maintained by a group of developers from the Universities of Groningen, Uppsala, and Stockholm, and the Max Planck Institute for Polymer Research in Mainz. Its Web site is http://www.gromacs.org. © 2005 Wiley Periodicals, Inc.","author":[{"dropping-particle":"","family":"Spoel","given":"David","non-dropping-particle":"Van Der","parse-names":false,"suffix":""},{"dropping-particle":"","family":"Lindahl","given":"Erik","non-dropping-particle":"","parse-names":false,"suffix":""},{"dropping-particle":"","family":"Hess","given":"Berk","non-dropping-particle":"","parse-names":false,"suffix":""},{"dropping-particle":"","family":"Groenhof","given":"Gerrit","non-dropping-particle":"","parse-names":false,"suffix":""},{"dropping-particle":"","family":"Mark","given":"Alan E.","non-dropping-particle":"","parse-names":false,"suffix":""},{"dropping-particle":"","family":"Berendsen","given":"Herman J.C.","non-dropping-particle":"","parse-names":false,"suffix":""}],"container-title":"Journal of Computational Chemistry","id":"ITEM-1","issue":"16","issued":{"date-parts":[["2005"]]},"page":"1701-1718","title":"GROMACS: Fast, flexible, and free","type":"article-journal","volume":"26"},"uris":["http://www.mendeley.com/documents/?uuid=67aadde7-0181-47d1-a6bc-ce702d196bc5"]},{"id":"ITEM-2","itemData":{"DOI":"10.3389/fphar.2018.00923","ISSN":"16639812","abstract":"Computational techniques have been applied in the drug discovery pipeline since the 1980s. Given the low computational resources of the time, the first molecular modeling strategies relied on a rigid view of the ligand-target binding process. During the years, the evolution of hardware technologies has gradually allowed simulating the dynamic nature of the binding event. In this work, we present an overview of the evolution of structure-based drug discovery techniques in the study of ligand-target recognition phenomenon, going from the static molecular docking toward enhanced molecular dynamics strategies.","author":[{"dropping-particle":"","family":"Salmaso","given":"Veronica","non-dropping-particle":"","parse-names":false,"suffix":""},{"dropping-particle":"","family":"Moro","given":"Stefano","non-dropping-particle":"","parse-names":false,"suffix":""}],"container-title":"Frontiers in Pharmacology","id":"ITEM-2","issue":"AUG","issued":{"date-parts":[["2018"]]},"page":"1-16","title":"Bridging molecular docking to molecular dynamics in exploring ligand-protein recognition process: An overview","type":"article-journal","volume":"9"},"uris":["http://www.mendeley.com/documents/?uuid=6e518c7d-e778-41b7-8a1c-c64eb8536c95"]},{"id":"ITEM-3","itemData":{"DOI":"doi:10.1111/cbdd.13084","ISBN":"8586542555","abstract":"The ability to design and fine-tune non-covalent interactions between organic ligands and proteins is indispensable to rational drug development. Aromatic stacking has long been recognized as one of the key constituents of ligand-protein interfaces. In this communication, we employ a twoparameter geometric model to conduct a large-scale statistical analysis of aromatic contacts in the experimental and computer-generated structures of ligand-protein complexes, considering various combinations of aromatic amino acid residues and ligand rings. The geometry of interfacial π-π stacking in crystal structures accords with experimental and theoretical data collected for simple systems, such as the benzene dimer. Many contemporary ligand docking programs implicitly treat aromatic stacking with van der Waals and Coulombic potentials. Although this approach generally provides a sufficient specificity to model aromatic interactions, the geometry of π-π contacts in high-scoring docking conformations could still be improved. The comprehensive analysis of aromatic geometries at ligand-protein interfaces lies the foundation for the development of typespecific statistical potentials to more accurately describe aromatic interactions in molecular docking. A Perl script to detect and calculate the geometric parameters of aromatic interactions in ligand-protein complexes is available at https://github.com/michal-brylinski/earomatic. The dataset comprising experimental complex structures and computer-generated models is available at https:// osf.io/rztha/.","author":[{"dropping-particle":"","family":"Brylinski","given":"Michal","non-dropping-particle":"","parse-names":false,"suffix":""}],"container-title":"Chem Biol Drug Design","id":"ITEM-3","issue":"2","issued":{"date-parts":[["2018"]]},"page":"380-390","title":"Aromatic interactions at the ligand-protein interface: Implications for the development of docking scoring functions","type":"article-journal","volume":"91"},"uris":["http://www.mendeley.com/documents/?uuid=a81b2b2f-0ce2-4c00-bf15-e83702fa4a7d"]}],"mendeley":{"formattedCitation":"&lt;sup&gt;55,77,78&lt;/sup&gt;","plainTextFormattedCitation":"55,77,78","previouslyFormattedCitation":"&lt;sup&gt;55,74,75&lt;/sup&gt;"},"properties":{"noteIndex":0},"schema":"https://github.com/citation-style-language/schema/raw/master/csl-citation.json"}</w:instrText>
      </w:r>
      <w:r w:rsidR="001511AB" w:rsidRPr="005629D6">
        <w:rPr>
          <w:rFonts w:cstheme="minorHAnsi"/>
        </w:rPr>
        <w:fldChar w:fldCharType="separate"/>
      </w:r>
      <w:r w:rsidR="00153DF9" w:rsidRPr="005629D6">
        <w:rPr>
          <w:rFonts w:cstheme="minorHAnsi"/>
          <w:noProof/>
          <w:vertAlign w:val="superscript"/>
        </w:rPr>
        <w:t>55,77,78</w:t>
      </w:r>
      <w:r w:rsidR="001511AB" w:rsidRPr="005629D6">
        <w:rPr>
          <w:rFonts w:cstheme="minorHAnsi"/>
        </w:rPr>
        <w:fldChar w:fldCharType="end"/>
      </w:r>
      <w:r w:rsidR="00B13673" w:rsidRPr="005629D6">
        <w:rPr>
          <w:rFonts w:cstheme="minorHAnsi"/>
        </w:rPr>
        <w:t xml:space="preserve"> </w:t>
      </w:r>
    </w:p>
    <w:p w14:paraId="168E681E" w14:textId="346EA53C" w:rsidR="00E24673" w:rsidRPr="005629D6" w:rsidRDefault="00E24673" w:rsidP="00AB74F1">
      <w:pPr>
        <w:rPr>
          <w:rFonts w:cstheme="minorHAnsi"/>
          <w:lang w:val="en-US"/>
        </w:rPr>
      </w:pPr>
      <w:r w:rsidRPr="005629D6">
        <w:rPr>
          <w:rFonts w:cstheme="minorHAnsi"/>
        </w:rPr>
        <w:t xml:space="preserve">This study did not attempt to explore receptor stability and stoichiometry in </w:t>
      </w:r>
      <w:r w:rsidR="000100EC" w:rsidRPr="005629D6">
        <w:rPr>
          <w:rFonts w:cstheme="minorHAnsi"/>
        </w:rPr>
        <w:t>detail</w:t>
      </w:r>
      <w:r w:rsidRPr="005629D6">
        <w:rPr>
          <w:rFonts w:cstheme="minorHAnsi"/>
        </w:rPr>
        <w:t xml:space="preserve">. Future computational experiments to study insect olfactory receptors should focus on </w:t>
      </w:r>
      <w:r w:rsidR="00947B79" w:rsidRPr="005629D6">
        <w:rPr>
          <w:rFonts w:cstheme="minorHAnsi"/>
        </w:rPr>
        <w:t xml:space="preserve">evaluation of techniques and elucidation of the OR-ORCO complex stoichiometry. </w:t>
      </w:r>
      <w:r w:rsidR="001043EA" w:rsidRPr="005629D6">
        <w:rPr>
          <w:rFonts w:cstheme="minorHAnsi"/>
        </w:rPr>
        <w:t xml:space="preserve">Though in this study we have made brief </w:t>
      </w:r>
      <w:r w:rsidR="00F43251" w:rsidRPr="005629D6">
        <w:rPr>
          <w:rFonts w:cstheme="minorHAnsi"/>
        </w:rPr>
        <w:t>comparisons</w:t>
      </w:r>
      <w:r w:rsidR="001043EA" w:rsidRPr="005629D6">
        <w:rPr>
          <w:rFonts w:cstheme="minorHAnsi"/>
        </w:rPr>
        <w:t xml:space="preserve"> between modelling and docking techniques, there may be more </w:t>
      </w:r>
      <w:r w:rsidR="00F43251" w:rsidRPr="005629D6">
        <w:rPr>
          <w:rFonts w:cstheme="minorHAnsi"/>
        </w:rPr>
        <w:t>optimal</w:t>
      </w:r>
      <w:r w:rsidR="001043EA" w:rsidRPr="005629D6">
        <w:rPr>
          <w:rFonts w:cstheme="minorHAnsi"/>
        </w:rPr>
        <w:t xml:space="preserve"> methodologies evaluable such as Glide or </w:t>
      </w:r>
      <w:proofErr w:type="spellStart"/>
      <w:r w:rsidR="001043EA" w:rsidRPr="005629D6">
        <w:rPr>
          <w:rFonts w:cstheme="minorHAnsi"/>
        </w:rPr>
        <w:t>SwissDock</w:t>
      </w:r>
      <w:proofErr w:type="spellEnd"/>
      <w:r w:rsidR="001043EA" w:rsidRPr="005629D6">
        <w:rPr>
          <w:rFonts w:cstheme="minorHAnsi"/>
        </w:rPr>
        <w:t xml:space="preserve">. </w:t>
      </w:r>
      <w:r w:rsidR="00F43251" w:rsidRPr="005629D6">
        <w:rPr>
          <w:rFonts w:cstheme="minorHAnsi"/>
        </w:rPr>
        <w:t>Furthermore</w:t>
      </w:r>
      <w:r w:rsidR="001043EA" w:rsidRPr="005629D6">
        <w:rPr>
          <w:rFonts w:cstheme="minorHAnsi"/>
        </w:rPr>
        <w:t xml:space="preserve">, </w:t>
      </w:r>
      <w:proofErr w:type="spellStart"/>
      <w:r w:rsidR="001043EA" w:rsidRPr="005629D6">
        <w:rPr>
          <w:rFonts w:cstheme="minorHAnsi"/>
        </w:rPr>
        <w:t>AlphaFold</w:t>
      </w:r>
      <w:proofErr w:type="spellEnd"/>
      <w:r w:rsidR="001043EA" w:rsidRPr="005629D6">
        <w:rPr>
          <w:rFonts w:cstheme="minorHAnsi"/>
        </w:rPr>
        <w:t xml:space="preserve"> exists as a relatively new </w:t>
      </w:r>
      <w:r w:rsidR="006F357E" w:rsidRPr="005629D6">
        <w:rPr>
          <w:rFonts w:cstheme="minorHAnsi"/>
        </w:rPr>
        <w:t xml:space="preserve">technique. Future iterations of </w:t>
      </w:r>
      <w:proofErr w:type="spellStart"/>
      <w:r w:rsidR="006F357E" w:rsidRPr="005629D6">
        <w:rPr>
          <w:rFonts w:cstheme="minorHAnsi"/>
        </w:rPr>
        <w:t>AlphaFold</w:t>
      </w:r>
      <w:proofErr w:type="spellEnd"/>
      <w:r w:rsidR="006F357E" w:rsidRPr="005629D6">
        <w:rPr>
          <w:rFonts w:cstheme="minorHAnsi"/>
        </w:rPr>
        <w:t xml:space="preserve"> may prove to be more accurate at protein structure prediction. Finally, work is still underway to determine 3D-strutcures of insects ORs and the OR-ORCO complex experimentally. </w:t>
      </w:r>
      <w:r w:rsidR="008F331B" w:rsidRPr="005629D6">
        <w:rPr>
          <w:rFonts w:cstheme="minorHAnsi"/>
        </w:rPr>
        <w:t xml:space="preserve"> Stoichiometry of the receptors may be evaluated using </w:t>
      </w:r>
      <w:r w:rsidR="00616193" w:rsidRPr="005629D6">
        <w:rPr>
          <w:rFonts w:cstheme="minorHAnsi"/>
        </w:rPr>
        <w:t>molecular dynamics simulations of differently arranged tetramers</w:t>
      </w:r>
      <w:r w:rsidR="00B80216" w:rsidRPr="005629D6">
        <w:rPr>
          <w:rFonts w:cstheme="minorHAnsi"/>
        </w:rPr>
        <w:t>, with different ligands and in different lipid membranes.</w:t>
      </w:r>
    </w:p>
    <w:p w14:paraId="7CE42112" w14:textId="60132C03" w:rsidR="00D06D0C" w:rsidRPr="005629D6" w:rsidRDefault="00D06D0C" w:rsidP="00AB74F1">
      <w:r w:rsidRPr="005629D6">
        <w:t xml:space="preserve">Future work should test the viability of screened receptor-ligand combinations, </w:t>
      </w:r>
      <w:r w:rsidR="0037013F" w:rsidRPr="005629D6">
        <w:t xml:space="preserve">taking into consideration binding site specifics. Furthermore, significantly more work is required in determining the 3D-structures and </w:t>
      </w:r>
      <w:r w:rsidR="00911494" w:rsidRPr="005629D6">
        <w:t xml:space="preserve">stoichiometry of </w:t>
      </w:r>
      <w:r w:rsidR="00620921" w:rsidRPr="005629D6">
        <w:t>ORs</w:t>
      </w:r>
      <w:r w:rsidR="00911494" w:rsidRPr="005629D6">
        <w:t xml:space="preserve"> and the OR/ORCO complex</w:t>
      </w:r>
      <w:r w:rsidR="00691953" w:rsidRPr="005629D6">
        <w:t xml:space="preserve"> beyond homomers</w:t>
      </w:r>
      <w:r w:rsidR="00911494" w:rsidRPr="005629D6">
        <w:t>.</w:t>
      </w:r>
      <w:r w:rsidR="00691953" w:rsidRPr="005629D6">
        <w:fldChar w:fldCharType="begin" w:fldLock="1"/>
      </w:r>
      <w:r w:rsidR="000D52F2" w:rsidRPr="005629D6">
        <w:instrText>ADDIN CSL_CITATION {"citationItems":[{"id":"ITEM-1","itemData":{"DOI":"10.1038/s41586-018-0420-8","ISSN":"14764687","PMID":"30111839","abstract":"The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publisher":"Springer US","title":"Cryo-EM structure of the insect olfactory receptor Orco","type":"article-journal","volume":"560"},"uris":["http://www.mendeley.com/documents/?uuid=39008980-944d-4b35-826d-38ce947c6ad8"]},{"id":"ITEM-2","itemData":{"DOI":"10.1038/s41586-021-03794-8","ISSN":"0028-0836","abstract":"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-2","issue":"January","issued":{"date-parts":[["2021"]]},"title":"The structural basis of odorant recognition in insect olfactory receptors","type":"article-journal"},"uris":["http://www.mendeley.com/documents/?uuid=2dec9e12-4bd0-4f9d-97b9-f4ca47b69bef"]}],"mendeley":{"formattedCitation":"&lt;sup&gt;17,18&lt;/sup&gt;","plainTextFormattedCitation":"17,18","previouslyFormattedCitation":"&lt;sup&gt;17,18&lt;/sup&gt;"},"properties":{"noteIndex":0},"schema":"https://github.com/citation-style-language/schema/raw/master/csl-citation.json"}</w:instrText>
      </w:r>
      <w:r w:rsidR="00691953" w:rsidRPr="005629D6">
        <w:fldChar w:fldCharType="separate"/>
      </w:r>
      <w:r w:rsidR="002F2ECE" w:rsidRPr="005629D6">
        <w:rPr>
          <w:noProof/>
          <w:vertAlign w:val="superscript"/>
        </w:rPr>
        <w:t>17,18</w:t>
      </w:r>
      <w:r w:rsidR="00691953" w:rsidRPr="005629D6">
        <w:fldChar w:fldCharType="end"/>
      </w:r>
      <w:r w:rsidR="00911494" w:rsidRPr="005629D6">
        <w:t xml:space="preserve"> The availability of </w:t>
      </w:r>
      <w:r w:rsidR="00691953" w:rsidRPr="005629D6">
        <w:t>two</w:t>
      </w:r>
      <w:r w:rsidR="00911494" w:rsidRPr="005629D6">
        <w:t xml:space="preserve"> structure</w:t>
      </w:r>
      <w:r w:rsidR="00691953" w:rsidRPr="005629D6">
        <w:t>s</w:t>
      </w:r>
      <w:r w:rsidR="00911494" w:rsidRPr="005629D6">
        <w:t xml:space="preserve">, </w:t>
      </w:r>
      <w:proofErr w:type="spellStart"/>
      <w:r w:rsidR="00213FD6" w:rsidRPr="005629D6">
        <w:t>Abak</w:t>
      </w:r>
      <w:r w:rsidR="00911494" w:rsidRPr="005629D6">
        <w:t>ORCO</w:t>
      </w:r>
      <w:proofErr w:type="spellEnd"/>
      <w:r w:rsidR="00691953" w:rsidRPr="005629D6">
        <w:t xml:space="preserve"> and MharOR5</w:t>
      </w:r>
      <w:r w:rsidR="00911494" w:rsidRPr="005629D6">
        <w:t>, ha</w:t>
      </w:r>
      <w:r w:rsidR="00691953" w:rsidRPr="005629D6">
        <w:t>s</w:t>
      </w:r>
      <w:r w:rsidR="00712A01" w:rsidRPr="005629D6">
        <w:t xml:space="preserve"> significantly increased modelling potential for these receptors, and subsequent </w:t>
      </w:r>
      <w:r w:rsidR="00691953" w:rsidRPr="005629D6">
        <w:t>structural data</w:t>
      </w:r>
      <w:r w:rsidR="00712A01" w:rsidRPr="005629D6">
        <w:t xml:space="preserve"> will be critical in understanding this complex and dynamic system in insects.</w:t>
      </w:r>
      <w:r w:rsidR="00691953" w:rsidRPr="005629D6">
        <w:fldChar w:fldCharType="begin" w:fldLock="1"/>
      </w:r>
      <w:r w:rsidR="000D52F2" w:rsidRPr="005629D6">
        <w:instrText>ADDIN CSL_CITATION {"citationItems":[{"id":"ITEM-1","itemData":{"DOI":"10.1038/s41586-018-0420-8","ISSN":"14764687","PMID":"30111839","abstract":"The olfactory system must recognize and discriminate amongst an enormous variety of chemicals in the environment. To contend with such diversity, insects have evolved a family of odorant-gated ion channels comprised of a highly conserved co-receptor (Orco) and a divergent odorant receptor (OR) that confers chemical specificity. Here, we present the single-particle cryo-electron microscopy structure of an Orco homomer from the parasitic fig wasp Apocrypta bakeri at 3.5 Å resolution, providing structural insight into this receptor family. Orco possesses a novel channel architecture, with four subunits symmetrically arranged around a central pore that diverges into four lateral conduits that open to the cytosol. The Orco tetramer has few inter-subunit interactions within the membrane and is bound together by a small cytoplasmic anchor domain. The minimal sequence conservation among ORs maps largely to the pore and anchor domain, shedding light on how the architecture of this receptor family accommodates its remarkable sequence diversity and facilitates the evolution of odour tuning.","author":[{"dropping-particle":"","family":"Butterwick","given":"Joel A.","non-dropping-particle":"","parse-names":false,"suffix":""},{"dropping-particle":"","family":"Mármol","given":"Josefina","non-dropping-particle":"del","parse-names":false,"suffix":""},{"dropping-particle":"","family":"Kim","given":"Kelly H.","non-dropping-particle":"","parse-names":false,"suffix":""},{"dropping-particle":"","family":"Kahlson","given":"Martha A.","non-dropping-particle":"","parse-names":false,"suffix":""},{"dropping-particle":"","family":"Rogow","given":"Jackson A.","non-dropping-particle":"","parse-names":false,"suffix":""},{"dropping-particle":"","family":"Walz","given":"Thomas","non-dropping-particle":"","parse-names":false,"suffix":""},{"dropping-particle":"","family":"Ruta","given":"Vanessa","non-dropping-particle":"","parse-names":false,"suffix":""}],"container-title":"Nature","id":"ITEM-1","issue":"7719","issued":{"date-parts":[["2018"]]},"page":"447-452","publisher":"Springer US","title":"Cryo-EM structure of the insect olfactory receptor Orco","type":"article-journal","volume":"560"},"uris":["http://www.mendeley.com/documents/?uuid=39008980-944d-4b35-826d-38ce947c6ad8"]},{"id":"ITEM-2","itemData":{"DOI":"10.1038/s41586-021-03794-8","ISSN":"0028-0836","abstract":" Olfactory systems must detect and discriminate amongst an enormous variety of odorants 1 . To contend with this challenge, diverse species have converged on a common strategy in which odorant identity is encoded through the combinatorial activation of large families of olfactory receptors 1–3 , thus allowing a finite number of receptors to detect a vast chemical world. Here we offer structural and mechanistic insight into how an individual olfactory receptor can flexibly recognize diverse odorants. We show that the olfactory receptor Mh OR5 from the jumping bristletail 4 Machilis hrabei assembles as a homotetrameric odorant-gated ion channel with broad chemical tuning. Using cryo-electron microscopy, we elucidated the structure of Mh OR5 in multiple gating states, alone and in complex with two of its agonists—the odorant eugenol and the insect repellent DEET. Both ligands are recognized through distributed hydrophobic interactions within the same geometrically simple binding pocket located in the transmembrane region of each subunit, suggesting a structural logic for the promiscuous chemical sensitivity of this receptor. Mutation of individual residues lining the binding pocket predictably altered the sensitivity of Mh OR5 to eugenol and DEET and broadly reconfigured the receptor’s tuning. Together, our data support a model in which diverse odorants share the same structural determinants for binding, shedding light on the molecular recognition mechanisms that ultimately endow the olfactory system with its immense discriminatory capacity. ","author":[{"dropping-particle":"","family":"Mármol","given":"Josefina","non-dropping-particle":"del","parse-names":false,"suffix":""},{"dropping-particle":"","family":"Yedlin","given":"Mackenzie A.","non-dropping-particle":"","parse-names":false,"suffix":""},{"dropping-particle":"","family":"Ruta","given":"Vanessa","non-dropping-particle":"","parse-names":false,"suffix":""}],"container-title":"Nature","id":"ITEM-2","issue":"January","issued":{"date-parts":[["2021"]]},"title":"The structural basis of odorant recognition in insect olfactory receptors","type":"article-journal"},"uris":["http://www.mendeley.com/documents/?uuid=2dec9e12-4bd0-4f9d-97b9-f4ca47b69bef"]}],"mendeley":{"formattedCitation":"&lt;sup&gt;17,18&lt;/sup&gt;","plainTextFormattedCitation":"17,18","previouslyFormattedCitation":"&lt;sup&gt;17,18&lt;/sup&gt;"},"properties":{"noteIndex":0},"schema":"https://github.com/citation-style-language/schema/raw/master/csl-citation.json"}</w:instrText>
      </w:r>
      <w:r w:rsidR="00691953" w:rsidRPr="005629D6">
        <w:fldChar w:fldCharType="separate"/>
      </w:r>
      <w:r w:rsidR="002F2ECE" w:rsidRPr="005629D6">
        <w:rPr>
          <w:noProof/>
          <w:vertAlign w:val="superscript"/>
        </w:rPr>
        <w:t>17,18</w:t>
      </w:r>
      <w:r w:rsidR="00691953" w:rsidRPr="005629D6">
        <w:fldChar w:fldCharType="end"/>
      </w:r>
    </w:p>
    <w:p w14:paraId="363C020D" w14:textId="3AE02045" w:rsidR="00A03DB0" w:rsidRPr="005629D6" w:rsidRDefault="00A03DB0" w:rsidP="00A03DB0">
      <w:pPr>
        <w:pStyle w:val="Heading1"/>
      </w:pPr>
      <w:r w:rsidRPr="005629D6">
        <w:t>Acknowledgements</w:t>
      </w:r>
    </w:p>
    <w:p w14:paraId="7F6A90A5" w14:textId="0202FBEE" w:rsidR="00A03DB0" w:rsidRPr="005629D6" w:rsidRDefault="00A03DB0" w:rsidP="006A67F7">
      <w:pPr>
        <w:rPr>
          <w:szCs w:val="20"/>
        </w:rPr>
      </w:pPr>
      <w:r w:rsidRPr="005629D6">
        <w:t xml:space="preserve">CS </w:t>
      </w:r>
      <w:r w:rsidR="001062CD" w:rsidRPr="005629D6">
        <w:rPr>
          <w:rFonts w:cstheme="minorHAnsi"/>
        </w:rPr>
        <w:t>was supported by a Biotechnology and Biological Sciences</w:t>
      </w:r>
      <w:r w:rsidR="00FF0487" w:rsidRPr="005629D6">
        <w:rPr>
          <w:rFonts w:cstheme="minorHAnsi"/>
        </w:rPr>
        <w:t xml:space="preserve"> Research Council</w:t>
      </w:r>
      <w:r w:rsidR="001062CD" w:rsidRPr="005629D6">
        <w:rPr>
          <w:rFonts w:cstheme="minorHAnsi"/>
        </w:rPr>
        <w:t xml:space="preserve"> (BBSRC) Doctoral Training Partnership </w:t>
      </w:r>
      <w:r w:rsidR="00FF0487" w:rsidRPr="005629D6">
        <w:rPr>
          <w:rFonts w:cstheme="minorHAnsi"/>
        </w:rPr>
        <w:t xml:space="preserve">studentship (reference </w:t>
      </w:r>
      <w:r w:rsidR="00FF0487" w:rsidRPr="005629D6">
        <w:rPr>
          <w:rFonts w:cstheme="minorHAnsi"/>
          <w:shd w:val="clear" w:color="auto" w:fill="FFFFFF"/>
        </w:rPr>
        <w:t xml:space="preserve">1804053) </w:t>
      </w:r>
      <w:r w:rsidR="00FF0487" w:rsidRPr="005629D6">
        <w:rPr>
          <w:rFonts w:cstheme="minorHAnsi"/>
        </w:rPr>
        <w:t>awarded to Rothamsted Research and the University of Nottingham</w:t>
      </w:r>
      <w:r w:rsidR="001062CD" w:rsidRPr="005629D6">
        <w:rPr>
          <w:rFonts w:cstheme="minorHAnsi"/>
          <w:shd w:val="clear" w:color="auto" w:fill="FFFFFF"/>
        </w:rPr>
        <w:t>.</w:t>
      </w:r>
      <w:r w:rsidR="00620921" w:rsidRPr="005629D6">
        <w:rPr>
          <w:rFonts w:cstheme="minorHAnsi"/>
          <w:shd w:val="clear" w:color="auto" w:fill="FFFFFF"/>
        </w:rPr>
        <w:t xml:space="preserve"> The work at Rothamsted</w:t>
      </w:r>
      <w:r w:rsidR="006B1FFC" w:rsidRPr="005629D6">
        <w:rPr>
          <w:rFonts w:cstheme="minorHAnsi"/>
          <w:shd w:val="clear" w:color="auto" w:fill="FFFFFF"/>
        </w:rPr>
        <w:t xml:space="preserve"> Research</w:t>
      </w:r>
      <w:r w:rsidR="00620921" w:rsidRPr="005629D6">
        <w:rPr>
          <w:rFonts w:cstheme="minorHAnsi"/>
          <w:shd w:val="clear" w:color="auto" w:fill="FFFFFF"/>
        </w:rPr>
        <w:t xml:space="preserve"> formed part of </w:t>
      </w:r>
      <w:r w:rsidR="00620921" w:rsidRPr="005629D6">
        <w:rPr>
          <w:szCs w:val="20"/>
        </w:rPr>
        <w:t>the Smart Crop Protection (SCP) strategic programme (BBS/OS/CP/000001) funded through Biotechnology and Biological Sciences Research Council's Industrial Strategy Challenge Fund.</w:t>
      </w:r>
      <w:r w:rsidR="00620921" w:rsidRPr="005629D6" w:rsidDel="00976247">
        <w:t xml:space="preserve"> </w:t>
      </w:r>
    </w:p>
    <w:p w14:paraId="0FD07C47" w14:textId="0CD8D95F" w:rsidR="00D031E8" w:rsidRPr="005629D6" w:rsidRDefault="00D031E8" w:rsidP="009C013F">
      <w:pPr>
        <w:pStyle w:val="Heading1"/>
      </w:pPr>
      <w:r w:rsidRPr="005629D6">
        <w:t>References</w:t>
      </w:r>
    </w:p>
    <w:p w14:paraId="1BD1FE68" w14:textId="0EE67F84" w:rsidR="00153DF9" w:rsidRPr="005629D6" w:rsidRDefault="00D031E8" w:rsidP="00153DF9">
      <w:pPr>
        <w:widowControl w:val="0"/>
        <w:autoSpaceDE w:val="0"/>
        <w:autoSpaceDN w:val="0"/>
        <w:adjustRightInd w:val="0"/>
        <w:spacing w:line="240" w:lineRule="auto"/>
        <w:ind w:left="640" w:hanging="640"/>
        <w:rPr>
          <w:rFonts w:ascii="Calibri" w:hAnsi="Calibri" w:cs="Calibri"/>
          <w:noProof/>
          <w:sz w:val="22"/>
        </w:rPr>
      </w:pPr>
      <w:r w:rsidRPr="005629D6">
        <w:fldChar w:fldCharType="begin" w:fldLock="1"/>
      </w:r>
      <w:r w:rsidRPr="005629D6">
        <w:instrText xml:space="preserve">ADDIN Mendeley Bibliography CSL_BIBLIOGRAPHY </w:instrText>
      </w:r>
      <w:r w:rsidRPr="005629D6">
        <w:fldChar w:fldCharType="separate"/>
      </w:r>
      <w:r w:rsidR="00153DF9" w:rsidRPr="005629D6">
        <w:rPr>
          <w:rFonts w:ascii="Calibri" w:hAnsi="Calibri" w:cs="Calibri"/>
          <w:noProof/>
          <w:sz w:val="22"/>
        </w:rPr>
        <w:t xml:space="preserve">(1) </w:t>
      </w:r>
      <w:r w:rsidR="00153DF9" w:rsidRPr="005629D6">
        <w:rPr>
          <w:rFonts w:ascii="Calibri" w:hAnsi="Calibri" w:cs="Calibri"/>
          <w:noProof/>
          <w:sz w:val="22"/>
        </w:rPr>
        <w:tab/>
        <w:t xml:space="preserve">Van Emden, H. F.; Harrington, R. </w:t>
      </w:r>
      <w:r w:rsidR="00153DF9" w:rsidRPr="005629D6">
        <w:rPr>
          <w:rFonts w:ascii="Calibri" w:hAnsi="Calibri" w:cs="Calibri"/>
          <w:i/>
          <w:iCs/>
          <w:noProof/>
          <w:sz w:val="22"/>
        </w:rPr>
        <w:t>Aphids as Crop Pests</w:t>
      </w:r>
      <w:r w:rsidR="00153DF9" w:rsidRPr="005629D6">
        <w:rPr>
          <w:rFonts w:ascii="Calibri" w:hAnsi="Calibri" w:cs="Calibri"/>
          <w:noProof/>
          <w:sz w:val="22"/>
        </w:rPr>
        <w:t>; 2007. https://doi.org/doi:10.1079/9780851998190.0115.</w:t>
      </w:r>
    </w:p>
    <w:p w14:paraId="6219ACED"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 </w:t>
      </w:r>
      <w:r w:rsidRPr="005629D6">
        <w:rPr>
          <w:rFonts w:ascii="Calibri" w:hAnsi="Calibri" w:cs="Calibri"/>
          <w:noProof/>
          <w:sz w:val="22"/>
        </w:rPr>
        <w:tab/>
        <w:t xml:space="preserve">Douglas, A. E. Phloem-Sap Feeding by Animals: Problems and Solutions. </w:t>
      </w:r>
      <w:r w:rsidRPr="005629D6">
        <w:rPr>
          <w:rFonts w:ascii="Calibri" w:hAnsi="Calibri" w:cs="Calibri"/>
          <w:i/>
          <w:iCs/>
          <w:noProof/>
          <w:sz w:val="22"/>
        </w:rPr>
        <w:t>J. Exp. Bot.</w:t>
      </w:r>
      <w:r w:rsidRPr="005629D6">
        <w:rPr>
          <w:rFonts w:ascii="Calibri" w:hAnsi="Calibri" w:cs="Calibri"/>
          <w:noProof/>
          <w:sz w:val="22"/>
        </w:rPr>
        <w:t xml:space="preserve"> </w:t>
      </w:r>
      <w:r w:rsidRPr="005629D6">
        <w:rPr>
          <w:rFonts w:ascii="Calibri" w:hAnsi="Calibri" w:cs="Calibri"/>
          <w:b/>
          <w:bCs/>
          <w:noProof/>
          <w:sz w:val="22"/>
        </w:rPr>
        <w:t>2006</w:t>
      </w:r>
      <w:r w:rsidRPr="005629D6">
        <w:rPr>
          <w:rFonts w:ascii="Calibri" w:hAnsi="Calibri" w:cs="Calibri"/>
          <w:noProof/>
          <w:sz w:val="22"/>
        </w:rPr>
        <w:t xml:space="preserve">, </w:t>
      </w:r>
      <w:r w:rsidRPr="005629D6">
        <w:rPr>
          <w:rFonts w:ascii="Calibri" w:hAnsi="Calibri" w:cs="Calibri"/>
          <w:i/>
          <w:iCs/>
          <w:noProof/>
          <w:sz w:val="22"/>
        </w:rPr>
        <w:t>57</w:t>
      </w:r>
      <w:r w:rsidRPr="005629D6">
        <w:rPr>
          <w:rFonts w:ascii="Calibri" w:hAnsi="Calibri" w:cs="Calibri"/>
          <w:noProof/>
          <w:sz w:val="22"/>
        </w:rPr>
        <w:t xml:space="preserve"> </w:t>
      </w:r>
      <w:r w:rsidRPr="005629D6">
        <w:rPr>
          <w:rFonts w:ascii="Calibri" w:hAnsi="Calibri" w:cs="Calibri"/>
          <w:noProof/>
          <w:sz w:val="22"/>
        </w:rPr>
        <w:lastRenderedPageBreak/>
        <w:t>(4), 747–754. https://doi.org/10.1093/jxb/erj067.</w:t>
      </w:r>
    </w:p>
    <w:p w14:paraId="0E0BF570"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 </w:t>
      </w:r>
      <w:r w:rsidRPr="005629D6">
        <w:rPr>
          <w:rFonts w:ascii="Calibri" w:hAnsi="Calibri" w:cs="Calibri"/>
          <w:noProof/>
          <w:sz w:val="22"/>
        </w:rPr>
        <w:tab/>
        <w:t xml:space="preserve">Harris, K. F.; Maramorosch, K. </w:t>
      </w:r>
      <w:r w:rsidRPr="005629D6">
        <w:rPr>
          <w:rFonts w:ascii="Calibri" w:hAnsi="Calibri" w:cs="Calibri"/>
          <w:i/>
          <w:iCs/>
          <w:noProof/>
          <w:sz w:val="22"/>
        </w:rPr>
        <w:t>Aphids as Virus Vectors</w:t>
      </w:r>
      <w:r w:rsidRPr="005629D6">
        <w:rPr>
          <w:rFonts w:ascii="Calibri" w:hAnsi="Calibri" w:cs="Calibri"/>
          <w:noProof/>
          <w:sz w:val="22"/>
        </w:rPr>
        <w:t>, 1st ed.; Academic, New York, 1977.</w:t>
      </w:r>
    </w:p>
    <w:p w14:paraId="7BD38E65"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 </w:t>
      </w:r>
      <w:r w:rsidRPr="005629D6">
        <w:rPr>
          <w:rFonts w:ascii="Calibri" w:hAnsi="Calibri" w:cs="Calibri"/>
          <w:noProof/>
          <w:sz w:val="22"/>
        </w:rPr>
        <w:tab/>
        <w:t xml:space="preserve">Pickett, J. A.; Griffiths, D. C. Composition of Aphid Alarm Pheromones. </w:t>
      </w:r>
      <w:r w:rsidRPr="005629D6">
        <w:rPr>
          <w:rFonts w:ascii="Calibri" w:hAnsi="Calibri" w:cs="Calibri"/>
          <w:i/>
          <w:iCs/>
          <w:noProof/>
          <w:sz w:val="22"/>
        </w:rPr>
        <w:t>J. Chem. Ecol.</w:t>
      </w:r>
      <w:r w:rsidRPr="005629D6">
        <w:rPr>
          <w:rFonts w:ascii="Calibri" w:hAnsi="Calibri" w:cs="Calibri"/>
          <w:noProof/>
          <w:sz w:val="22"/>
        </w:rPr>
        <w:t xml:space="preserve"> </w:t>
      </w:r>
      <w:r w:rsidRPr="005629D6">
        <w:rPr>
          <w:rFonts w:ascii="Calibri" w:hAnsi="Calibri" w:cs="Calibri"/>
          <w:b/>
          <w:bCs/>
          <w:noProof/>
          <w:sz w:val="22"/>
        </w:rPr>
        <w:t>1980</w:t>
      </w:r>
      <w:r w:rsidRPr="005629D6">
        <w:rPr>
          <w:rFonts w:ascii="Calibri" w:hAnsi="Calibri" w:cs="Calibri"/>
          <w:noProof/>
          <w:sz w:val="22"/>
        </w:rPr>
        <w:t xml:space="preserve">, </w:t>
      </w:r>
      <w:r w:rsidRPr="005629D6">
        <w:rPr>
          <w:rFonts w:ascii="Calibri" w:hAnsi="Calibri" w:cs="Calibri"/>
          <w:i/>
          <w:iCs/>
          <w:noProof/>
          <w:sz w:val="22"/>
        </w:rPr>
        <w:t>6</w:t>
      </w:r>
      <w:r w:rsidRPr="005629D6">
        <w:rPr>
          <w:rFonts w:ascii="Calibri" w:hAnsi="Calibri" w:cs="Calibri"/>
          <w:noProof/>
          <w:sz w:val="22"/>
        </w:rPr>
        <w:t xml:space="preserve"> (2), 349–360. https://doi.org/10.1007/BF01402913.</w:t>
      </w:r>
    </w:p>
    <w:p w14:paraId="7E0AA82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 </w:t>
      </w:r>
      <w:r w:rsidRPr="005629D6">
        <w:rPr>
          <w:rFonts w:ascii="Calibri" w:hAnsi="Calibri" w:cs="Calibri"/>
          <w:noProof/>
          <w:sz w:val="22"/>
        </w:rPr>
        <w:tab/>
        <w:t xml:space="preserve">Dawson, G.; Griffiths, D.; Janes, N. Identification of an Aphid Sex Pheromone. </w:t>
      </w:r>
      <w:r w:rsidRPr="005629D6">
        <w:rPr>
          <w:rFonts w:ascii="Calibri" w:hAnsi="Calibri" w:cs="Calibri"/>
          <w:i/>
          <w:iCs/>
          <w:noProof/>
          <w:sz w:val="22"/>
        </w:rPr>
        <w:t>Nature</w:t>
      </w:r>
      <w:r w:rsidRPr="005629D6">
        <w:rPr>
          <w:rFonts w:ascii="Calibri" w:hAnsi="Calibri" w:cs="Calibri"/>
          <w:noProof/>
          <w:sz w:val="22"/>
        </w:rPr>
        <w:t>. 1987, pp 614–616. https://doi.org/10.1038/325614a0.</w:t>
      </w:r>
    </w:p>
    <w:p w14:paraId="79E2F7B3"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 </w:t>
      </w:r>
      <w:r w:rsidRPr="005629D6">
        <w:rPr>
          <w:rFonts w:ascii="Calibri" w:hAnsi="Calibri" w:cs="Calibri"/>
          <w:noProof/>
          <w:sz w:val="22"/>
        </w:rPr>
        <w:tab/>
        <w:t xml:space="preserve">Pickett, J. A.; Allemann, R. K.; Birkett, M. A. The Semiochemistry of Aphids. </w:t>
      </w:r>
      <w:r w:rsidRPr="005629D6">
        <w:rPr>
          <w:rFonts w:ascii="Calibri" w:hAnsi="Calibri" w:cs="Calibri"/>
          <w:i/>
          <w:iCs/>
          <w:noProof/>
          <w:sz w:val="22"/>
        </w:rPr>
        <w:t>Nat. Prod. Rep.</w:t>
      </w:r>
      <w:r w:rsidRPr="005629D6">
        <w:rPr>
          <w:rFonts w:ascii="Calibri" w:hAnsi="Calibri" w:cs="Calibri"/>
          <w:noProof/>
          <w:sz w:val="22"/>
        </w:rPr>
        <w:t xml:space="preserve"> </w:t>
      </w:r>
      <w:r w:rsidRPr="005629D6">
        <w:rPr>
          <w:rFonts w:ascii="Calibri" w:hAnsi="Calibri" w:cs="Calibri"/>
          <w:b/>
          <w:bCs/>
          <w:noProof/>
          <w:sz w:val="22"/>
        </w:rPr>
        <w:t>2013</w:t>
      </w:r>
      <w:r w:rsidRPr="005629D6">
        <w:rPr>
          <w:rFonts w:ascii="Calibri" w:hAnsi="Calibri" w:cs="Calibri"/>
          <w:noProof/>
          <w:sz w:val="22"/>
        </w:rPr>
        <w:t xml:space="preserve">, </w:t>
      </w:r>
      <w:r w:rsidRPr="005629D6">
        <w:rPr>
          <w:rFonts w:ascii="Calibri" w:hAnsi="Calibri" w:cs="Calibri"/>
          <w:i/>
          <w:iCs/>
          <w:noProof/>
          <w:sz w:val="22"/>
        </w:rPr>
        <w:t>30</w:t>
      </w:r>
      <w:r w:rsidRPr="005629D6">
        <w:rPr>
          <w:rFonts w:ascii="Calibri" w:hAnsi="Calibri" w:cs="Calibri"/>
          <w:noProof/>
          <w:sz w:val="22"/>
        </w:rPr>
        <w:t xml:space="preserve"> (10), 1277. https://doi.org/10.1039/c3np70036d.</w:t>
      </w:r>
    </w:p>
    <w:p w14:paraId="13458C22"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 </w:t>
      </w:r>
      <w:r w:rsidRPr="005629D6">
        <w:rPr>
          <w:rFonts w:ascii="Calibri" w:hAnsi="Calibri" w:cs="Calibri"/>
          <w:noProof/>
          <w:sz w:val="22"/>
        </w:rPr>
        <w:tab/>
        <w:t xml:space="preserve">Bruno, D.; Grossi, G.; Salvia, R.; Scala, A.; Farina, D.; Grimaldi, A.; Zhou, J. J.; Bufo, S. A.; Vogel, H.; Grosse-Wilde, E.; Hansson, B. S.; Falabella, P. Sensilla Morphology and Complex Expression Pattern of Odorant Binding Proteins in the Vetch Aphid Megoura Viciae (Hemiptera: Aphididae). </w:t>
      </w:r>
      <w:r w:rsidRPr="005629D6">
        <w:rPr>
          <w:rFonts w:ascii="Calibri" w:hAnsi="Calibri" w:cs="Calibri"/>
          <w:i/>
          <w:iCs/>
          <w:noProof/>
          <w:sz w:val="22"/>
        </w:rPr>
        <w:t>Front. Physiol.</w:t>
      </w:r>
      <w:r w:rsidRPr="005629D6">
        <w:rPr>
          <w:rFonts w:ascii="Calibri" w:hAnsi="Calibri" w:cs="Calibri"/>
          <w:noProof/>
          <w:sz w:val="22"/>
        </w:rPr>
        <w:t xml:space="preserve"> </w:t>
      </w:r>
      <w:r w:rsidRPr="005629D6">
        <w:rPr>
          <w:rFonts w:ascii="Calibri" w:hAnsi="Calibri" w:cs="Calibri"/>
          <w:b/>
          <w:bCs/>
          <w:noProof/>
          <w:sz w:val="22"/>
        </w:rPr>
        <w:t>2018</w:t>
      </w:r>
      <w:r w:rsidRPr="005629D6">
        <w:rPr>
          <w:rFonts w:ascii="Calibri" w:hAnsi="Calibri" w:cs="Calibri"/>
          <w:noProof/>
          <w:sz w:val="22"/>
        </w:rPr>
        <w:t xml:space="preserve">, </w:t>
      </w:r>
      <w:r w:rsidRPr="005629D6">
        <w:rPr>
          <w:rFonts w:ascii="Calibri" w:hAnsi="Calibri" w:cs="Calibri"/>
          <w:i/>
          <w:iCs/>
          <w:noProof/>
          <w:sz w:val="22"/>
        </w:rPr>
        <w:t>9</w:t>
      </w:r>
      <w:r w:rsidRPr="005629D6">
        <w:rPr>
          <w:rFonts w:ascii="Calibri" w:hAnsi="Calibri" w:cs="Calibri"/>
          <w:noProof/>
          <w:sz w:val="22"/>
        </w:rPr>
        <w:t xml:space="preserve"> (JUN), 1–19. https://doi.org/10.3389/fphys.2018.00777.</w:t>
      </w:r>
    </w:p>
    <w:p w14:paraId="6E1DC2CD"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(8) </w:t>
      </w:r>
      <w:r w:rsidRPr="005629D6">
        <w:rPr>
          <w:rFonts w:ascii="Calibri" w:hAnsi="Calibri" w:cs="Calibri"/>
          <w:noProof/>
          <w:sz w:val="22"/>
        </w:rPr>
        <w:tab/>
        <w:t xml:space="preserve">De Biasio, F.; Riviello, L.; Bruno, D.; Grimaldi, A.; Congiu, T.; Sun, Y. F.; Falabella, P. Expression Pattern Analysis of Odorant-Binding Proteins in the Pea Aphid </w:t>
      </w:r>
      <w:r w:rsidRPr="005629D6">
        <w:rPr>
          <w:rFonts w:ascii="Calibri" w:hAnsi="Calibri" w:cs="Calibri"/>
          <w:i/>
          <w:iCs/>
          <w:noProof/>
          <w:sz w:val="22"/>
        </w:rPr>
        <w:t>Acyrthosiphon Pisum.</w:t>
      </w:r>
      <w:r w:rsidRPr="005629D6">
        <w:rPr>
          <w:rFonts w:ascii="Calibri" w:hAnsi="Calibri" w:cs="Calibri"/>
          <w:noProof/>
          <w:sz w:val="22"/>
        </w:rPr>
        <w:t xml:space="preserve"> </w:t>
      </w:r>
      <w:r w:rsidRPr="005629D6">
        <w:rPr>
          <w:rFonts w:ascii="Calibri" w:hAnsi="Calibri" w:cs="Calibri"/>
          <w:i/>
          <w:iCs/>
          <w:noProof/>
          <w:sz w:val="22"/>
        </w:rPr>
        <w:t>Insect Sci.</w:t>
      </w:r>
      <w:r w:rsidRPr="005629D6">
        <w:rPr>
          <w:rFonts w:ascii="Calibri" w:hAnsi="Calibri" w:cs="Calibri"/>
          <w:noProof/>
          <w:sz w:val="22"/>
        </w:rPr>
        <w:t xml:space="preserve"> </w:t>
      </w:r>
      <w:r w:rsidRPr="005629D6">
        <w:rPr>
          <w:rFonts w:ascii="Calibri" w:hAnsi="Calibri" w:cs="Calibri"/>
          <w:b/>
          <w:bCs/>
          <w:noProof/>
          <w:sz w:val="22"/>
        </w:rPr>
        <w:t>2014</w:t>
      </w:r>
      <w:r w:rsidRPr="005629D6">
        <w:rPr>
          <w:rFonts w:ascii="Calibri" w:hAnsi="Calibri" w:cs="Calibri"/>
          <w:noProof/>
          <w:sz w:val="22"/>
        </w:rPr>
        <w:t xml:space="preserve">, </w:t>
      </w:r>
      <w:r w:rsidRPr="005629D6">
        <w:rPr>
          <w:rFonts w:ascii="Calibri" w:hAnsi="Calibri" w:cs="Calibri"/>
          <w:i/>
          <w:iCs/>
          <w:noProof/>
          <w:sz w:val="22"/>
        </w:rPr>
        <w:t>00</w:t>
      </w:r>
      <w:r w:rsidRPr="005629D6">
        <w:rPr>
          <w:rFonts w:ascii="Calibri" w:hAnsi="Calibri" w:cs="Calibri"/>
          <w:noProof/>
          <w:sz w:val="22"/>
        </w:rPr>
        <w:t>, 1–15. https://doi.org/10.1111/1744-7917.12118.</w:t>
      </w:r>
    </w:p>
    <w:p w14:paraId="06C71322"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(9) </w:t>
      </w:r>
      <w:r w:rsidRPr="005629D6">
        <w:rPr>
          <w:rFonts w:ascii="Calibri" w:hAnsi="Calibri" w:cs="Calibri"/>
          <w:noProof/>
          <w:sz w:val="22"/>
        </w:rPr>
        <w:tab/>
        <w:t xml:space="preserve">Pelosi, P.; Zhou, J. J.; Ban, L. P.; Calvello, M. Soluble Proteins in Insect Chemical Communication. </w:t>
      </w:r>
      <w:r w:rsidRPr="005629D6">
        <w:rPr>
          <w:rFonts w:ascii="Calibri" w:hAnsi="Calibri" w:cs="Calibri"/>
          <w:i/>
          <w:iCs/>
          <w:noProof/>
          <w:sz w:val="22"/>
        </w:rPr>
        <w:t>Cell. Mol. Life Sci.</w:t>
      </w:r>
      <w:r w:rsidRPr="005629D6">
        <w:rPr>
          <w:rFonts w:ascii="Calibri" w:hAnsi="Calibri" w:cs="Calibri"/>
          <w:noProof/>
          <w:sz w:val="22"/>
        </w:rPr>
        <w:t xml:space="preserve"> </w:t>
      </w:r>
      <w:r w:rsidRPr="005629D6">
        <w:rPr>
          <w:rFonts w:ascii="Calibri" w:hAnsi="Calibri" w:cs="Calibri"/>
          <w:b/>
          <w:bCs/>
          <w:noProof/>
          <w:sz w:val="22"/>
        </w:rPr>
        <w:t>2006</w:t>
      </w:r>
      <w:r w:rsidRPr="005629D6">
        <w:rPr>
          <w:rFonts w:ascii="Calibri" w:hAnsi="Calibri" w:cs="Calibri"/>
          <w:noProof/>
          <w:sz w:val="22"/>
        </w:rPr>
        <w:t xml:space="preserve">, </w:t>
      </w:r>
      <w:r w:rsidRPr="005629D6">
        <w:rPr>
          <w:rFonts w:ascii="Calibri" w:hAnsi="Calibri" w:cs="Calibri"/>
          <w:i/>
          <w:iCs/>
          <w:noProof/>
          <w:sz w:val="22"/>
        </w:rPr>
        <w:t>63</w:t>
      </w:r>
      <w:r w:rsidRPr="005629D6">
        <w:rPr>
          <w:rFonts w:ascii="Calibri" w:hAnsi="Calibri" w:cs="Calibri"/>
          <w:noProof/>
          <w:sz w:val="22"/>
        </w:rPr>
        <w:t xml:space="preserve"> (14), 1658–1676. https://doi.org/10.1007/s00018-005-5607-0.</w:t>
      </w:r>
    </w:p>
    <w:p w14:paraId="1E35BF1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(10) </w:t>
      </w:r>
      <w:r w:rsidRPr="005629D6">
        <w:rPr>
          <w:rFonts w:ascii="Calibri" w:hAnsi="Calibri" w:cs="Calibri"/>
          <w:noProof/>
          <w:sz w:val="22"/>
        </w:rPr>
        <w:tab/>
        <w:t xml:space="preserve">Benton, R. On the ORigin of Smell: Odorant Receptors in Insects. </w:t>
      </w:r>
      <w:r w:rsidRPr="005629D6">
        <w:rPr>
          <w:rFonts w:ascii="Calibri" w:hAnsi="Calibri" w:cs="Calibri"/>
          <w:i/>
          <w:iCs/>
          <w:noProof/>
          <w:sz w:val="22"/>
        </w:rPr>
        <w:t>Cell. Mol. Life Sci.</w:t>
      </w:r>
      <w:r w:rsidRPr="005629D6">
        <w:rPr>
          <w:rFonts w:ascii="Calibri" w:hAnsi="Calibri" w:cs="Calibri"/>
          <w:noProof/>
          <w:sz w:val="22"/>
        </w:rPr>
        <w:t xml:space="preserve"> </w:t>
      </w:r>
      <w:r w:rsidRPr="005629D6">
        <w:rPr>
          <w:rFonts w:ascii="Calibri" w:hAnsi="Calibri" w:cs="Calibri"/>
          <w:b/>
          <w:bCs/>
          <w:noProof/>
          <w:sz w:val="22"/>
        </w:rPr>
        <w:t>2006</w:t>
      </w:r>
      <w:r w:rsidRPr="005629D6">
        <w:rPr>
          <w:rFonts w:ascii="Calibri" w:hAnsi="Calibri" w:cs="Calibri"/>
          <w:noProof/>
          <w:sz w:val="22"/>
        </w:rPr>
        <w:t xml:space="preserve">, </w:t>
      </w:r>
      <w:r w:rsidRPr="005629D6">
        <w:rPr>
          <w:rFonts w:ascii="Calibri" w:hAnsi="Calibri" w:cs="Calibri"/>
          <w:i/>
          <w:iCs/>
          <w:noProof/>
          <w:sz w:val="22"/>
        </w:rPr>
        <w:t>63</w:t>
      </w:r>
      <w:r w:rsidRPr="005629D6">
        <w:rPr>
          <w:rFonts w:ascii="Calibri" w:hAnsi="Calibri" w:cs="Calibri"/>
          <w:noProof/>
          <w:sz w:val="22"/>
        </w:rPr>
        <w:t xml:space="preserve"> (14), 1579–1585. https://doi.org/10.1007/s00018-006-6130-7.</w:t>
      </w:r>
    </w:p>
    <w:p w14:paraId="0EF1AB7B"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(11) </w:t>
      </w:r>
      <w:r w:rsidRPr="005629D6">
        <w:rPr>
          <w:rFonts w:ascii="Calibri" w:hAnsi="Calibri" w:cs="Calibri"/>
          <w:noProof/>
          <w:sz w:val="22"/>
        </w:rPr>
        <w:tab/>
        <w:t xml:space="preserve">Larter, N. K.; Sun, J. S.; Carlson, J. R. Organization and Function of </w:t>
      </w:r>
      <w:r w:rsidRPr="005629D6">
        <w:rPr>
          <w:rFonts w:ascii="Calibri" w:hAnsi="Calibri" w:cs="Calibri"/>
          <w:i/>
          <w:iCs/>
          <w:noProof/>
          <w:sz w:val="22"/>
        </w:rPr>
        <w:t>Drosophila</w:t>
      </w:r>
      <w:r w:rsidRPr="005629D6">
        <w:rPr>
          <w:rFonts w:ascii="Calibri" w:hAnsi="Calibri" w:cs="Calibri"/>
          <w:noProof/>
          <w:sz w:val="22"/>
        </w:rPr>
        <w:t xml:space="preserve"> Odorant Binding Proteins. </w:t>
      </w:r>
      <w:r w:rsidRPr="005629D6">
        <w:rPr>
          <w:rFonts w:ascii="Calibri" w:hAnsi="Calibri" w:cs="Calibri"/>
          <w:i/>
          <w:iCs/>
          <w:noProof/>
          <w:sz w:val="22"/>
        </w:rPr>
        <w:t>Elife</w:t>
      </w:r>
      <w:r w:rsidRPr="005629D6">
        <w:rPr>
          <w:rFonts w:ascii="Calibri" w:hAnsi="Calibri" w:cs="Calibri"/>
          <w:noProof/>
          <w:sz w:val="22"/>
        </w:rPr>
        <w:t xml:space="preserve"> </w:t>
      </w:r>
      <w:r w:rsidRPr="005629D6">
        <w:rPr>
          <w:rFonts w:ascii="Calibri" w:hAnsi="Calibri" w:cs="Calibri"/>
          <w:b/>
          <w:bCs/>
          <w:noProof/>
          <w:sz w:val="22"/>
        </w:rPr>
        <w:t>2016</w:t>
      </w:r>
      <w:r w:rsidRPr="005629D6">
        <w:rPr>
          <w:rFonts w:ascii="Calibri" w:hAnsi="Calibri" w:cs="Calibri"/>
          <w:noProof/>
          <w:sz w:val="22"/>
        </w:rPr>
        <w:t xml:space="preserve">, </w:t>
      </w:r>
      <w:r w:rsidRPr="005629D6">
        <w:rPr>
          <w:rFonts w:ascii="Calibri" w:hAnsi="Calibri" w:cs="Calibri"/>
          <w:i/>
          <w:iCs/>
          <w:noProof/>
          <w:sz w:val="22"/>
        </w:rPr>
        <w:t>5</w:t>
      </w:r>
      <w:r w:rsidRPr="005629D6">
        <w:rPr>
          <w:rFonts w:ascii="Calibri" w:hAnsi="Calibri" w:cs="Calibri"/>
          <w:noProof/>
          <w:sz w:val="22"/>
        </w:rPr>
        <w:t>, e20242. https://doi.org/10.7554/eLife.20242.</w:t>
      </w:r>
    </w:p>
    <w:p w14:paraId="684C4F65"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(12) </w:t>
      </w:r>
      <w:r w:rsidRPr="005629D6">
        <w:rPr>
          <w:rFonts w:ascii="Calibri" w:hAnsi="Calibri" w:cs="Calibri"/>
          <w:noProof/>
          <w:sz w:val="22"/>
        </w:rPr>
        <w:tab/>
        <w:t xml:space="preserve">Hou, X.; Zhang, D. D.; Yuvaraj, J. K.; Corcoran, J. A.; Andersson, M. N.; Löfstedt, C. Functional Characterization of Odorant Receptors from the Moth Eriocrania Semipurpurella: A Comparison of Results in the Xenopus Oocyte and HEK Cell Systems. </w:t>
      </w:r>
      <w:r w:rsidRPr="005629D6">
        <w:rPr>
          <w:rFonts w:ascii="Calibri" w:hAnsi="Calibri" w:cs="Calibri"/>
          <w:i/>
          <w:iCs/>
          <w:noProof/>
          <w:sz w:val="22"/>
        </w:rPr>
        <w:t>Insect Biochem. Mol. Biol.</w:t>
      </w:r>
      <w:r w:rsidRPr="005629D6">
        <w:rPr>
          <w:rFonts w:ascii="Calibri" w:hAnsi="Calibri" w:cs="Calibri"/>
          <w:noProof/>
          <w:sz w:val="22"/>
        </w:rPr>
        <w:t xml:space="preserve"> </w:t>
      </w:r>
      <w:r w:rsidRPr="005629D6">
        <w:rPr>
          <w:rFonts w:ascii="Calibri" w:hAnsi="Calibri" w:cs="Calibri"/>
          <w:b/>
          <w:bCs/>
          <w:noProof/>
          <w:sz w:val="22"/>
        </w:rPr>
        <w:t>2020</w:t>
      </w:r>
      <w:r w:rsidRPr="005629D6">
        <w:rPr>
          <w:rFonts w:ascii="Calibri" w:hAnsi="Calibri" w:cs="Calibri"/>
          <w:noProof/>
          <w:sz w:val="22"/>
        </w:rPr>
        <w:t xml:space="preserve">, </w:t>
      </w:r>
      <w:r w:rsidRPr="005629D6">
        <w:rPr>
          <w:rFonts w:ascii="Calibri" w:hAnsi="Calibri" w:cs="Calibri"/>
          <w:i/>
          <w:iCs/>
          <w:noProof/>
          <w:sz w:val="22"/>
        </w:rPr>
        <w:t>117</w:t>
      </w:r>
      <w:r w:rsidRPr="005629D6">
        <w:rPr>
          <w:rFonts w:ascii="Calibri" w:hAnsi="Calibri" w:cs="Calibri"/>
          <w:noProof/>
          <w:sz w:val="22"/>
        </w:rPr>
        <w:t xml:space="preserve"> (November 2019), 103289. https://doi.org/10.1016/j.ibmb.2019.103289.</w:t>
      </w:r>
    </w:p>
    <w:p w14:paraId="528EBAF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(13) </w:t>
      </w:r>
      <w:r w:rsidRPr="005629D6">
        <w:rPr>
          <w:rFonts w:ascii="Calibri" w:hAnsi="Calibri" w:cs="Calibri"/>
          <w:noProof/>
          <w:sz w:val="22"/>
        </w:rPr>
        <w:tab/>
        <w:t xml:space="preserve">Luetje, C. W.; Nichols, A. S.; Castro, A.; Sherman, B. Functional Assay of Mammalian and Insect Olfactory Receptors Using Xenopus Oocytes. In </w:t>
      </w:r>
      <w:r w:rsidRPr="005629D6">
        <w:rPr>
          <w:rFonts w:ascii="Calibri" w:hAnsi="Calibri" w:cs="Calibri"/>
          <w:i/>
          <w:iCs/>
          <w:noProof/>
          <w:sz w:val="22"/>
        </w:rPr>
        <w:t>Olfactory Receptors</w:t>
      </w:r>
      <w:r w:rsidRPr="005629D6">
        <w:rPr>
          <w:rFonts w:ascii="Calibri" w:hAnsi="Calibri" w:cs="Calibri"/>
          <w:noProof/>
          <w:sz w:val="22"/>
        </w:rPr>
        <w:t>; 2013; pp 187–202.</w:t>
      </w:r>
    </w:p>
    <w:p w14:paraId="48A8924B"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(14) </w:t>
      </w:r>
      <w:r w:rsidRPr="005629D6">
        <w:rPr>
          <w:rFonts w:ascii="Calibri" w:hAnsi="Calibri" w:cs="Calibri"/>
          <w:noProof/>
          <w:sz w:val="22"/>
        </w:rPr>
        <w:tab/>
        <w:t xml:space="preserve">Syed, Z.; Kopp, A.; Kimbrell, D. a; Leal, W. S. Bombykol Receptors in the Silkworm Moth and the Fruit Fly. </w:t>
      </w:r>
      <w:r w:rsidRPr="005629D6">
        <w:rPr>
          <w:rFonts w:ascii="Calibri" w:hAnsi="Calibri" w:cs="Calibri"/>
          <w:i/>
          <w:iCs/>
          <w:noProof/>
          <w:sz w:val="22"/>
        </w:rPr>
        <w:t>Proc. Natl. Acad. Sci. U. S. A.</w:t>
      </w:r>
      <w:r w:rsidRPr="005629D6">
        <w:rPr>
          <w:rFonts w:ascii="Calibri" w:hAnsi="Calibri" w:cs="Calibri"/>
          <w:noProof/>
          <w:sz w:val="22"/>
        </w:rPr>
        <w:t xml:space="preserve"> </w:t>
      </w:r>
      <w:r w:rsidRPr="005629D6">
        <w:rPr>
          <w:rFonts w:ascii="Calibri" w:hAnsi="Calibri" w:cs="Calibri"/>
          <w:b/>
          <w:bCs/>
          <w:noProof/>
          <w:sz w:val="22"/>
        </w:rPr>
        <w:t>2010</w:t>
      </w:r>
      <w:r w:rsidRPr="005629D6">
        <w:rPr>
          <w:rFonts w:ascii="Calibri" w:hAnsi="Calibri" w:cs="Calibri"/>
          <w:noProof/>
          <w:sz w:val="22"/>
        </w:rPr>
        <w:t xml:space="preserve">, </w:t>
      </w:r>
      <w:r w:rsidRPr="005629D6">
        <w:rPr>
          <w:rFonts w:ascii="Calibri" w:hAnsi="Calibri" w:cs="Calibri"/>
          <w:i/>
          <w:iCs/>
          <w:noProof/>
          <w:sz w:val="22"/>
        </w:rPr>
        <w:t>107</w:t>
      </w:r>
      <w:r w:rsidRPr="005629D6">
        <w:rPr>
          <w:rFonts w:ascii="Calibri" w:hAnsi="Calibri" w:cs="Calibri"/>
          <w:noProof/>
          <w:sz w:val="22"/>
        </w:rPr>
        <w:t xml:space="preserve"> (20), 9436–9439. https://doi.org/10.1073/pnas.1003881107.</w:t>
      </w:r>
    </w:p>
    <w:p w14:paraId="06010FE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(15) </w:t>
      </w:r>
      <w:r w:rsidRPr="005629D6">
        <w:rPr>
          <w:rFonts w:ascii="Calibri" w:hAnsi="Calibri" w:cs="Calibri"/>
          <w:noProof/>
          <w:sz w:val="22"/>
        </w:rPr>
        <w:tab/>
        <w:t xml:space="preserve">Syed, Z.; Ishida, Y.; Taylor, K.; Kimbrell, D. a; Leal, W. S. Pheromone Reception in Fruit Flies Expressing a Moth’s Odorant Receptor. </w:t>
      </w:r>
      <w:r w:rsidRPr="005629D6">
        <w:rPr>
          <w:rFonts w:ascii="Calibri" w:hAnsi="Calibri" w:cs="Calibri"/>
          <w:i/>
          <w:iCs/>
          <w:noProof/>
          <w:sz w:val="22"/>
        </w:rPr>
        <w:t>Proc. Natl. Acad. Sci. U. S. A.</w:t>
      </w:r>
      <w:r w:rsidRPr="005629D6">
        <w:rPr>
          <w:rFonts w:ascii="Calibri" w:hAnsi="Calibri" w:cs="Calibri"/>
          <w:noProof/>
          <w:sz w:val="22"/>
        </w:rPr>
        <w:t xml:space="preserve"> </w:t>
      </w:r>
      <w:r w:rsidRPr="005629D6">
        <w:rPr>
          <w:rFonts w:ascii="Calibri" w:hAnsi="Calibri" w:cs="Calibri"/>
          <w:b/>
          <w:bCs/>
          <w:noProof/>
          <w:sz w:val="22"/>
        </w:rPr>
        <w:t>2006</w:t>
      </w:r>
      <w:r w:rsidRPr="005629D6">
        <w:rPr>
          <w:rFonts w:ascii="Calibri" w:hAnsi="Calibri" w:cs="Calibri"/>
          <w:noProof/>
          <w:sz w:val="22"/>
        </w:rPr>
        <w:t xml:space="preserve">, </w:t>
      </w:r>
      <w:r w:rsidRPr="005629D6">
        <w:rPr>
          <w:rFonts w:ascii="Calibri" w:hAnsi="Calibri" w:cs="Calibri"/>
          <w:i/>
          <w:iCs/>
          <w:noProof/>
          <w:sz w:val="22"/>
        </w:rPr>
        <w:t>103</w:t>
      </w:r>
      <w:r w:rsidRPr="005629D6">
        <w:rPr>
          <w:rFonts w:ascii="Calibri" w:hAnsi="Calibri" w:cs="Calibri"/>
          <w:noProof/>
          <w:sz w:val="22"/>
        </w:rPr>
        <w:t xml:space="preserve"> (44), 16538–16543. https://doi.org/10.1073/pnas.0607874103.</w:t>
      </w:r>
    </w:p>
    <w:p w14:paraId="71CCD847"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(16) </w:t>
      </w:r>
      <w:r w:rsidRPr="005629D6">
        <w:rPr>
          <w:rFonts w:ascii="Calibri" w:hAnsi="Calibri" w:cs="Calibri"/>
          <w:noProof/>
          <w:sz w:val="22"/>
        </w:rPr>
        <w:tab/>
        <w:t xml:space="preserve">Hopf, T. A.; Morinaga, S.; Ihara, S.; Touhara, K.; Marks, D. S.; Benton, R. Amino Acid Coevolution Reveals Three-Dimensional Structure and Functional Domains of Insect Odorant Receptors. </w:t>
      </w:r>
      <w:r w:rsidRPr="005629D6">
        <w:rPr>
          <w:rFonts w:ascii="Calibri" w:hAnsi="Calibri" w:cs="Calibri"/>
          <w:i/>
          <w:iCs/>
          <w:noProof/>
          <w:sz w:val="22"/>
        </w:rPr>
        <w:t>Nat. Commun.</w:t>
      </w:r>
      <w:r w:rsidRPr="005629D6">
        <w:rPr>
          <w:rFonts w:ascii="Calibri" w:hAnsi="Calibri" w:cs="Calibri"/>
          <w:noProof/>
          <w:sz w:val="22"/>
        </w:rPr>
        <w:t xml:space="preserve"> </w:t>
      </w:r>
      <w:r w:rsidRPr="005629D6">
        <w:rPr>
          <w:rFonts w:ascii="Calibri" w:hAnsi="Calibri" w:cs="Calibri"/>
          <w:b/>
          <w:bCs/>
          <w:noProof/>
          <w:sz w:val="22"/>
        </w:rPr>
        <w:t>2015</w:t>
      </w:r>
      <w:r w:rsidRPr="005629D6">
        <w:rPr>
          <w:rFonts w:ascii="Calibri" w:hAnsi="Calibri" w:cs="Calibri"/>
          <w:noProof/>
          <w:sz w:val="22"/>
        </w:rPr>
        <w:t xml:space="preserve">, </w:t>
      </w:r>
      <w:r w:rsidRPr="005629D6">
        <w:rPr>
          <w:rFonts w:ascii="Calibri" w:hAnsi="Calibri" w:cs="Calibri"/>
          <w:i/>
          <w:iCs/>
          <w:noProof/>
          <w:sz w:val="22"/>
        </w:rPr>
        <w:t>6</w:t>
      </w:r>
      <w:r w:rsidRPr="005629D6">
        <w:rPr>
          <w:rFonts w:ascii="Calibri" w:hAnsi="Calibri" w:cs="Calibri"/>
          <w:noProof/>
          <w:sz w:val="22"/>
        </w:rPr>
        <w:t>, 1–7. https://doi.org/10.1038/ncomms7077.</w:t>
      </w:r>
    </w:p>
    <w:p w14:paraId="5A920C2F"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(17) </w:t>
      </w:r>
      <w:r w:rsidRPr="005629D6">
        <w:rPr>
          <w:rFonts w:ascii="Calibri" w:hAnsi="Calibri" w:cs="Calibri"/>
          <w:noProof/>
          <w:sz w:val="22"/>
        </w:rPr>
        <w:tab/>
        <w:t xml:space="preserve">Butterwick, J. A.; del Mármol, J.; Kim, K. H.; Kahlson, M. A.; Rogow, J. A.; Walz, T.; Ruta, V. Cryo-EM Structure of the Insect Olfactory Receptor Orco. </w:t>
      </w:r>
      <w:r w:rsidRPr="005629D6">
        <w:rPr>
          <w:rFonts w:ascii="Calibri" w:hAnsi="Calibri" w:cs="Calibri"/>
          <w:i/>
          <w:iCs/>
          <w:noProof/>
          <w:sz w:val="22"/>
        </w:rPr>
        <w:t>Nature</w:t>
      </w:r>
      <w:r w:rsidRPr="005629D6">
        <w:rPr>
          <w:rFonts w:ascii="Calibri" w:hAnsi="Calibri" w:cs="Calibri"/>
          <w:noProof/>
          <w:sz w:val="22"/>
        </w:rPr>
        <w:t xml:space="preserve"> </w:t>
      </w:r>
      <w:r w:rsidRPr="005629D6">
        <w:rPr>
          <w:rFonts w:ascii="Calibri" w:hAnsi="Calibri" w:cs="Calibri"/>
          <w:b/>
          <w:bCs/>
          <w:noProof/>
          <w:sz w:val="22"/>
        </w:rPr>
        <w:t>2018</w:t>
      </w:r>
      <w:r w:rsidRPr="005629D6">
        <w:rPr>
          <w:rFonts w:ascii="Calibri" w:hAnsi="Calibri" w:cs="Calibri"/>
          <w:noProof/>
          <w:sz w:val="22"/>
        </w:rPr>
        <w:t xml:space="preserve">, </w:t>
      </w:r>
      <w:r w:rsidRPr="005629D6">
        <w:rPr>
          <w:rFonts w:ascii="Calibri" w:hAnsi="Calibri" w:cs="Calibri"/>
          <w:i/>
          <w:iCs/>
          <w:noProof/>
          <w:sz w:val="22"/>
        </w:rPr>
        <w:t>560</w:t>
      </w:r>
      <w:r w:rsidRPr="005629D6">
        <w:rPr>
          <w:rFonts w:ascii="Calibri" w:hAnsi="Calibri" w:cs="Calibri"/>
          <w:noProof/>
          <w:sz w:val="22"/>
        </w:rPr>
        <w:t xml:space="preserve"> (7719), 447–452. https://doi.org/10.1038/s41586-018-0420-8.</w:t>
      </w:r>
    </w:p>
    <w:p w14:paraId="2FEA5299"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(18) </w:t>
      </w:r>
      <w:r w:rsidRPr="005629D6">
        <w:rPr>
          <w:rFonts w:ascii="Calibri" w:hAnsi="Calibri" w:cs="Calibri"/>
          <w:noProof/>
          <w:sz w:val="22"/>
        </w:rPr>
        <w:tab/>
        <w:t xml:space="preserve">del Mármol, J.; Yedlin, M. A.; Ruta, V. The Structural Basis of Odorant Recognition in Insect Olfactory Receptors. </w:t>
      </w:r>
      <w:r w:rsidRPr="005629D6">
        <w:rPr>
          <w:rFonts w:ascii="Calibri" w:hAnsi="Calibri" w:cs="Calibri"/>
          <w:i/>
          <w:iCs/>
          <w:noProof/>
          <w:sz w:val="22"/>
        </w:rPr>
        <w:t>Nature</w:t>
      </w:r>
      <w:r w:rsidRPr="005629D6">
        <w:rPr>
          <w:rFonts w:ascii="Calibri" w:hAnsi="Calibri" w:cs="Calibri"/>
          <w:noProof/>
          <w:sz w:val="22"/>
        </w:rPr>
        <w:t xml:space="preserve"> </w:t>
      </w:r>
      <w:r w:rsidRPr="005629D6">
        <w:rPr>
          <w:rFonts w:ascii="Calibri" w:hAnsi="Calibri" w:cs="Calibri"/>
          <w:b/>
          <w:bCs/>
          <w:noProof/>
          <w:sz w:val="22"/>
        </w:rPr>
        <w:t>2021</w:t>
      </w:r>
      <w:r w:rsidRPr="005629D6">
        <w:rPr>
          <w:rFonts w:ascii="Calibri" w:hAnsi="Calibri" w:cs="Calibri"/>
          <w:noProof/>
          <w:sz w:val="22"/>
        </w:rPr>
        <w:t>, No. January. https://doi.org/10.1038/s41586-021-03794-8.</w:t>
      </w:r>
    </w:p>
    <w:p w14:paraId="4B6F8429"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lastRenderedPageBreak/>
        <w:t xml:space="preserve">(19) </w:t>
      </w:r>
      <w:r w:rsidRPr="005629D6">
        <w:rPr>
          <w:rFonts w:ascii="Calibri" w:hAnsi="Calibri" w:cs="Calibri"/>
          <w:noProof/>
          <w:sz w:val="22"/>
        </w:rPr>
        <w:tab/>
        <w:t xml:space="preserve">Trible, W.; Olivos-Cisneros, L.; McKenzie, S. K.; Saragosti, J.; Chang, N. C.; Matthews, B. J.; Oxley, P. R.; Kronauer, D. J. C. Orco Mutagenesis Causes Loss of Antennal Lobe Glomeruli and Impaired Social Behavior in Ants. </w:t>
      </w:r>
      <w:r w:rsidRPr="005629D6">
        <w:rPr>
          <w:rFonts w:ascii="Calibri" w:hAnsi="Calibri" w:cs="Calibri"/>
          <w:i/>
          <w:iCs/>
          <w:noProof/>
          <w:sz w:val="22"/>
        </w:rPr>
        <w:t>Cell</w:t>
      </w:r>
      <w:r w:rsidRPr="005629D6">
        <w:rPr>
          <w:rFonts w:ascii="Calibri" w:hAnsi="Calibri" w:cs="Calibri"/>
          <w:noProof/>
          <w:sz w:val="22"/>
        </w:rPr>
        <w:t xml:space="preserve"> </w:t>
      </w:r>
      <w:r w:rsidRPr="005629D6">
        <w:rPr>
          <w:rFonts w:ascii="Calibri" w:hAnsi="Calibri" w:cs="Calibri"/>
          <w:b/>
          <w:bCs/>
          <w:noProof/>
          <w:sz w:val="22"/>
        </w:rPr>
        <w:t>2017</w:t>
      </w:r>
      <w:r w:rsidRPr="005629D6">
        <w:rPr>
          <w:rFonts w:ascii="Calibri" w:hAnsi="Calibri" w:cs="Calibri"/>
          <w:noProof/>
          <w:sz w:val="22"/>
        </w:rPr>
        <w:t xml:space="preserve">, </w:t>
      </w:r>
      <w:r w:rsidRPr="005629D6">
        <w:rPr>
          <w:rFonts w:ascii="Calibri" w:hAnsi="Calibri" w:cs="Calibri"/>
          <w:i/>
          <w:iCs/>
          <w:noProof/>
          <w:sz w:val="22"/>
        </w:rPr>
        <w:t>170</w:t>
      </w:r>
      <w:r w:rsidRPr="005629D6">
        <w:rPr>
          <w:rFonts w:ascii="Calibri" w:hAnsi="Calibri" w:cs="Calibri"/>
          <w:noProof/>
          <w:sz w:val="22"/>
        </w:rPr>
        <w:t xml:space="preserve"> (4), 727-735.e10. https://doi.org/10.1016/j.cell.2017.07.001.</w:t>
      </w:r>
    </w:p>
    <w:p w14:paraId="102DE4CD"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(20) </w:t>
      </w:r>
      <w:r w:rsidRPr="005629D6">
        <w:rPr>
          <w:rFonts w:ascii="Calibri" w:hAnsi="Calibri" w:cs="Calibri"/>
          <w:noProof/>
          <w:sz w:val="22"/>
        </w:rPr>
        <w:tab/>
        <w:t xml:space="preserve">Zhang, R.; Wang, B.; Grossi, G.; Falabella, P.; Liu, Y.; Yan, S.; Lu, J.; Xi, J.; Wang, G. Molecular Basis of Alarm Pheromone Detection in Aphids. </w:t>
      </w:r>
      <w:r w:rsidRPr="005629D6">
        <w:rPr>
          <w:rFonts w:ascii="Calibri" w:hAnsi="Calibri" w:cs="Calibri"/>
          <w:i/>
          <w:iCs/>
          <w:noProof/>
          <w:sz w:val="22"/>
        </w:rPr>
        <w:t>Curr. Biol.</w:t>
      </w:r>
      <w:r w:rsidRPr="005629D6">
        <w:rPr>
          <w:rFonts w:ascii="Calibri" w:hAnsi="Calibri" w:cs="Calibri"/>
          <w:noProof/>
          <w:sz w:val="22"/>
        </w:rPr>
        <w:t xml:space="preserve"> </w:t>
      </w:r>
      <w:r w:rsidRPr="005629D6">
        <w:rPr>
          <w:rFonts w:ascii="Calibri" w:hAnsi="Calibri" w:cs="Calibri"/>
          <w:b/>
          <w:bCs/>
          <w:noProof/>
          <w:sz w:val="22"/>
        </w:rPr>
        <w:t>2017</w:t>
      </w:r>
      <w:r w:rsidRPr="005629D6">
        <w:rPr>
          <w:rFonts w:ascii="Calibri" w:hAnsi="Calibri" w:cs="Calibri"/>
          <w:noProof/>
          <w:sz w:val="22"/>
        </w:rPr>
        <w:t xml:space="preserve">, </w:t>
      </w:r>
      <w:r w:rsidRPr="005629D6">
        <w:rPr>
          <w:rFonts w:ascii="Calibri" w:hAnsi="Calibri" w:cs="Calibri"/>
          <w:i/>
          <w:iCs/>
          <w:noProof/>
          <w:sz w:val="22"/>
        </w:rPr>
        <w:t>27</w:t>
      </w:r>
      <w:r w:rsidRPr="005629D6">
        <w:rPr>
          <w:rFonts w:ascii="Calibri" w:hAnsi="Calibri" w:cs="Calibri"/>
          <w:noProof/>
          <w:sz w:val="22"/>
        </w:rPr>
        <w:t xml:space="preserve"> (1), 55–61. https://doi.org/10.1016/j.cub.2016.10.013.</w:t>
      </w:r>
    </w:p>
    <w:p w14:paraId="4BAF4006"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(21) </w:t>
      </w:r>
      <w:r w:rsidRPr="005629D6">
        <w:rPr>
          <w:rFonts w:ascii="Calibri" w:hAnsi="Calibri" w:cs="Calibri"/>
          <w:noProof/>
          <w:sz w:val="22"/>
        </w:rPr>
        <w:tab/>
        <w:t xml:space="preserve">Sato, K.; Pellegrino, M.; Nakagawa, T.; Nakagawa, T.; Vosshall, L. B.; Touhara, K. Insect Olfactory Receptors Are Heteromeric Ligand-Gated Ion Channels. </w:t>
      </w:r>
      <w:r w:rsidRPr="005629D6">
        <w:rPr>
          <w:rFonts w:ascii="Calibri" w:hAnsi="Calibri" w:cs="Calibri"/>
          <w:i/>
          <w:iCs/>
          <w:noProof/>
          <w:sz w:val="22"/>
        </w:rPr>
        <w:t>Nature</w:t>
      </w:r>
      <w:r w:rsidRPr="005629D6">
        <w:rPr>
          <w:rFonts w:ascii="Calibri" w:hAnsi="Calibri" w:cs="Calibri"/>
          <w:noProof/>
          <w:sz w:val="22"/>
        </w:rPr>
        <w:t xml:space="preserve"> </w:t>
      </w:r>
      <w:r w:rsidRPr="005629D6">
        <w:rPr>
          <w:rFonts w:ascii="Calibri" w:hAnsi="Calibri" w:cs="Calibri"/>
          <w:b/>
          <w:bCs/>
          <w:noProof/>
          <w:sz w:val="22"/>
        </w:rPr>
        <w:t>2008</w:t>
      </w:r>
      <w:r w:rsidRPr="005629D6">
        <w:rPr>
          <w:rFonts w:ascii="Calibri" w:hAnsi="Calibri" w:cs="Calibri"/>
          <w:noProof/>
          <w:sz w:val="22"/>
        </w:rPr>
        <w:t xml:space="preserve">, </w:t>
      </w:r>
      <w:r w:rsidRPr="005629D6">
        <w:rPr>
          <w:rFonts w:ascii="Calibri" w:hAnsi="Calibri" w:cs="Calibri"/>
          <w:i/>
          <w:iCs/>
          <w:noProof/>
          <w:sz w:val="22"/>
        </w:rPr>
        <w:t>452</w:t>
      </w:r>
      <w:r w:rsidRPr="005629D6">
        <w:rPr>
          <w:rFonts w:ascii="Calibri" w:hAnsi="Calibri" w:cs="Calibri"/>
          <w:noProof/>
          <w:sz w:val="22"/>
        </w:rPr>
        <w:t xml:space="preserve"> (7190), 1002–1006. https://doi.org/10.1038/nature06850.</w:t>
      </w:r>
    </w:p>
    <w:p w14:paraId="1D37FED3"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(22) </w:t>
      </w:r>
      <w:r w:rsidRPr="005629D6">
        <w:rPr>
          <w:rFonts w:ascii="Calibri" w:hAnsi="Calibri" w:cs="Calibri"/>
          <w:noProof/>
          <w:sz w:val="22"/>
        </w:rPr>
        <w:tab/>
        <w:t xml:space="preserve">Xu, P.; Leal, W. S. Probing Insect Odorant Receptors with Their Cognate Ligands: Insights into Structural Features. </w:t>
      </w:r>
      <w:r w:rsidRPr="005629D6">
        <w:rPr>
          <w:rFonts w:ascii="Calibri" w:hAnsi="Calibri" w:cs="Calibri"/>
          <w:i/>
          <w:iCs/>
          <w:noProof/>
          <w:sz w:val="22"/>
        </w:rPr>
        <w:t>Biochem. Biophys. Res. Commun.</w:t>
      </w:r>
      <w:r w:rsidRPr="005629D6">
        <w:rPr>
          <w:rFonts w:ascii="Calibri" w:hAnsi="Calibri" w:cs="Calibri"/>
          <w:noProof/>
          <w:sz w:val="22"/>
        </w:rPr>
        <w:t xml:space="preserve"> </w:t>
      </w:r>
      <w:r w:rsidRPr="005629D6">
        <w:rPr>
          <w:rFonts w:ascii="Calibri" w:hAnsi="Calibri" w:cs="Calibri"/>
          <w:b/>
          <w:bCs/>
          <w:noProof/>
          <w:sz w:val="22"/>
        </w:rPr>
        <w:t>2013</w:t>
      </w:r>
      <w:r w:rsidRPr="005629D6">
        <w:rPr>
          <w:rFonts w:ascii="Calibri" w:hAnsi="Calibri" w:cs="Calibri"/>
          <w:noProof/>
          <w:sz w:val="22"/>
        </w:rPr>
        <w:t xml:space="preserve">, </w:t>
      </w:r>
      <w:r w:rsidRPr="005629D6">
        <w:rPr>
          <w:rFonts w:ascii="Calibri" w:hAnsi="Calibri" w:cs="Calibri"/>
          <w:i/>
          <w:iCs/>
          <w:noProof/>
          <w:sz w:val="22"/>
        </w:rPr>
        <w:t>435</w:t>
      </w:r>
      <w:r w:rsidRPr="005629D6">
        <w:rPr>
          <w:rFonts w:ascii="Calibri" w:hAnsi="Calibri" w:cs="Calibri"/>
          <w:noProof/>
          <w:sz w:val="22"/>
        </w:rPr>
        <w:t xml:space="preserve"> (3), 477–482. https://doi.org/10.1016/j.bbrc.2013.05.015.</w:t>
      </w:r>
    </w:p>
    <w:p w14:paraId="08379390"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(23) </w:t>
      </w:r>
      <w:r w:rsidRPr="005629D6">
        <w:rPr>
          <w:rFonts w:ascii="Calibri" w:hAnsi="Calibri" w:cs="Calibri"/>
          <w:noProof/>
          <w:sz w:val="22"/>
        </w:rPr>
        <w:tab/>
        <w:t xml:space="preserve">Batra, S.; Corcoran, J.; Zhang, D. D.; Pal, P.; Umesh, K. P.; Kulkarni, R.; Löfstedt, C.; Sowdhamini, R.; Olsson, S. B. A Functional Agonist of Insect Olfactory Receptors: Behavior, Physiology and Structure. </w:t>
      </w:r>
      <w:r w:rsidRPr="005629D6">
        <w:rPr>
          <w:rFonts w:ascii="Calibri" w:hAnsi="Calibri" w:cs="Calibri"/>
          <w:i/>
          <w:iCs/>
          <w:noProof/>
          <w:sz w:val="22"/>
        </w:rPr>
        <w:t>Front. Cell. Neurosci.</w:t>
      </w:r>
      <w:r w:rsidRPr="005629D6">
        <w:rPr>
          <w:rFonts w:ascii="Calibri" w:hAnsi="Calibri" w:cs="Calibri"/>
          <w:noProof/>
          <w:sz w:val="22"/>
        </w:rPr>
        <w:t xml:space="preserve"> </w:t>
      </w:r>
      <w:r w:rsidRPr="005629D6">
        <w:rPr>
          <w:rFonts w:ascii="Calibri" w:hAnsi="Calibri" w:cs="Calibri"/>
          <w:b/>
          <w:bCs/>
          <w:noProof/>
          <w:sz w:val="22"/>
        </w:rPr>
        <w:t>2019</w:t>
      </w:r>
      <w:r w:rsidRPr="005629D6">
        <w:rPr>
          <w:rFonts w:ascii="Calibri" w:hAnsi="Calibri" w:cs="Calibri"/>
          <w:noProof/>
          <w:sz w:val="22"/>
        </w:rPr>
        <w:t xml:space="preserve">, </w:t>
      </w:r>
      <w:r w:rsidRPr="005629D6">
        <w:rPr>
          <w:rFonts w:ascii="Calibri" w:hAnsi="Calibri" w:cs="Calibri"/>
          <w:i/>
          <w:iCs/>
          <w:noProof/>
          <w:sz w:val="22"/>
        </w:rPr>
        <w:t>13</w:t>
      </w:r>
      <w:r w:rsidRPr="005629D6">
        <w:rPr>
          <w:rFonts w:ascii="Calibri" w:hAnsi="Calibri" w:cs="Calibri"/>
          <w:noProof/>
          <w:sz w:val="22"/>
        </w:rPr>
        <w:t xml:space="preserve"> (April), 1–13. https://doi.org/10.3389/fncel.2019.00134.</w:t>
      </w:r>
    </w:p>
    <w:p w14:paraId="5724A38C"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(24) </w:t>
      </w:r>
      <w:r w:rsidRPr="005629D6">
        <w:rPr>
          <w:rFonts w:ascii="Calibri" w:hAnsi="Calibri" w:cs="Calibri"/>
          <w:noProof/>
          <w:sz w:val="22"/>
        </w:rPr>
        <w:tab/>
        <w:t xml:space="preserve">Corcoran, J. A.; Sonntag, Y.; Andersson, M. N.; Johanson, U.; Löfstedt, C. Endogenous Insensitivity to the Orco Agonist VUAA1 Reveals Novel Olfactory Receptor Complex Properties in the Specialist Fly Mayetiola Destructor. </w:t>
      </w:r>
      <w:r w:rsidRPr="005629D6">
        <w:rPr>
          <w:rFonts w:ascii="Calibri" w:hAnsi="Calibri" w:cs="Calibri"/>
          <w:i/>
          <w:iCs/>
          <w:noProof/>
          <w:sz w:val="22"/>
        </w:rPr>
        <w:t>Sci. Rep.</w:t>
      </w:r>
      <w:r w:rsidRPr="005629D6">
        <w:rPr>
          <w:rFonts w:ascii="Calibri" w:hAnsi="Calibri" w:cs="Calibri"/>
          <w:noProof/>
          <w:sz w:val="22"/>
        </w:rPr>
        <w:t xml:space="preserve"> </w:t>
      </w:r>
      <w:r w:rsidRPr="005629D6">
        <w:rPr>
          <w:rFonts w:ascii="Calibri" w:hAnsi="Calibri" w:cs="Calibri"/>
          <w:b/>
          <w:bCs/>
          <w:noProof/>
          <w:sz w:val="22"/>
        </w:rPr>
        <w:t>2018</w:t>
      </w:r>
      <w:r w:rsidRPr="005629D6">
        <w:rPr>
          <w:rFonts w:ascii="Calibri" w:hAnsi="Calibri" w:cs="Calibri"/>
          <w:noProof/>
          <w:sz w:val="22"/>
        </w:rPr>
        <w:t xml:space="preserve">, </w:t>
      </w:r>
      <w:r w:rsidRPr="005629D6">
        <w:rPr>
          <w:rFonts w:ascii="Calibri" w:hAnsi="Calibri" w:cs="Calibri"/>
          <w:i/>
          <w:iCs/>
          <w:noProof/>
          <w:sz w:val="22"/>
        </w:rPr>
        <w:t>8</w:t>
      </w:r>
      <w:r w:rsidRPr="005629D6">
        <w:rPr>
          <w:rFonts w:ascii="Calibri" w:hAnsi="Calibri" w:cs="Calibri"/>
          <w:noProof/>
          <w:sz w:val="22"/>
        </w:rPr>
        <w:t xml:space="preserve"> (1), 1–13. https://doi.org/10.1038/s41598-018-21631-3.</w:t>
      </w:r>
    </w:p>
    <w:p w14:paraId="33A32074"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(25) </w:t>
      </w:r>
      <w:r w:rsidRPr="005629D6">
        <w:rPr>
          <w:rFonts w:ascii="Calibri" w:hAnsi="Calibri" w:cs="Calibri"/>
          <w:noProof/>
          <w:sz w:val="22"/>
        </w:rPr>
        <w:tab/>
        <w:t xml:space="preserve">Nichols, A. S.; Luetje, C. W. Transmembrane Segment 3 of Drosophila Melanogaster Odorant Receptor Subunit 85b Contributes to Ligand-Receptor Interactions. </w:t>
      </w:r>
      <w:r w:rsidRPr="005629D6">
        <w:rPr>
          <w:rFonts w:ascii="Calibri" w:hAnsi="Calibri" w:cs="Calibri"/>
          <w:i/>
          <w:iCs/>
          <w:noProof/>
          <w:sz w:val="22"/>
        </w:rPr>
        <w:t>J. Biol. Chem.</w:t>
      </w:r>
      <w:r w:rsidRPr="005629D6">
        <w:rPr>
          <w:rFonts w:ascii="Calibri" w:hAnsi="Calibri" w:cs="Calibri"/>
          <w:noProof/>
          <w:sz w:val="22"/>
        </w:rPr>
        <w:t xml:space="preserve"> </w:t>
      </w:r>
      <w:r w:rsidRPr="005629D6">
        <w:rPr>
          <w:rFonts w:ascii="Calibri" w:hAnsi="Calibri" w:cs="Calibri"/>
          <w:b/>
          <w:bCs/>
          <w:noProof/>
          <w:sz w:val="22"/>
        </w:rPr>
        <w:t>2010</w:t>
      </w:r>
      <w:r w:rsidRPr="005629D6">
        <w:rPr>
          <w:rFonts w:ascii="Calibri" w:hAnsi="Calibri" w:cs="Calibri"/>
          <w:noProof/>
          <w:sz w:val="22"/>
        </w:rPr>
        <w:t xml:space="preserve">, </w:t>
      </w:r>
      <w:r w:rsidRPr="005629D6">
        <w:rPr>
          <w:rFonts w:ascii="Calibri" w:hAnsi="Calibri" w:cs="Calibri"/>
          <w:i/>
          <w:iCs/>
          <w:noProof/>
          <w:sz w:val="22"/>
        </w:rPr>
        <w:t>285</w:t>
      </w:r>
      <w:r w:rsidRPr="005629D6">
        <w:rPr>
          <w:rFonts w:ascii="Calibri" w:hAnsi="Calibri" w:cs="Calibri"/>
          <w:noProof/>
          <w:sz w:val="22"/>
        </w:rPr>
        <w:t xml:space="preserve"> (16), 11854–11862. https://doi.org/10.1074/jbc.M109.058321.</w:t>
      </w:r>
    </w:p>
    <w:p w14:paraId="1420DFE1"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(26) </w:t>
      </w:r>
      <w:r w:rsidRPr="005629D6">
        <w:rPr>
          <w:rFonts w:ascii="Calibri" w:hAnsi="Calibri" w:cs="Calibri"/>
          <w:noProof/>
          <w:sz w:val="22"/>
        </w:rPr>
        <w:tab/>
        <w:t xml:space="preserve">Yang, K.; Huang, L. Q.; Ning, C.; Wang, C. Z. Two Single-Point Mutations Shift the Ligand Selectivity of a Pheromone Receptor between Two Closely Related Moth Species. </w:t>
      </w:r>
      <w:r w:rsidRPr="005629D6">
        <w:rPr>
          <w:rFonts w:ascii="Calibri" w:hAnsi="Calibri" w:cs="Calibri"/>
          <w:i/>
          <w:iCs/>
          <w:noProof/>
          <w:sz w:val="22"/>
        </w:rPr>
        <w:t>Elife</w:t>
      </w:r>
      <w:r w:rsidRPr="005629D6">
        <w:rPr>
          <w:rFonts w:ascii="Calibri" w:hAnsi="Calibri" w:cs="Calibri"/>
          <w:noProof/>
          <w:sz w:val="22"/>
        </w:rPr>
        <w:t xml:space="preserve"> </w:t>
      </w:r>
      <w:r w:rsidRPr="005629D6">
        <w:rPr>
          <w:rFonts w:ascii="Calibri" w:hAnsi="Calibri" w:cs="Calibri"/>
          <w:b/>
          <w:bCs/>
          <w:noProof/>
          <w:sz w:val="22"/>
        </w:rPr>
        <w:t>2017</w:t>
      </w:r>
      <w:r w:rsidRPr="005629D6">
        <w:rPr>
          <w:rFonts w:ascii="Calibri" w:hAnsi="Calibri" w:cs="Calibri"/>
          <w:noProof/>
          <w:sz w:val="22"/>
        </w:rPr>
        <w:t xml:space="preserve">, </w:t>
      </w:r>
      <w:r w:rsidRPr="005629D6">
        <w:rPr>
          <w:rFonts w:ascii="Calibri" w:hAnsi="Calibri" w:cs="Calibri"/>
          <w:i/>
          <w:iCs/>
          <w:noProof/>
          <w:sz w:val="22"/>
        </w:rPr>
        <w:t>6</w:t>
      </w:r>
      <w:r w:rsidRPr="005629D6">
        <w:rPr>
          <w:rFonts w:ascii="Calibri" w:hAnsi="Calibri" w:cs="Calibri"/>
          <w:noProof/>
          <w:sz w:val="22"/>
        </w:rPr>
        <w:t>, 1–21. https://doi.org/10.7554/eLife.29100.</w:t>
      </w:r>
    </w:p>
    <w:p w14:paraId="4C397721"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(27) </w:t>
      </w:r>
      <w:r w:rsidRPr="005629D6">
        <w:rPr>
          <w:rFonts w:ascii="Calibri" w:hAnsi="Calibri" w:cs="Calibri"/>
          <w:noProof/>
          <w:sz w:val="22"/>
        </w:rPr>
        <w:tab/>
        <w:t xml:space="preserve">Yuvaraj, J.; Roberts, R.; Sonntag, Y.; Hou, X.; Grosse-Wilde, E.; Machara, A.; Hansson, B.; Johanson, U.; Löfstedt, C.; Andersson, M. Putative Ligand Binding Sites of Two Functionally Characterized Bark Beetle Odorant Receptors. </w:t>
      </w:r>
      <w:r w:rsidRPr="005629D6">
        <w:rPr>
          <w:rFonts w:ascii="Calibri" w:hAnsi="Calibri" w:cs="Calibri"/>
          <w:i/>
          <w:iCs/>
          <w:noProof/>
          <w:sz w:val="22"/>
        </w:rPr>
        <w:t>BMC Biol.</w:t>
      </w:r>
      <w:r w:rsidRPr="005629D6">
        <w:rPr>
          <w:rFonts w:ascii="Calibri" w:hAnsi="Calibri" w:cs="Calibri"/>
          <w:noProof/>
          <w:sz w:val="22"/>
        </w:rPr>
        <w:t xml:space="preserve"> </w:t>
      </w:r>
      <w:r w:rsidRPr="005629D6">
        <w:rPr>
          <w:rFonts w:ascii="Calibri" w:hAnsi="Calibri" w:cs="Calibri"/>
          <w:b/>
          <w:bCs/>
          <w:noProof/>
          <w:sz w:val="22"/>
        </w:rPr>
        <w:t>2021</w:t>
      </w:r>
      <w:r w:rsidRPr="005629D6">
        <w:rPr>
          <w:rFonts w:ascii="Calibri" w:hAnsi="Calibri" w:cs="Calibri"/>
          <w:noProof/>
          <w:sz w:val="22"/>
        </w:rPr>
        <w:t xml:space="preserve">, </w:t>
      </w:r>
      <w:r w:rsidRPr="005629D6">
        <w:rPr>
          <w:rFonts w:ascii="Calibri" w:hAnsi="Calibri" w:cs="Calibri"/>
          <w:i/>
          <w:iCs/>
          <w:noProof/>
          <w:sz w:val="22"/>
        </w:rPr>
        <w:t>19</w:t>
      </w:r>
      <w:r w:rsidRPr="005629D6">
        <w:rPr>
          <w:rFonts w:ascii="Calibri" w:hAnsi="Calibri" w:cs="Calibri"/>
          <w:noProof/>
          <w:sz w:val="22"/>
        </w:rPr>
        <w:t xml:space="preserve"> (16). https://doi.org/10.1101/2020.03.07.980797.</w:t>
      </w:r>
    </w:p>
    <w:p w14:paraId="539C1643"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(28) </w:t>
      </w:r>
      <w:r w:rsidRPr="005629D6">
        <w:rPr>
          <w:rFonts w:ascii="Calibri" w:hAnsi="Calibri" w:cs="Calibri"/>
          <w:noProof/>
          <w:sz w:val="22"/>
        </w:rPr>
        <w:tab/>
        <w:t xml:space="preserve">Leary, G. P.; Allen, J. E.; Bunger, P. L.; Luginbill, J. B.; Linn, C. E.; Macallister, I. E.; Kavanaugh, M. P.; Wanner, K. W. Single Mutation to a Sex Pheromone Receptor Provides Adaptive Specificity between Closely Related Moth Species. </w:t>
      </w:r>
      <w:r w:rsidRPr="005629D6">
        <w:rPr>
          <w:rFonts w:ascii="Calibri" w:hAnsi="Calibri" w:cs="Calibri"/>
          <w:i/>
          <w:iCs/>
          <w:noProof/>
          <w:sz w:val="22"/>
        </w:rPr>
        <w:t>Proc. Natl. Acad. Sci. U. S. A.</w:t>
      </w:r>
      <w:r w:rsidRPr="005629D6">
        <w:rPr>
          <w:rFonts w:ascii="Calibri" w:hAnsi="Calibri" w:cs="Calibri"/>
          <w:noProof/>
          <w:sz w:val="22"/>
        </w:rPr>
        <w:t xml:space="preserve"> </w:t>
      </w:r>
      <w:r w:rsidRPr="005629D6">
        <w:rPr>
          <w:rFonts w:ascii="Calibri" w:hAnsi="Calibri" w:cs="Calibri"/>
          <w:b/>
          <w:bCs/>
          <w:noProof/>
          <w:sz w:val="22"/>
        </w:rPr>
        <w:t>2012</w:t>
      </w:r>
      <w:r w:rsidRPr="005629D6">
        <w:rPr>
          <w:rFonts w:ascii="Calibri" w:hAnsi="Calibri" w:cs="Calibri"/>
          <w:noProof/>
          <w:sz w:val="22"/>
        </w:rPr>
        <w:t xml:space="preserve">, </w:t>
      </w:r>
      <w:r w:rsidRPr="005629D6">
        <w:rPr>
          <w:rFonts w:ascii="Calibri" w:hAnsi="Calibri" w:cs="Calibri"/>
          <w:i/>
          <w:iCs/>
          <w:noProof/>
          <w:sz w:val="22"/>
        </w:rPr>
        <w:t>109</w:t>
      </w:r>
      <w:r w:rsidRPr="005629D6">
        <w:rPr>
          <w:rFonts w:ascii="Calibri" w:hAnsi="Calibri" w:cs="Calibri"/>
          <w:noProof/>
          <w:sz w:val="22"/>
        </w:rPr>
        <w:t xml:space="preserve"> (35), 14081–14086. https://doi.org/10.1073/pnas.1204661109.</w:t>
      </w:r>
    </w:p>
    <w:p w14:paraId="260EEA0C"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(29) </w:t>
      </w:r>
      <w:r w:rsidRPr="005629D6">
        <w:rPr>
          <w:rFonts w:ascii="Calibri" w:hAnsi="Calibri" w:cs="Calibri"/>
          <w:noProof/>
          <w:sz w:val="22"/>
        </w:rPr>
        <w:tab/>
        <w:t xml:space="preserve">Hughes, D. T.; Wang, G.; Zwiebel, L. J.; Luetje, C. W. A Determinant of Odorant Specificity Is Located at the Extracellular Loop 2-Transmembrane Domain 4 Interface of an Anopheles Gambiae Odorant Receptor Subunit. </w:t>
      </w:r>
      <w:r w:rsidRPr="005629D6">
        <w:rPr>
          <w:rFonts w:ascii="Calibri" w:hAnsi="Calibri" w:cs="Calibri"/>
          <w:i/>
          <w:iCs/>
          <w:noProof/>
          <w:sz w:val="22"/>
        </w:rPr>
        <w:t>Chem. Senses</w:t>
      </w:r>
      <w:r w:rsidRPr="005629D6">
        <w:rPr>
          <w:rFonts w:ascii="Calibri" w:hAnsi="Calibri" w:cs="Calibri"/>
          <w:noProof/>
          <w:sz w:val="22"/>
        </w:rPr>
        <w:t xml:space="preserve"> </w:t>
      </w:r>
      <w:r w:rsidRPr="005629D6">
        <w:rPr>
          <w:rFonts w:ascii="Calibri" w:hAnsi="Calibri" w:cs="Calibri"/>
          <w:b/>
          <w:bCs/>
          <w:noProof/>
          <w:sz w:val="22"/>
        </w:rPr>
        <w:t>2014</w:t>
      </w:r>
      <w:r w:rsidRPr="005629D6">
        <w:rPr>
          <w:rFonts w:ascii="Calibri" w:hAnsi="Calibri" w:cs="Calibri"/>
          <w:noProof/>
          <w:sz w:val="22"/>
        </w:rPr>
        <w:t xml:space="preserve">, </w:t>
      </w:r>
      <w:r w:rsidRPr="005629D6">
        <w:rPr>
          <w:rFonts w:ascii="Calibri" w:hAnsi="Calibri" w:cs="Calibri"/>
          <w:i/>
          <w:iCs/>
          <w:noProof/>
          <w:sz w:val="22"/>
        </w:rPr>
        <w:t>39</w:t>
      </w:r>
      <w:r w:rsidRPr="005629D6">
        <w:rPr>
          <w:rFonts w:ascii="Calibri" w:hAnsi="Calibri" w:cs="Calibri"/>
          <w:noProof/>
          <w:sz w:val="22"/>
        </w:rPr>
        <w:t xml:space="preserve"> (9), 761–769. https://doi.org/10.1093/chemse/bju048.</w:t>
      </w:r>
    </w:p>
    <w:p w14:paraId="2535A2C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(30) </w:t>
      </w:r>
      <w:r w:rsidRPr="005629D6">
        <w:rPr>
          <w:rFonts w:ascii="Calibri" w:hAnsi="Calibri" w:cs="Calibri"/>
          <w:noProof/>
          <w:sz w:val="22"/>
        </w:rPr>
        <w:tab/>
        <w:t xml:space="preserve">Sargsyan, V.; Getahun, M. N.; Llanos, S. L.; Olsson, S. B.; Hansson, B. S.; Wicher, D. Phosphorylation via PKC Regulates the Function of the Drosophila Odorant Co-Receptor. </w:t>
      </w:r>
      <w:r w:rsidRPr="005629D6">
        <w:rPr>
          <w:rFonts w:ascii="Calibri" w:hAnsi="Calibri" w:cs="Calibri"/>
          <w:i/>
          <w:iCs/>
          <w:noProof/>
          <w:sz w:val="22"/>
        </w:rPr>
        <w:t>Front. Cell. Neurosci.</w:t>
      </w:r>
      <w:r w:rsidRPr="005629D6">
        <w:rPr>
          <w:rFonts w:ascii="Calibri" w:hAnsi="Calibri" w:cs="Calibri"/>
          <w:noProof/>
          <w:sz w:val="22"/>
        </w:rPr>
        <w:t xml:space="preserve"> </w:t>
      </w:r>
      <w:r w:rsidRPr="005629D6">
        <w:rPr>
          <w:rFonts w:ascii="Calibri" w:hAnsi="Calibri" w:cs="Calibri"/>
          <w:b/>
          <w:bCs/>
          <w:noProof/>
          <w:sz w:val="22"/>
        </w:rPr>
        <w:t>2011</w:t>
      </w:r>
      <w:r w:rsidRPr="005629D6">
        <w:rPr>
          <w:rFonts w:ascii="Calibri" w:hAnsi="Calibri" w:cs="Calibri"/>
          <w:noProof/>
          <w:sz w:val="22"/>
        </w:rPr>
        <w:t xml:space="preserve">, </w:t>
      </w:r>
      <w:r w:rsidRPr="005629D6">
        <w:rPr>
          <w:rFonts w:ascii="Calibri" w:hAnsi="Calibri" w:cs="Calibri"/>
          <w:i/>
          <w:iCs/>
          <w:noProof/>
          <w:sz w:val="22"/>
        </w:rPr>
        <w:t>5</w:t>
      </w:r>
      <w:r w:rsidRPr="005629D6">
        <w:rPr>
          <w:rFonts w:ascii="Calibri" w:hAnsi="Calibri" w:cs="Calibri"/>
          <w:noProof/>
          <w:sz w:val="22"/>
        </w:rPr>
        <w:t xml:space="preserve"> (JUNE), 1–8. https://doi.org/10.3389/fncel.2011.00005.</w:t>
      </w:r>
    </w:p>
    <w:p w14:paraId="15B38783"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(31) </w:t>
      </w:r>
      <w:r w:rsidRPr="005629D6">
        <w:rPr>
          <w:rFonts w:ascii="Calibri" w:hAnsi="Calibri" w:cs="Calibri"/>
          <w:noProof/>
          <w:sz w:val="22"/>
        </w:rPr>
        <w:tab/>
        <w:t xml:space="preserve">Jin, X.; Ha, T. S.; Smith, D. P. SNMP Is a Signaling Component Required for Pheromone Sensitivity in Drosophila. </w:t>
      </w:r>
      <w:r w:rsidRPr="005629D6">
        <w:rPr>
          <w:rFonts w:ascii="Calibri" w:hAnsi="Calibri" w:cs="Calibri"/>
          <w:i/>
          <w:iCs/>
          <w:noProof/>
          <w:sz w:val="22"/>
        </w:rPr>
        <w:t>Proc. Natl. Acad. Sci. U. S. A.</w:t>
      </w:r>
      <w:r w:rsidRPr="005629D6">
        <w:rPr>
          <w:rFonts w:ascii="Calibri" w:hAnsi="Calibri" w:cs="Calibri"/>
          <w:noProof/>
          <w:sz w:val="22"/>
        </w:rPr>
        <w:t xml:space="preserve"> </w:t>
      </w:r>
      <w:r w:rsidRPr="005629D6">
        <w:rPr>
          <w:rFonts w:ascii="Calibri" w:hAnsi="Calibri" w:cs="Calibri"/>
          <w:b/>
          <w:bCs/>
          <w:noProof/>
          <w:sz w:val="22"/>
        </w:rPr>
        <w:t>2008</w:t>
      </w:r>
      <w:r w:rsidRPr="005629D6">
        <w:rPr>
          <w:rFonts w:ascii="Calibri" w:hAnsi="Calibri" w:cs="Calibri"/>
          <w:noProof/>
          <w:sz w:val="22"/>
        </w:rPr>
        <w:t xml:space="preserve">, </w:t>
      </w:r>
      <w:r w:rsidRPr="005629D6">
        <w:rPr>
          <w:rFonts w:ascii="Calibri" w:hAnsi="Calibri" w:cs="Calibri"/>
          <w:i/>
          <w:iCs/>
          <w:noProof/>
          <w:sz w:val="22"/>
        </w:rPr>
        <w:t>105</w:t>
      </w:r>
      <w:r w:rsidRPr="005629D6">
        <w:rPr>
          <w:rFonts w:ascii="Calibri" w:hAnsi="Calibri" w:cs="Calibri"/>
          <w:noProof/>
          <w:sz w:val="22"/>
        </w:rPr>
        <w:t xml:space="preserve"> (31), 10996–11001. </w:t>
      </w:r>
      <w:r w:rsidRPr="005629D6">
        <w:rPr>
          <w:rFonts w:ascii="Calibri" w:hAnsi="Calibri" w:cs="Calibri"/>
          <w:noProof/>
          <w:sz w:val="22"/>
        </w:rPr>
        <w:lastRenderedPageBreak/>
        <w:t>https://doi.org/10.1073/pnas.0803309105.</w:t>
      </w:r>
    </w:p>
    <w:p w14:paraId="23627BCB"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(32) </w:t>
      </w:r>
      <w:r w:rsidRPr="005629D6">
        <w:rPr>
          <w:rFonts w:ascii="Calibri" w:hAnsi="Calibri" w:cs="Calibri"/>
          <w:noProof/>
          <w:sz w:val="22"/>
        </w:rPr>
        <w:tab/>
        <w:t xml:space="preserve">Ray, A.; van Naters, W. G. oe.; Carlson, J. R. Molecular Determinants of Odorant Receptor Function in Insects. </w:t>
      </w:r>
      <w:r w:rsidRPr="005629D6">
        <w:rPr>
          <w:rFonts w:ascii="Calibri" w:hAnsi="Calibri" w:cs="Calibri"/>
          <w:i/>
          <w:iCs/>
          <w:noProof/>
          <w:sz w:val="22"/>
        </w:rPr>
        <w:t>J. Biosci.</w:t>
      </w:r>
      <w:r w:rsidRPr="005629D6">
        <w:rPr>
          <w:rFonts w:ascii="Calibri" w:hAnsi="Calibri" w:cs="Calibri"/>
          <w:noProof/>
          <w:sz w:val="22"/>
        </w:rPr>
        <w:t xml:space="preserve"> </w:t>
      </w:r>
      <w:r w:rsidRPr="005629D6">
        <w:rPr>
          <w:rFonts w:ascii="Calibri" w:hAnsi="Calibri" w:cs="Calibri"/>
          <w:b/>
          <w:bCs/>
          <w:noProof/>
          <w:sz w:val="22"/>
        </w:rPr>
        <w:t>2014</w:t>
      </w:r>
      <w:r w:rsidRPr="005629D6">
        <w:rPr>
          <w:rFonts w:ascii="Calibri" w:hAnsi="Calibri" w:cs="Calibri"/>
          <w:noProof/>
          <w:sz w:val="22"/>
        </w:rPr>
        <w:t xml:space="preserve">, </w:t>
      </w:r>
      <w:r w:rsidRPr="005629D6">
        <w:rPr>
          <w:rFonts w:ascii="Calibri" w:hAnsi="Calibri" w:cs="Calibri"/>
          <w:i/>
          <w:iCs/>
          <w:noProof/>
          <w:sz w:val="22"/>
        </w:rPr>
        <w:t>39</w:t>
      </w:r>
      <w:r w:rsidRPr="005629D6">
        <w:rPr>
          <w:rFonts w:ascii="Calibri" w:hAnsi="Calibri" w:cs="Calibri"/>
          <w:noProof/>
          <w:sz w:val="22"/>
        </w:rPr>
        <w:t xml:space="preserve"> (4), 555–563. https://doi.org/10.1007/s12038-014-9447-7.</w:t>
      </w:r>
    </w:p>
    <w:p w14:paraId="1433CE00"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(33) </w:t>
      </w:r>
      <w:r w:rsidRPr="005629D6">
        <w:rPr>
          <w:rFonts w:ascii="Calibri" w:hAnsi="Calibri" w:cs="Calibri"/>
          <w:noProof/>
          <w:sz w:val="22"/>
        </w:rPr>
        <w:tab/>
        <w:t xml:space="preserve">Pellegrino, M.; Steinbach, N.; Stensmyr, M. C.; Hansson, B. S.; Vosshall, L. B. A Natural Polymorphism Alters Odour and DEET Sensitivity in an Insect Odorant Receptor. </w:t>
      </w:r>
      <w:r w:rsidRPr="005629D6">
        <w:rPr>
          <w:rFonts w:ascii="Calibri" w:hAnsi="Calibri" w:cs="Calibri"/>
          <w:i/>
          <w:iCs/>
          <w:noProof/>
          <w:sz w:val="22"/>
        </w:rPr>
        <w:t>Nature</w:t>
      </w:r>
      <w:r w:rsidRPr="005629D6">
        <w:rPr>
          <w:rFonts w:ascii="Calibri" w:hAnsi="Calibri" w:cs="Calibri"/>
          <w:noProof/>
          <w:sz w:val="22"/>
        </w:rPr>
        <w:t xml:space="preserve"> </w:t>
      </w:r>
      <w:r w:rsidRPr="005629D6">
        <w:rPr>
          <w:rFonts w:ascii="Calibri" w:hAnsi="Calibri" w:cs="Calibri"/>
          <w:b/>
          <w:bCs/>
          <w:noProof/>
          <w:sz w:val="22"/>
        </w:rPr>
        <w:t>2011</w:t>
      </w:r>
      <w:r w:rsidRPr="005629D6">
        <w:rPr>
          <w:rFonts w:ascii="Calibri" w:hAnsi="Calibri" w:cs="Calibri"/>
          <w:noProof/>
          <w:sz w:val="22"/>
        </w:rPr>
        <w:t xml:space="preserve">, </w:t>
      </w:r>
      <w:r w:rsidRPr="005629D6">
        <w:rPr>
          <w:rFonts w:ascii="Calibri" w:hAnsi="Calibri" w:cs="Calibri"/>
          <w:i/>
          <w:iCs/>
          <w:noProof/>
          <w:sz w:val="22"/>
        </w:rPr>
        <w:t>478</w:t>
      </w:r>
      <w:r w:rsidRPr="005629D6">
        <w:rPr>
          <w:rFonts w:ascii="Calibri" w:hAnsi="Calibri" w:cs="Calibri"/>
          <w:noProof/>
          <w:sz w:val="22"/>
        </w:rPr>
        <w:t xml:space="preserve"> (7370), 511–514. https://doi.org/10.1038/nature10438.</w:t>
      </w:r>
    </w:p>
    <w:p w14:paraId="227292C5"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(34) </w:t>
      </w:r>
      <w:r w:rsidRPr="005629D6">
        <w:rPr>
          <w:rFonts w:ascii="Calibri" w:hAnsi="Calibri" w:cs="Calibri"/>
          <w:noProof/>
          <w:sz w:val="22"/>
        </w:rPr>
        <w:tab/>
        <w:t xml:space="preserve">Turner, R. M.; Derryberry, S. L.; Kumar, B. N.; Brittain, T.; Zwiebel, L. J.; Newcomb, R. D.; Christie, D. L. Mutational Analysis of Cysteine Residues of the Insect Odorant Co-Receptor (Orco) from Drosophila Melanogaster Reveals Differential Effects on Agonist- and Odorant-Tuning Receptor-Dependent Activation. </w:t>
      </w:r>
      <w:r w:rsidRPr="005629D6">
        <w:rPr>
          <w:rFonts w:ascii="Calibri" w:hAnsi="Calibri" w:cs="Calibri"/>
          <w:i/>
          <w:iCs/>
          <w:noProof/>
          <w:sz w:val="22"/>
        </w:rPr>
        <w:t>J. Biol. Chem.</w:t>
      </w:r>
      <w:r w:rsidRPr="005629D6">
        <w:rPr>
          <w:rFonts w:ascii="Calibri" w:hAnsi="Calibri" w:cs="Calibri"/>
          <w:noProof/>
          <w:sz w:val="22"/>
        </w:rPr>
        <w:t xml:space="preserve"> </w:t>
      </w:r>
      <w:r w:rsidRPr="005629D6">
        <w:rPr>
          <w:rFonts w:ascii="Calibri" w:hAnsi="Calibri" w:cs="Calibri"/>
          <w:b/>
          <w:bCs/>
          <w:noProof/>
          <w:sz w:val="22"/>
        </w:rPr>
        <w:t>2014</w:t>
      </w:r>
      <w:r w:rsidRPr="005629D6">
        <w:rPr>
          <w:rFonts w:ascii="Calibri" w:hAnsi="Calibri" w:cs="Calibri"/>
          <w:noProof/>
          <w:sz w:val="22"/>
        </w:rPr>
        <w:t xml:space="preserve">, </w:t>
      </w:r>
      <w:r w:rsidRPr="005629D6">
        <w:rPr>
          <w:rFonts w:ascii="Calibri" w:hAnsi="Calibri" w:cs="Calibri"/>
          <w:i/>
          <w:iCs/>
          <w:noProof/>
          <w:sz w:val="22"/>
        </w:rPr>
        <w:t>289</w:t>
      </w:r>
      <w:r w:rsidRPr="005629D6">
        <w:rPr>
          <w:rFonts w:ascii="Calibri" w:hAnsi="Calibri" w:cs="Calibri"/>
          <w:noProof/>
          <w:sz w:val="22"/>
        </w:rPr>
        <w:t xml:space="preserve"> (46), 31837–31845. https://doi.org/10.1074/jbc.M114.603993.</w:t>
      </w:r>
    </w:p>
    <w:p w14:paraId="20754EF5"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(35) </w:t>
      </w:r>
      <w:r w:rsidRPr="005629D6">
        <w:rPr>
          <w:rFonts w:ascii="Calibri" w:hAnsi="Calibri" w:cs="Calibri"/>
          <w:noProof/>
          <w:sz w:val="22"/>
        </w:rPr>
        <w:tab/>
        <w:t xml:space="preserve">Benton, R.; Dessimoz, C.; Moi, D. A Putative Origin of Insect Chemosensory Receptors in the Last Common Eukaryotic Ancestor. </w:t>
      </w:r>
      <w:r w:rsidRPr="005629D6">
        <w:rPr>
          <w:rFonts w:ascii="Calibri" w:hAnsi="Calibri" w:cs="Calibri"/>
          <w:i/>
          <w:iCs/>
          <w:noProof/>
          <w:sz w:val="22"/>
        </w:rPr>
        <w:t>Elife</w:t>
      </w:r>
      <w:r w:rsidRPr="005629D6">
        <w:rPr>
          <w:rFonts w:ascii="Calibri" w:hAnsi="Calibri" w:cs="Calibri"/>
          <w:noProof/>
          <w:sz w:val="22"/>
        </w:rPr>
        <w:t xml:space="preserve"> </w:t>
      </w:r>
      <w:r w:rsidRPr="005629D6">
        <w:rPr>
          <w:rFonts w:ascii="Calibri" w:hAnsi="Calibri" w:cs="Calibri"/>
          <w:b/>
          <w:bCs/>
          <w:noProof/>
          <w:sz w:val="22"/>
        </w:rPr>
        <w:t>2020</w:t>
      </w:r>
      <w:r w:rsidRPr="005629D6">
        <w:rPr>
          <w:rFonts w:ascii="Calibri" w:hAnsi="Calibri" w:cs="Calibri"/>
          <w:noProof/>
          <w:sz w:val="22"/>
        </w:rPr>
        <w:t xml:space="preserve">, </w:t>
      </w:r>
      <w:r w:rsidRPr="005629D6">
        <w:rPr>
          <w:rFonts w:ascii="Calibri" w:hAnsi="Calibri" w:cs="Calibri"/>
          <w:i/>
          <w:iCs/>
          <w:noProof/>
          <w:sz w:val="22"/>
        </w:rPr>
        <w:t>0041</w:t>
      </w:r>
      <w:r w:rsidRPr="005629D6">
        <w:rPr>
          <w:rFonts w:ascii="Calibri" w:hAnsi="Calibri" w:cs="Calibri"/>
          <w:noProof/>
          <w:sz w:val="22"/>
        </w:rPr>
        <w:t xml:space="preserve"> (0), 2020.08.24.264408.</w:t>
      </w:r>
    </w:p>
    <w:p w14:paraId="4F62DA1B"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(36) </w:t>
      </w:r>
      <w:r w:rsidRPr="005629D6">
        <w:rPr>
          <w:rFonts w:ascii="Calibri" w:hAnsi="Calibri" w:cs="Calibri"/>
          <w:noProof/>
          <w:sz w:val="22"/>
        </w:rPr>
        <w:tab/>
        <w:t xml:space="preserve">Yang, J.; Anishchenko, I.; Park, H.; Peng, Z.; Ovchinnikov, S.; Baker, D. Improved Protein Structure Prediction Using Predicted Interresidue Orientations. </w:t>
      </w:r>
      <w:r w:rsidRPr="005629D6">
        <w:rPr>
          <w:rFonts w:ascii="Calibri" w:hAnsi="Calibri" w:cs="Calibri"/>
          <w:i/>
          <w:iCs/>
          <w:noProof/>
          <w:sz w:val="22"/>
        </w:rPr>
        <w:t>Proc. Natl. Acad. Sci. U. S. A.</w:t>
      </w:r>
      <w:r w:rsidRPr="005629D6">
        <w:rPr>
          <w:rFonts w:ascii="Calibri" w:hAnsi="Calibri" w:cs="Calibri"/>
          <w:noProof/>
          <w:sz w:val="22"/>
        </w:rPr>
        <w:t xml:space="preserve"> </w:t>
      </w:r>
      <w:r w:rsidRPr="005629D6">
        <w:rPr>
          <w:rFonts w:ascii="Calibri" w:hAnsi="Calibri" w:cs="Calibri"/>
          <w:b/>
          <w:bCs/>
          <w:noProof/>
          <w:sz w:val="22"/>
        </w:rPr>
        <w:t>2020</w:t>
      </w:r>
      <w:r w:rsidRPr="005629D6">
        <w:rPr>
          <w:rFonts w:ascii="Calibri" w:hAnsi="Calibri" w:cs="Calibri"/>
          <w:noProof/>
          <w:sz w:val="22"/>
        </w:rPr>
        <w:t xml:space="preserve">, </w:t>
      </w:r>
      <w:r w:rsidRPr="005629D6">
        <w:rPr>
          <w:rFonts w:ascii="Calibri" w:hAnsi="Calibri" w:cs="Calibri"/>
          <w:i/>
          <w:iCs/>
          <w:noProof/>
          <w:sz w:val="22"/>
        </w:rPr>
        <w:t>117</w:t>
      </w:r>
      <w:r w:rsidRPr="005629D6">
        <w:rPr>
          <w:rFonts w:ascii="Calibri" w:hAnsi="Calibri" w:cs="Calibri"/>
          <w:noProof/>
          <w:sz w:val="22"/>
        </w:rPr>
        <w:t xml:space="preserve"> (3), 1496–1503. https://doi.org/10.1073/pnas.1914677117.</w:t>
      </w:r>
    </w:p>
    <w:p w14:paraId="1E561421"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(37) </w:t>
      </w:r>
      <w:r w:rsidRPr="005629D6">
        <w:rPr>
          <w:rFonts w:ascii="Calibri" w:hAnsi="Calibri" w:cs="Calibri"/>
          <w:noProof/>
          <w:sz w:val="22"/>
        </w:rPr>
        <w:tab/>
        <w:t xml:space="preserve">Zhang, R. Bin; Liu, Y.; Yan, S. C.; Wang, G. R. Identification and Functional Characterization of an Odorant Receptor in Pea Aphid, Acyrthosiphon Pisum. </w:t>
      </w:r>
      <w:r w:rsidRPr="005629D6">
        <w:rPr>
          <w:rFonts w:ascii="Calibri" w:hAnsi="Calibri" w:cs="Calibri"/>
          <w:i/>
          <w:iCs/>
          <w:noProof/>
          <w:sz w:val="22"/>
        </w:rPr>
        <w:t>Insect Sci.</w:t>
      </w:r>
      <w:r w:rsidRPr="005629D6">
        <w:rPr>
          <w:rFonts w:ascii="Calibri" w:hAnsi="Calibri" w:cs="Calibri"/>
          <w:noProof/>
          <w:sz w:val="22"/>
        </w:rPr>
        <w:t xml:space="preserve"> </w:t>
      </w:r>
      <w:r w:rsidRPr="005629D6">
        <w:rPr>
          <w:rFonts w:ascii="Calibri" w:hAnsi="Calibri" w:cs="Calibri"/>
          <w:b/>
          <w:bCs/>
          <w:noProof/>
          <w:sz w:val="22"/>
        </w:rPr>
        <w:t>2019</w:t>
      </w:r>
      <w:r w:rsidRPr="005629D6">
        <w:rPr>
          <w:rFonts w:ascii="Calibri" w:hAnsi="Calibri" w:cs="Calibri"/>
          <w:noProof/>
          <w:sz w:val="22"/>
        </w:rPr>
        <w:t xml:space="preserve">, </w:t>
      </w:r>
      <w:r w:rsidRPr="005629D6">
        <w:rPr>
          <w:rFonts w:ascii="Calibri" w:hAnsi="Calibri" w:cs="Calibri"/>
          <w:i/>
          <w:iCs/>
          <w:noProof/>
          <w:sz w:val="22"/>
        </w:rPr>
        <w:t>26</w:t>
      </w:r>
      <w:r w:rsidRPr="005629D6">
        <w:rPr>
          <w:rFonts w:ascii="Calibri" w:hAnsi="Calibri" w:cs="Calibri"/>
          <w:noProof/>
          <w:sz w:val="22"/>
        </w:rPr>
        <w:t xml:space="preserve"> (1), 58–67. https://doi.org/10.1111/1744-7917.12510.</w:t>
      </w:r>
    </w:p>
    <w:p w14:paraId="674EF30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(38) </w:t>
      </w:r>
      <w:r w:rsidRPr="005629D6">
        <w:rPr>
          <w:rFonts w:ascii="Calibri" w:hAnsi="Calibri" w:cs="Calibri"/>
          <w:noProof/>
          <w:sz w:val="22"/>
        </w:rPr>
        <w:tab/>
        <w:t xml:space="preserve">Bohbot, J. D.; Pitts, R. J. The Narrowing Olfactory Landscape of Insect Odorant Receptors. </w:t>
      </w:r>
      <w:r w:rsidRPr="005629D6">
        <w:rPr>
          <w:rFonts w:ascii="Calibri" w:hAnsi="Calibri" w:cs="Calibri"/>
          <w:i/>
          <w:iCs/>
          <w:noProof/>
          <w:sz w:val="22"/>
        </w:rPr>
        <w:t>Front. Ecol. Evol.</w:t>
      </w:r>
      <w:r w:rsidRPr="005629D6">
        <w:rPr>
          <w:rFonts w:ascii="Calibri" w:hAnsi="Calibri" w:cs="Calibri"/>
          <w:noProof/>
          <w:sz w:val="22"/>
        </w:rPr>
        <w:t xml:space="preserve"> </w:t>
      </w:r>
      <w:r w:rsidRPr="005629D6">
        <w:rPr>
          <w:rFonts w:ascii="Calibri" w:hAnsi="Calibri" w:cs="Calibri"/>
          <w:b/>
          <w:bCs/>
          <w:noProof/>
          <w:sz w:val="22"/>
        </w:rPr>
        <w:t>2015</w:t>
      </w:r>
      <w:r w:rsidRPr="005629D6">
        <w:rPr>
          <w:rFonts w:ascii="Calibri" w:hAnsi="Calibri" w:cs="Calibri"/>
          <w:noProof/>
          <w:sz w:val="22"/>
        </w:rPr>
        <w:t xml:space="preserve">, </w:t>
      </w:r>
      <w:r w:rsidRPr="005629D6">
        <w:rPr>
          <w:rFonts w:ascii="Calibri" w:hAnsi="Calibri" w:cs="Calibri"/>
          <w:i/>
          <w:iCs/>
          <w:noProof/>
          <w:sz w:val="22"/>
        </w:rPr>
        <w:t>3</w:t>
      </w:r>
      <w:r w:rsidRPr="005629D6">
        <w:rPr>
          <w:rFonts w:ascii="Calibri" w:hAnsi="Calibri" w:cs="Calibri"/>
          <w:noProof/>
          <w:sz w:val="22"/>
        </w:rPr>
        <w:t xml:space="preserve"> (APR), 1–10. https://doi.org/10.3389/fevo.2015.00039.</w:t>
      </w:r>
    </w:p>
    <w:p w14:paraId="5ACF3B59"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(39) </w:t>
      </w:r>
      <w:r w:rsidRPr="005629D6">
        <w:rPr>
          <w:rFonts w:ascii="Calibri" w:hAnsi="Calibri" w:cs="Calibri"/>
          <w:noProof/>
          <w:sz w:val="22"/>
        </w:rPr>
        <w:tab/>
        <w:t xml:space="preserve">Qiao, H.; Tuccori, E.; He, X.; Gazzano, A.; Field, L.; Zhou, J. J.; Pelosi, P. Discrimination of Alarm Pheromone (E)-β-Farnesene by Aphid Odorant-Binding Proteins. </w:t>
      </w:r>
      <w:r w:rsidRPr="005629D6">
        <w:rPr>
          <w:rFonts w:ascii="Calibri" w:hAnsi="Calibri" w:cs="Calibri"/>
          <w:i/>
          <w:iCs/>
          <w:noProof/>
          <w:sz w:val="22"/>
        </w:rPr>
        <w:t>Insect Biochem. Mol. Biol.</w:t>
      </w:r>
      <w:r w:rsidRPr="005629D6">
        <w:rPr>
          <w:rFonts w:ascii="Calibri" w:hAnsi="Calibri" w:cs="Calibri"/>
          <w:noProof/>
          <w:sz w:val="22"/>
        </w:rPr>
        <w:t xml:space="preserve"> </w:t>
      </w:r>
      <w:r w:rsidRPr="005629D6">
        <w:rPr>
          <w:rFonts w:ascii="Calibri" w:hAnsi="Calibri" w:cs="Calibri"/>
          <w:b/>
          <w:bCs/>
          <w:noProof/>
          <w:sz w:val="22"/>
        </w:rPr>
        <w:t>2009</w:t>
      </w:r>
      <w:r w:rsidRPr="005629D6">
        <w:rPr>
          <w:rFonts w:ascii="Calibri" w:hAnsi="Calibri" w:cs="Calibri"/>
          <w:noProof/>
          <w:sz w:val="22"/>
        </w:rPr>
        <w:t xml:space="preserve">, </w:t>
      </w:r>
      <w:r w:rsidRPr="005629D6">
        <w:rPr>
          <w:rFonts w:ascii="Calibri" w:hAnsi="Calibri" w:cs="Calibri"/>
          <w:i/>
          <w:iCs/>
          <w:noProof/>
          <w:sz w:val="22"/>
        </w:rPr>
        <w:t>39</w:t>
      </w:r>
      <w:r w:rsidRPr="005629D6">
        <w:rPr>
          <w:rFonts w:ascii="Calibri" w:hAnsi="Calibri" w:cs="Calibri"/>
          <w:noProof/>
          <w:sz w:val="22"/>
        </w:rPr>
        <w:t xml:space="preserve"> (5–6), 414–419. https://doi.org/10.1016/j.ibmb.2009.03.004.</w:t>
      </w:r>
    </w:p>
    <w:p w14:paraId="5B24A850"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(40) </w:t>
      </w:r>
      <w:r w:rsidRPr="005629D6">
        <w:rPr>
          <w:rFonts w:ascii="Calibri" w:hAnsi="Calibri" w:cs="Calibri"/>
          <w:noProof/>
          <w:sz w:val="22"/>
        </w:rPr>
        <w:tab/>
        <w:t xml:space="preserve">Northey, T.; Venthur, H.; De Biasio, F.; Chauviac, F. X.; Cole, A.; Ribeiro, K. A. L.; Grossi, G.; Falabella, P.; Field, L. M.; Keep, N. H.; Zhou, J. J. Crystal Structures and Binding Dynamics of Odorant-Binding Protein 3 from Two Aphid Species Megoura Viciae and Nasonovia Ribisnigri. </w:t>
      </w:r>
      <w:r w:rsidRPr="005629D6">
        <w:rPr>
          <w:rFonts w:ascii="Calibri" w:hAnsi="Calibri" w:cs="Calibri"/>
          <w:i/>
          <w:iCs/>
          <w:noProof/>
          <w:sz w:val="22"/>
        </w:rPr>
        <w:t>Sci. Rep.</w:t>
      </w:r>
      <w:r w:rsidRPr="005629D6">
        <w:rPr>
          <w:rFonts w:ascii="Calibri" w:hAnsi="Calibri" w:cs="Calibri"/>
          <w:noProof/>
          <w:sz w:val="22"/>
        </w:rPr>
        <w:t xml:space="preserve"> </w:t>
      </w:r>
      <w:r w:rsidRPr="005629D6">
        <w:rPr>
          <w:rFonts w:ascii="Calibri" w:hAnsi="Calibri" w:cs="Calibri"/>
          <w:b/>
          <w:bCs/>
          <w:noProof/>
          <w:sz w:val="22"/>
        </w:rPr>
        <w:t>2016</w:t>
      </w:r>
      <w:r w:rsidRPr="005629D6">
        <w:rPr>
          <w:rFonts w:ascii="Calibri" w:hAnsi="Calibri" w:cs="Calibri"/>
          <w:noProof/>
          <w:sz w:val="22"/>
        </w:rPr>
        <w:t xml:space="preserve">, </w:t>
      </w:r>
      <w:r w:rsidRPr="005629D6">
        <w:rPr>
          <w:rFonts w:ascii="Calibri" w:hAnsi="Calibri" w:cs="Calibri"/>
          <w:i/>
          <w:iCs/>
          <w:noProof/>
          <w:sz w:val="22"/>
        </w:rPr>
        <w:t>6</w:t>
      </w:r>
      <w:r w:rsidRPr="005629D6">
        <w:rPr>
          <w:rFonts w:ascii="Calibri" w:hAnsi="Calibri" w:cs="Calibri"/>
          <w:noProof/>
          <w:sz w:val="22"/>
        </w:rPr>
        <w:t xml:space="preserve"> (April), 1–13. https://doi.org/10.1038/srep24739.</w:t>
      </w:r>
    </w:p>
    <w:p w14:paraId="2859DCE1"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(41) </w:t>
      </w:r>
      <w:r w:rsidRPr="005629D6">
        <w:rPr>
          <w:rFonts w:ascii="Calibri" w:hAnsi="Calibri" w:cs="Calibri"/>
          <w:noProof/>
          <w:sz w:val="22"/>
        </w:rPr>
        <w:tab/>
        <w:t xml:space="preserve">Sun, Y. F.; de Biasio, F.; Qiao, H. L.; Iovinella, I.; Yang, S. X.; Ling, Y.; Riviello, L.; Battaglia, D.; Falabella, P.; Yang, X. L.; Pelosi, P. Two Odorant-Binding Proteins Mediate the Behavioural Response of Aphids to the Alarm Pheromone (e)-ß-Farnesene and Structural Analogues. </w:t>
      </w:r>
      <w:r w:rsidRPr="005629D6">
        <w:rPr>
          <w:rFonts w:ascii="Calibri" w:hAnsi="Calibri" w:cs="Calibri"/>
          <w:i/>
          <w:iCs/>
          <w:noProof/>
          <w:sz w:val="22"/>
        </w:rPr>
        <w:t>PLoS One</w:t>
      </w:r>
      <w:r w:rsidRPr="005629D6">
        <w:rPr>
          <w:rFonts w:ascii="Calibri" w:hAnsi="Calibri" w:cs="Calibri"/>
          <w:noProof/>
          <w:sz w:val="22"/>
        </w:rPr>
        <w:t xml:space="preserve"> </w:t>
      </w:r>
      <w:r w:rsidRPr="005629D6">
        <w:rPr>
          <w:rFonts w:ascii="Calibri" w:hAnsi="Calibri" w:cs="Calibri"/>
          <w:b/>
          <w:bCs/>
          <w:noProof/>
          <w:sz w:val="22"/>
        </w:rPr>
        <w:t>2012</w:t>
      </w:r>
      <w:r w:rsidRPr="005629D6">
        <w:rPr>
          <w:rFonts w:ascii="Calibri" w:hAnsi="Calibri" w:cs="Calibri"/>
          <w:noProof/>
          <w:sz w:val="22"/>
        </w:rPr>
        <w:t xml:space="preserve">, </w:t>
      </w:r>
      <w:r w:rsidRPr="005629D6">
        <w:rPr>
          <w:rFonts w:ascii="Calibri" w:hAnsi="Calibri" w:cs="Calibri"/>
          <w:i/>
          <w:iCs/>
          <w:noProof/>
          <w:sz w:val="22"/>
        </w:rPr>
        <w:t>7</w:t>
      </w:r>
      <w:r w:rsidRPr="005629D6">
        <w:rPr>
          <w:rFonts w:ascii="Calibri" w:hAnsi="Calibri" w:cs="Calibri"/>
          <w:noProof/>
          <w:sz w:val="22"/>
        </w:rPr>
        <w:t xml:space="preserve"> (3), 1–10. https://doi.org/10.1371/journal.pone.0032759.</w:t>
      </w:r>
    </w:p>
    <w:p w14:paraId="1A7B7916"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(42) </w:t>
      </w:r>
      <w:r w:rsidRPr="005629D6">
        <w:rPr>
          <w:rFonts w:ascii="Calibri" w:hAnsi="Calibri" w:cs="Calibri"/>
          <w:noProof/>
          <w:sz w:val="22"/>
        </w:rPr>
        <w:tab/>
        <w:t xml:space="preserve">Heringa, J. Two Strategies for Sequence Comparison: Profile-Preprocessed and Secondary Structure-Induced Multiple Alignment. </w:t>
      </w:r>
      <w:r w:rsidRPr="005629D6">
        <w:rPr>
          <w:rFonts w:ascii="Calibri" w:hAnsi="Calibri" w:cs="Calibri"/>
          <w:i/>
          <w:iCs/>
          <w:noProof/>
          <w:sz w:val="22"/>
        </w:rPr>
        <w:t>Comput. Chem.</w:t>
      </w:r>
      <w:r w:rsidRPr="005629D6">
        <w:rPr>
          <w:rFonts w:ascii="Calibri" w:hAnsi="Calibri" w:cs="Calibri"/>
          <w:noProof/>
          <w:sz w:val="22"/>
        </w:rPr>
        <w:t xml:space="preserve"> </w:t>
      </w:r>
      <w:r w:rsidRPr="005629D6">
        <w:rPr>
          <w:rFonts w:ascii="Calibri" w:hAnsi="Calibri" w:cs="Calibri"/>
          <w:b/>
          <w:bCs/>
          <w:noProof/>
          <w:sz w:val="22"/>
        </w:rPr>
        <w:t>1999</w:t>
      </w:r>
      <w:r w:rsidRPr="005629D6">
        <w:rPr>
          <w:rFonts w:ascii="Calibri" w:hAnsi="Calibri" w:cs="Calibri"/>
          <w:noProof/>
          <w:sz w:val="22"/>
        </w:rPr>
        <w:t xml:space="preserve">, </w:t>
      </w:r>
      <w:r w:rsidRPr="005629D6">
        <w:rPr>
          <w:rFonts w:ascii="Calibri" w:hAnsi="Calibri" w:cs="Calibri"/>
          <w:i/>
          <w:iCs/>
          <w:noProof/>
          <w:sz w:val="22"/>
        </w:rPr>
        <w:t>23</w:t>
      </w:r>
      <w:r w:rsidRPr="005629D6">
        <w:rPr>
          <w:rFonts w:ascii="Calibri" w:hAnsi="Calibri" w:cs="Calibri"/>
          <w:noProof/>
          <w:sz w:val="22"/>
        </w:rPr>
        <w:t>, 341–364.</w:t>
      </w:r>
    </w:p>
    <w:p w14:paraId="0DE0F033"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(43) </w:t>
      </w:r>
      <w:r w:rsidRPr="005629D6">
        <w:rPr>
          <w:rFonts w:ascii="Calibri" w:hAnsi="Calibri" w:cs="Calibri"/>
          <w:noProof/>
          <w:sz w:val="22"/>
        </w:rPr>
        <w:tab/>
        <w:t>Pirovano, W.; Feenstra, K. A.; Heringa, J. PRALINE</w:t>
      </w:r>
      <w:r w:rsidRPr="005629D6">
        <w:rPr>
          <w:rFonts w:ascii="Calibri" w:hAnsi="Calibri" w:cs="Calibri"/>
          <w:noProof/>
          <w:sz w:val="22"/>
          <w:vertAlign w:val="superscript"/>
        </w:rPr>
        <w:t>TM</w:t>
      </w:r>
      <w:r w:rsidRPr="005629D6">
        <w:rPr>
          <w:rFonts w:ascii="Calibri" w:hAnsi="Calibri" w:cs="Calibri"/>
          <w:noProof/>
          <w:sz w:val="22"/>
        </w:rPr>
        <w:t xml:space="preserve">: A Strategy for Improved Multiple Alignment of Transmembrane Proteins. </w:t>
      </w:r>
      <w:r w:rsidRPr="005629D6">
        <w:rPr>
          <w:rFonts w:ascii="Calibri" w:hAnsi="Calibri" w:cs="Calibri"/>
          <w:i/>
          <w:iCs/>
          <w:noProof/>
          <w:sz w:val="22"/>
        </w:rPr>
        <w:t>Bioinformatics</w:t>
      </w:r>
      <w:r w:rsidRPr="005629D6">
        <w:rPr>
          <w:rFonts w:ascii="Calibri" w:hAnsi="Calibri" w:cs="Calibri"/>
          <w:noProof/>
          <w:sz w:val="22"/>
        </w:rPr>
        <w:t xml:space="preserve"> </w:t>
      </w:r>
      <w:r w:rsidRPr="005629D6">
        <w:rPr>
          <w:rFonts w:ascii="Calibri" w:hAnsi="Calibri" w:cs="Calibri"/>
          <w:b/>
          <w:bCs/>
          <w:noProof/>
          <w:sz w:val="22"/>
        </w:rPr>
        <w:t>2008</w:t>
      </w:r>
      <w:r w:rsidRPr="005629D6">
        <w:rPr>
          <w:rFonts w:ascii="Calibri" w:hAnsi="Calibri" w:cs="Calibri"/>
          <w:noProof/>
          <w:sz w:val="22"/>
        </w:rPr>
        <w:t xml:space="preserve">, </w:t>
      </w:r>
      <w:r w:rsidRPr="005629D6">
        <w:rPr>
          <w:rFonts w:ascii="Calibri" w:hAnsi="Calibri" w:cs="Calibri"/>
          <w:i/>
          <w:iCs/>
          <w:noProof/>
          <w:sz w:val="22"/>
        </w:rPr>
        <w:t>24</w:t>
      </w:r>
      <w:r w:rsidRPr="005629D6">
        <w:rPr>
          <w:rFonts w:ascii="Calibri" w:hAnsi="Calibri" w:cs="Calibri"/>
          <w:noProof/>
          <w:sz w:val="22"/>
        </w:rPr>
        <w:t xml:space="preserve"> (4), 492–497. https://doi.org/10.1093/bioinformatics/btm636.</w:t>
      </w:r>
    </w:p>
    <w:p w14:paraId="096B98A4"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(44) </w:t>
      </w:r>
      <w:r w:rsidRPr="005629D6">
        <w:rPr>
          <w:rFonts w:ascii="Calibri" w:hAnsi="Calibri" w:cs="Calibri"/>
          <w:noProof/>
          <w:sz w:val="22"/>
        </w:rPr>
        <w:tab/>
        <w:t xml:space="preserve">Hofmann, K.; Stoffel, W. TMbase - A Database of Membrane Spanning Proteins Segments. </w:t>
      </w:r>
      <w:r w:rsidRPr="005629D6">
        <w:rPr>
          <w:rFonts w:ascii="Calibri" w:hAnsi="Calibri" w:cs="Calibri"/>
          <w:i/>
          <w:iCs/>
          <w:noProof/>
          <w:sz w:val="22"/>
        </w:rPr>
        <w:t>Biol. Chem.</w:t>
      </w:r>
      <w:r w:rsidRPr="005629D6">
        <w:rPr>
          <w:rFonts w:ascii="Calibri" w:hAnsi="Calibri" w:cs="Calibri"/>
          <w:noProof/>
          <w:sz w:val="22"/>
        </w:rPr>
        <w:t xml:space="preserve"> </w:t>
      </w:r>
      <w:r w:rsidRPr="005629D6">
        <w:rPr>
          <w:rFonts w:ascii="Calibri" w:hAnsi="Calibri" w:cs="Calibri"/>
          <w:b/>
          <w:bCs/>
          <w:noProof/>
          <w:sz w:val="22"/>
        </w:rPr>
        <w:t>1993</w:t>
      </w:r>
      <w:r w:rsidRPr="005629D6">
        <w:rPr>
          <w:rFonts w:ascii="Calibri" w:hAnsi="Calibri" w:cs="Calibri"/>
          <w:noProof/>
          <w:sz w:val="22"/>
        </w:rPr>
        <w:t>.</w:t>
      </w:r>
    </w:p>
    <w:p w14:paraId="7FCB8352"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(45) </w:t>
      </w:r>
      <w:r w:rsidRPr="005629D6">
        <w:rPr>
          <w:rFonts w:ascii="Calibri" w:hAnsi="Calibri" w:cs="Calibri"/>
          <w:noProof/>
          <w:sz w:val="22"/>
        </w:rPr>
        <w:tab/>
        <w:t xml:space="preserve">Tusnady, G. E.; Simon, I. The HMMTOP Transmembrane Topology Prediction Server. </w:t>
      </w:r>
      <w:r w:rsidRPr="005629D6">
        <w:rPr>
          <w:rFonts w:ascii="Calibri" w:hAnsi="Calibri" w:cs="Calibri"/>
          <w:i/>
          <w:iCs/>
          <w:noProof/>
          <w:sz w:val="22"/>
        </w:rPr>
        <w:t>Bioinformatics</w:t>
      </w:r>
      <w:r w:rsidRPr="005629D6">
        <w:rPr>
          <w:rFonts w:ascii="Calibri" w:hAnsi="Calibri" w:cs="Calibri"/>
          <w:noProof/>
          <w:sz w:val="22"/>
        </w:rPr>
        <w:t xml:space="preserve"> </w:t>
      </w:r>
      <w:r w:rsidRPr="005629D6">
        <w:rPr>
          <w:rFonts w:ascii="Calibri" w:hAnsi="Calibri" w:cs="Calibri"/>
          <w:b/>
          <w:bCs/>
          <w:noProof/>
          <w:sz w:val="22"/>
        </w:rPr>
        <w:t>2001</w:t>
      </w:r>
      <w:r w:rsidRPr="005629D6">
        <w:rPr>
          <w:rFonts w:ascii="Calibri" w:hAnsi="Calibri" w:cs="Calibri"/>
          <w:noProof/>
          <w:sz w:val="22"/>
        </w:rPr>
        <w:t xml:space="preserve">, </w:t>
      </w:r>
      <w:r w:rsidRPr="005629D6">
        <w:rPr>
          <w:rFonts w:ascii="Calibri" w:hAnsi="Calibri" w:cs="Calibri"/>
          <w:i/>
          <w:iCs/>
          <w:noProof/>
          <w:sz w:val="22"/>
        </w:rPr>
        <w:t>17</w:t>
      </w:r>
      <w:r w:rsidRPr="005629D6">
        <w:rPr>
          <w:rFonts w:ascii="Calibri" w:hAnsi="Calibri" w:cs="Calibri"/>
          <w:noProof/>
          <w:sz w:val="22"/>
        </w:rPr>
        <w:t>, 849–850.</w:t>
      </w:r>
    </w:p>
    <w:p w14:paraId="3D79E663"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(46) </w:t>
      </w:r>
      <w:r w:rsidRPr="005629D6">
        <w:rPr>
          <w:rFonts w:ascii="Calibri" w:hAnsi="Calibri" w:cs="Calibri"/>
          <w:noProof/>
          <w:sz w:val="22"/>
        </w:rPr>
        <w:tab/>
        <w:t xml:space="preserve">Käll, L.; Krogh, A.; Sonnhammer, E. L. L. A Combined Transmembrane Topology and Signal </w:t>
      </w:r>
      <w:r w:rsidRPr="005629D6">
        <w:rPr>
          <w:rFonts w:ascii="Calibri" w:hAnsi="Calibri" w:cs="Calibri"/>
          <w:noProof/>
          <w:sz w:val="22"/>
        </w:rPr>
        <w:lastRenderedPageBreak/>
        <w:t xml:space="preserve">Peptide Prediction Method. </w:t>
      </w:r>
      <w:r w:rsidRPr="005629D6">
        <w:rPr>
          <w:rFonts w:ascii="Calibri" w:hAnsi="Calibri" w:cs="Calibri"/>
          <w:i/>
          <w:iCs/>
          <w:noProof/>
          <w:sz w:val="22"/>
        </w:rPr>
        <w:t>J. Mol. Biol.</w:t>
      </w:r>
      <w:r w:rsidRPr="005629D6">
        <w:rPr>
          <w:rFonts w:ascii="Calibri" w:hAnsi="Calibri" w:cs="Calibri"/>
          <w:noProof/>
          <w:sz w:val="22"/>
        </w:rPr>
        <w:t xml:space="preserve"> </w:t>
      </w:r>
      <w:r w:rsidRPr="005629D6">
        <w:rPr>
          <w:rFonts w:ascii="Calibri" w:hAnsi="Calibri" w:cs="Calibri"/>
          <w:b/>
          <w:bCs/>
          <w:noProof/>
          <w:sz w:val="22"/>
        </w:rPr>
        <w:t>2004</w:t>
      </w:r>
      <w:r w:rsidRPr="005629D6">
        <w:rPr>
          <w:rFonts w:ascii="Calibri" w:hAnsi="Calibri" w:cs="Calibri"/>
          <w:noProof/>
          <w:sz w:val="22"/>
        </w:rPr>
        <w:t xml:space="preserve">, </w:t>
      </w:r>
      <w:r w:rsidRPr="005629D6">
        <w:rPr>
          <w:rFonts w:ascii="Calibri" w:hAnsi="Calibri" w:cs="Calibri"/>
          <w:i/>
          <w:iCs/>
          <w:noProof/>
          <w:sz w:val="22"/>
        </w:rPr>
        <w:t>338</w:t>
      </w:r>
      <w:r w:rsidRPr="005629D6">
        <w:rPr>
          <w:rFonts w:ascii="Calibri" w:hAnsi="Calibri" w:cs="Calibri"/>
          <w:noProof/>
          <w:sz w:val="22"/>
        </w:rPr>
        <w:t xml:space="preserve"> (5), 1027–1036.</w:t>
      </w:r>
    </w:p>
    <w:p w14:paraId="088838B6"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(47) </w:t>
      </w:r>
      <w:r w:rsidRPr="005629D6">
        <w:rPr>
          <w:rFonts w:ascii="Calibri" w:hAnsi="Calibri" w:cs="Calibri"/>
          <w:noProof/>
          <w:sz w:val="22"/>
        </w:rPr>
        <w:tab/>
        <w:t xml:space="preserve">Krogh, A.; Larsson, G.; von Heijne, G.; Sonnhammer, E. L. L. Predicting Transmembrane Protein Topology with a Hidden Markov Model: Application to Complete Genomes. </w:t>
      </w:r>
      <w:r w:rsidRPr="005629D6">
        <w:rPr>
          <w:rFonts w:ascii="Calibri" w:hAnsi="Calibri" w:cs="Calibri"/>
          <w:i/>
          <w:iCs/>
          <w:noProof/>
          <w:sz w:val="22"/>
        </w:rPr>
        <w:t>J. Mol. Biol.</w:t>
      </w:r>
      <w:r w:rsidRPr="005629D6">
        <w:rPr>
          <w:rFonts w:ascii="Calibri" w:hAnsi="Calibri" w:cs="Calibri"/>
          <w:noProof/>
          <w:sz w:val="22"/>
        </w:rPr>
        <w:t xml:space="preserve"> </w:t>
      </w:r>
      <w:r w:rsidRPr="005629D6">
        <w:rPr>
          <w:rFonts w:ascii="Calibri" w:hAnsi="Calibri" w:cs="Calibri"/>
          <w:b/>
          <w:bCs/>
          <w:noProof/>
          <w:sz w:val="22"/>
        </w:rPr>
        <w:t>2001</w:t>
      </w:r>
      <w:r w:rsidRPr="005629D6">
        <w:rPr>
          <w:rFonts w:ascii="Calibri" w:hAnsi="Calibri" w:cs="Calibri"/>
          <w:noProof/>
          <w:sz w:val="22"/>
        </w:rPr>
        <w:t xml:space="preserve">, </w:t>
      </w:r>
      <w:r w:rsidRPr="005629D6">
        <w:rPr>
          <w:rFonts w:ascii="Calibri" w:hAnsi="Calibri" w:cs="Calibri"/>
          <w:i/>
          <w:iCs/>
          <w:noProof/>
          <w:sz w:val="22"/>
        </w:rPr>
        <w:t>305</w:t>
      </w:r>
      <w:r w:rsidRPr="005629D6">
        <w:rPr>
          <w:rFonts w:ascii="Calibri" w:hAnsi="Calibri" w:cs="Calibri"/>
          <w:noProof/>
          <w:sz w:val="22"/>
        </w:rPr>
        <w:t xml:space="preserve"> (3), 567–580.</w:t>
      </w:r>
    </w:p>
    <w:p w14:paraId="6CF4624D"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(48) </w:t>
      </w:r>
      <w:r w:rsidRPr="005629D6">
        <w:rPr>
          <w:rFonts w:ascii="Calibri" w:hAnsi="Calibri" w:cs="Calibri"/>
          <w:noProof/>
          <w:sz w:val="22"/>
        </w:rPr>
        <w:tab/>
        <w:t>GeneDoc https://genedoc.software.informer.com/2.7/.</w:t>
      </w:r>
    </w:p>
    <w:p w14:paraId="766C090C"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(49) </w:t>
      </w:r>
      <w:r w:rsidRPr="005629D6">
        <w:rPr>
          <w:rFonts w:ascii="Calibri" w:hAnsi="Calibri" w:cs="Calibri"/>
          <w:noProof/>
          <w:sz w:val="22"/>
        </w:rPr>
        <w:tab/>
        <w:t>FigTree http://tree.bio.ed.ac.uk/software/figtree/.</w:t>
      </w:r>
    </w:p>
    <w:p w14:paraId="29A412E9"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(50) </w:t>
      </w:r>
      <w:r w:rsidRPr="005629D6">
        <w:rPr>
          <w:rFonts w:ascii="Calibri" w:hAnsi="Calibri" w:cs="Calibri"/>
          <w:noProof/>
          <w:sz w:val="22"/>
        </w:rPr>
        <w:tab/>
        <w:t xml:space="preserve">Webb, B.; Sali, A. Comparative Protein Structure Modeling Using MODELLER. </w:t>
      </w:r>
      <w:r w:rsidRPr="005629D6">
        <w:rPr>
          <w:rFonts w:ascii="Calibri" w:hAnsi="Calibri" w:cs="Calibri"/>
          <w:i/>
          <w:iCs/>
          <w:noProof/>
          <w:sz w:val="22"/>
        </w:rPr>
        <w:t>Curr. Protoc. Bioinforma.</w:t>
      </w:r>
      <w:r w:rsidRPr="005629D6">
        <w:rPr>
          <w:rFonts w:ascii="Calibri" w:hAnsi="Calibri" w:cs="Calibri"/>
          <w:noProof/>
          <w:sz w:val="22"/>
        </w:rPr>
        <w:t xml:space="preserve"> </w:t>
      </w:r>
      <w:r w:rsidRPr="005629D6">
        <w:rPr>
          <w:rFonts w:ascii="Calibri" w:hAnsi="Calibri" w:cs="Calibri"/>
          <w:b/>
          <w:bCs/>
          <w:noProof/>
          <w:sz w:val="22"/>
        </w:rPr>
        <w:t>2017</w:t>
      </w:r>
      <w:r w:rsidRPr="005629D6">
        <w:rPr>
          <w:rFonts w:ascii="Calibri" w:hAnsi="Calibri" w:cs="Calibri"/>
          <w:noProof/>
          <w:sz w:val="22"/>
        </w:rPr>
        <w:t xml:space="preserve">, </w:t>
      </w:r>
      <w:r w:rsidRPr="005629D6">
        <w:rPr>
          <w:rFonts w:ascii="Calibri" w:hAnsi="Calibri" w:cs="Calibri"/>
          <w:i/>
          <w:iCs/>
          <w:noProof/>
          <w:sz w:val="22"/>
        </w:rPr>
        <w:t>54</w:t>
      </w:r>
      <w:r w:rsidRPr="005629D6">
        <w:rPr>
          <w:rFonts w:ascii="Calibri" w:hAnsi="Calibri" w:cs="Calibri"/>
          <w:noProof/>
          <w:sz w:val="22"/>
        </w:rPr>
        <w:t xml:space="preserve"> (5.6), 1–37. https://doi.org/doi:10.1002/cpbi.3.</w:t>
      </w:r>
    </w:p>
    <w:p w14:paraId="167650BC"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(51) </w:t>
      </w:r>
      <w:r w:rsidRPr="005629D6">
        <w:rPr>
          <w:rFonts w:ascii="Calibri" w:hAnsi="Calibri" w:cs="Calibri"/>
          <w:noProof/>
          <w:sz w:val="22"/>
        </w:rPr>
        <w:tab/>
        <w:t xml:space="preserve">Pandit, S. B.; Zhang, Y.; Skolnick, J. TASSER-Lite: An Automated Tool for Protein Comparative Modeling. </w:t>
      </w:r>
      <w:r w:rsidRPr="005629D6">
        <w:rPr>
          <w:rFonts w:ascii="Calibri" w:hAnsi="Calibri" w:cs="Calibri"/>
          <w:i/>
          <w:iCs/>
          <w:noProof/>
          <w:sz w:val="22"/>
        </w:rPr>
        <w:t>Biophys. J.</w:t>
      </w:r>
      <w:r w:rsidRPr="005629D6">
        <w:rPr>
          <w:rFonts w:ascii="Calibri" w:hAnsi="Calibri" w:cs="Calibri"/>
          <w:noProof/>
          <w:sz w:val="22"/>
        </w:rPr>
        <w:t xml:space="preserve"> </w:t>
      </w:r>
      <w:r w:rsidRPr="005629D6">
        <w:rPr>
          <w:rFonts w:ascii="Calibri" w:hAnsi="Calibri" w:cs="Calibri"/>
          <w:b/>
          <w:bCs/>
          <w:noProof/>
          <w:sz w:val="22"/>
        </w:rPr>
        <w:t>2006</w:t>
      </w:r>
      <w:r w:rsidRPr="005629D6">
        <w:rPr>
          <w:rFonts w:ascii="Calibri" w:hAnsi="Calibri" w:cs="Calibri"/>
          <w:noProof/>
          <w:sz w:val="22"/>
        </w:rPr>
        <w:t xml:space="preserve">, </w:t>
      </w:r>
      <w:r w:rsidRPr="005629D6">
        <w:rPr>
          <w:rFonts w:ascii="Calibri" w:hAnsi="Calibri" w:cs="Calibri"/>
          <w:i/>
          <w:iCs/>
          <w:noProof/>
          <w:sz w:val="22"/>
        </w:rPr>
        <w:t>91</w:t>
      </w:r>
      <w:r w:rsidRPr="005629D6">
        <w:rPr>
          <w:rFonts w:ascii="Calibri" w:hAnsi="Calibri" w:cs="Calibri"/>
          <w:noProof/>
          <w:sz w:val="22"/>
        </w:rPr>
        <w:t xml:space="preserve"> (11), 4180–4190. https://doi.org/10.1529/biophysj.106.084293.</w:t>
      </w:r>
    </w:p>
    <w:p w14:paraId="5403F8D7"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(52) </w:t>
      </w:r>
      <w:r w:rsidRPr="005629D6">
        <w:rPr>
          <w:rFonts w:ascii="Calibri" w:hAnsi="Calibri" w:cs="Calibri"/>
          <w:noProof/>
          <w:sz w:val="22"/>
        </w:rPr>
        <w:tab/>
        <w:t xml:space="preserve">Ritchie, D. W.; Grudinin, S. Spherical Polar Fourier Assembly of Protein Complexes with Arbitrary Point Group Symmetry. </w:t>
      </w:r>
      <w:r w:rsidRPr="005629D6">
        <w:rPr>
          <w:rFonts w:ascii="Calibri" w:hAnsi="Calibri" w:cs="Calibri"/>
          <w:i/>
          <w:iCs/>
          <w:noProof/>
          <w:sz w:val="22"/>
        </w:rPr>
        <w:t>J. Appl. Crystallogr.</w:t>
      </w:r>
      <w:r w:rsidRPr="005629D6">
        <w:rPr>
          <w:rFonts w:ascii="Calibri" w:hAnsi="Calibri" w:cs="Calibri"/>
          <w:noProof/>
          <w:sz w:val="22"/>
        </w:rPr>
        <w:t xml:space="preserve"> </w:t>
      </w:r>
      <w:r w:rsidRPr="005629D6">
        <w:rPr>
          <w:rFonts w:ascii="Calibri" w:hAnsi="Calibri" w:cs="Calibri"/>
          <w:b/>
          <w:bCs/>
          <w:noProof/>
          <w:sz w:val="22"/>
        </w:rPr>
        <w:t>2016</w:t>
      </w:r>
      <w:r w:rsidRPr="005629D6">
        <w:rPr>
          <w:rFonts w:ascii="Calibri" w:hAnsi="Calibri" w:cs="Calibri"/>
          <w:noProof/>
          <w:sz w:val="22"/>
        </w:rPr>
        <w:t xml:space="preserve">, </w:t>
      </w:r>
      <w:r w:rsidRPr="005629D6">
        <w:rPr>
          <w:rFonts w:ascii="Calibri" w:hAnsi="Calibri" w:cs="Calibri"/>
          <w:i/>
          <w:iCs/>
          <w:noProof/>
          <w:sz w:val="22"/>
        </w:rPr>
        <w:t>49</w:t>
      </w:r>
      <w:r w:rsidRPr="005629D6">
        <w:rPr>
          <w:rFonts w:ascii="Calibri" w:hAnsi="Calibri" w:cs="Calibri"/>
          <w:noProof/>
          <w:sz w:val="22"/>
        </w:rPr>
        <w:t>, 158–167. https://doi.org/10.1107/S1600576715022931.</w:t>
      </w:r>
    </w:p>
    <w:p w14:paraId="376E20F4"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(53) </w:t>
      </w:r>
      <w:r w:rsidRPr="005629D6">
        <w:rPr>
          <w:rFonts w:ascii="Calibri" w:hAnsi="Calibri" w:cs="Calibri"/>
          <w:noProof/>
          <w:sz w:val="22"/>
        </w:rPr>
        <w:tab/>
        <w:t>Schrödinger, L. The PyMOL Molecular Graphics System. 2015.</w:t>
      </w:r>
    </w:p>
    <w:p w14:paraId="16F30A1C"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(54) </w:t>
      </w:r>
      <w:r w:rsidRPr="005629D6">
        <w:rPr>
          <w:rFonts w:ascii="Calibri" w:hAnsi="Calibri" w:cs="Calibri"/>
          <w:noProof/>
          <w:sz w:val="22"/>
        </w:rPr>
        <w:tab/>
        <w:t xml:space="preserve">Jumper, J.; Evans, R.; Pritzel, A.; Green, T.; Figurnov, M.; Ronneberger, O.; Tunyasuvunakool, K.; Bates, R.; Žídek, A.; Potapenko, A.; Bridgland, A.; Meyer, C.; Kohl, S. A. A.; Ballard, A. J.; Cowie, A.; Romera-Paredes, B.; Nikolov, S.; Jain, R.; Adler, J.; Back, T.; Petersen, S.; Reiman, D.; Clancy, E.; Zielinski, M.; Steinegger, M.; Pacholska, M.; Berghammer, T.; Bodenstein, S.; Silver, D.; Vinyals, O.; Senior, A. W.; Kavukcuoglu, K.; Kohli, P.; Hassabis, D. Highly Accurate Protein Structure Prediction with AlphaFold. </w:t>
      </w:r>
      <w:r w:rsidRPr="005629D6">
        <w:rPr>
          <w:rFonts w:ascii="Calibri" w:hAnsi="Calibri" w:cs="Calibri"/>
          <w:i/>
          <w:iCs/>
          <w:noProof/>
          <w:sz w:val="22"/>
        </w:rPr>
        <w:t>Nature</w:t>
      </w:r>
      <w:r w:rsidRPr="005629D6">
        <w:rPr>
          <w:rFonts w:ascii="Calibri" w:hAnsi="Calibri" w:cs="Calibri"/>
          <w:noProof/>
          <w:sz w:val="22"/>
        </w:rPr>
        <w:t xml:space="preserve"> </w:t>
      </w:r>
      <w:r w:rsidRPr="005629D6">
        <w:rPr>
          <w:rFonts w:ascii="Calibri" w:hAnsi="Calibri" w:cs="Calibri"/>
          <w:b/>
          <w:bCs/>
          <w:noProof/>
          <w:sz w:val="22"/>
        </w:rPr>
        <w:t>2021</w:t>
      </w:r>
      <w:r w:rsidRPr="005629D6">
        <w:rPr>
          <w:rFonts w:ascii="Calibri" w:hAnsi="Calibri" w:cs="Calibri"/>
          <w:noProof/>
          <w:sz w:val="22"/>
        </w:rPr>
        <w:t xml:space="preserve">, </w:t>
      </w:r>
      <w:r w:rsidRPr="005629D6">
        <w:rPr>
          <w:rFonts w:ascii="Calibri" w:hAnsi="Calibri" w:cs="Calibri"/>
          <w:i/>
          <w:iCs/>
          <w:noProof/>
          <w:sz w:val="22"/>
        </w:rPr>
        <w:t>596</w:t>
      </w:r>
      <w:r w:rsidRPr="005629D6">
        <w:rPr>
          <w:rFonts w:ascii="Calibri" w:hAnsi="Calibri" w:cs="Calibri"/>
          <w:noProof/>
          <w:sz w:val="22"/>
        </w:rPr>
        <w:t xml:space="preserve"> (August). https://doi.org/10.1038/s41586-021-03819-2.</w:t>
      </w:r>
    </w:p>
    <w:p w14:paraId="04D78302"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(55) </w:t>
      </w:r>
      <w:r w:rsidRPr="005629D6">
        <w:rPr>
          <w:rFonts w:ascii="Calibri" w:hAnsi="Calibri" w:cs="Calibri"/>
          <w:noProof/>
          <w:sz w:val="22"/>
        </w:rPr>
        <w:tab/>
        <w:t xml:space="preserve">Van Der Spoel, D.; Lindahl, E.; Hess, B.; Groenhof, G.; Mark, A. E.; Berendsen, H. J. C. GROMACS: Fast, Flexible, and Free. </w:t>
      </w:r>
      <w:r w:rsidRPr="005629D6">
        <w:rPr>
          <w:rFonts w:ascii="Calibri" w:hAnsi="Calibri" w:cs="Calibri"/>
          <w:i/>
          <w:iCs/>
          <w:noProof/>
          <w:sz w:val="22"/>
        </w:rPr>
        <w:t>J. Comput. Chem.</w:t>
      </w:r>
      <w:r w:rsidRPr="005629D6">
        <w:rPr>
          <w:rFonts w:ascii="Calibri" w:hAnsi="Calibri" w:cs="Calibri"/>
          <w:noProof/>
          <w:sz w:val="22"/>
        </w:rPr>
        <w:t xml:space="preserve"> </w:t>
      </w:r>
      <w:r w:rsidRPr="005629D6">
        <w:rPr>
          <w:rFonts w:ascii="Calibri" w:hAnsi="Calibri" w:cs="Calibri"/>
          <w:b/>
          <w:bCs/>
          <w:noProof/>
          <w:sz w:val="22"/>
        </w:rPr>
        <w:t>2005</w:t>
      </w:r>
      <w:r w:rsidRPr="005629D6">
        <w:rPr>
          <w:rFonts w:ascii="Calibri" w:hAnsi="Calibri" w:cs="Calibri"/>
          <w:noProof/>
          <w:sz w:val="22"/>
        </w:rPr>
        <w:t xml:space="preserve">, </w:t>
      </w:r>
      <w:r w:rsidRPr="005629D6">
        <w:rPr>
          <w:rFonts w:ascii="Calibri" w:hAnsi="Calibri" w:cs="Calibri"/>
          <w:i/>
          <w:iCs/>
          <w:noProof/>
          <w:sz w:val="22"/>
        </w:rPr>
        <w:t>26</w:t>
      </w:r>
      <w:r w:rsidRPr="005629D6">
        <w:rPr>
          <w:rFonts w:ascii="Calibri" w:hAnsi="Calibri" w:cs="Calibri"/>
          <w:noProof/>
          <w:sz w:val="22"/>
        </w:rPr>
        <w:t xml:space="preserve"> (16), 1701–1718. https://doi.org/10.1002/jcc.20291.</w:t>
      </w:r>
    </w:p>
    <w:p w14:paraId="5AC984F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(56) </w:t>
      </w:r>
      <w:r w:rsidRPr="005629D6">
        <w:rPr>
          <w:rFonts w:ascii="Calibri" w:hAnsi="Calibri" w:cs="Calibri"/>
          <w:noProof/>
          <w:sz w:val="22"/>
        </w:rPr>
        <w:tab/>
        <w:t>Peter Tieleman. Biocomputing Group.</w:t>
      </w:r>
    </w:p>
    <w:p w14:paraId="7FFFF6FC"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(57) </w:t>
      </w:r>
      <w:r w:rsidRPr="005629D6">
        <w:rPr>
          <w:rFonts w:ascii="Calibri" w:hAnsi="Calibri" w:cs="Calibri"/>
          <w:noProof/>
          <w:sz w:val="22"/>
        </w:rPr>
        <w:tab/>
        <w:t xml:space="preserve">Chen, V. B.; Arendall, W. B.; Headd, J. J.; Keedy, D. A.; Immormino, R. M.; Kapral, G. J.; Murray, L. W.; Richardson, J. S.; Richardson, D. C. MolProbity: All-Atom Structure Validation for Macromolecular Crystallography. </w:t>
      </w:r>
      <w:r w:rsidRPr="005629D6">
        <w:rPr>
          <w:rFonts w:ascii="Calibri" w:hAnsi="Calibri" w:cs="Calibri"/>
          <w:i/>
          <w:iCs/>
          <w:noProof/>
          <w:sz w:val="22"/>
        </w:rPr>
        <w:t>Acta Crystallogr. Sect. D Biol. Crystallogr.</w:t>
      </w:r>
      <w:r w:rsidRPr="005629D6">
        <w:rPr>
          <w:rFonts w:ascii="Calibri" w:hAnsi="Calibri" w:cs="Calibri"/>
          <w:noProof/>
          <w:sz w:val="22"/>
        </w:rPr>
        <w:t xml:space="preserve"> </w:t>
      </w:r>
      <w:r w:rsidRPr="005629D6">
        <w:rPr>
          <w:rFonts w:ascii="Calibri" w:hAnsi="Calibri" w:cs="Calibri"/>
          <w:b/>
          <w:bCs/>
          <w:noProof/>
          <w:sz w:val="22"/>
        </w:rPr>
        <w:t>2010</w:t>
      </w:r>
      <w:r w:rsidRPr="005629D6">
        <w:rPr>
          <w:rFonts w:ascii="Calibri" w:hAnsi="Calibri" w:cs="Calibri"/>
          <w:noProof/>
          <w:sz w:val="22"/>
        </w:rPr>
        <w:t xml:space="preserve">, </w:t>
      </w:r>
      <w:r w:rsidRPr="005629D6">
        <w:rPr>
          <w:rFonts w:ascii="Calibri" w:hAnsi="Calibri" w:cs="Calibri"/>
          <w:i/>
          <w:iCs/>
          <w:noProof/>
          <w:sz w:val="22"/>
        </w:rPr>
        <w:t>66</w:t>
      </w:r>
      <w:r w:rsidRPr="005629D6">
        <w:rPr>
          <w:rFonts w:ascii="Calibri" w:hAnsi="Calibri" w:cs="Calibri"/>
          <w:noProof/>
          <w:sz w:val="22"/>
        </w:rPr>
        <w:t xml:space="preserve"> (1), 12–21. https://doi.org/10.1107/S0907444909042073.</w:t>
      </w:r>
    </w:p>
    <w:p w14:paraId="19B32546"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(58) </w:t>
      </w:r>
      <w:r w:rsidRPr="005629D6">
        <w:rPr>
          <w:rFonts w:ascii="Calibri" w:hAnsi="Calibri" w:cs="Calibri"/>
          <w:noProof/>
          <w:sz w:val="22"/>
        </w:rPr>
        <w:tab/>
        <w:t xml:space="preserve">Williams, C. J.; Headd, J. J.; Moriarty, N. W.; Prisant, M. G.; Videau, L. L.; Deis, L. N.; Verma, V.; Keedy, D. A.; Hintze, B. J.; Chen, V. B.; Jain, S.; Lewis, S. M.; Arendall, W. B.; Snoeyink, J.; Adams, P. D.; Lovell, S. C.; Richardson, J. S.; Richardson, D. C. MolProbity: More and Better Reference Data for Improved All-Atom Structure Validation. </w:t>
      </w:r>
      <w:r w:rsidRPr="005629D6">
        <w:rPr>
          <w:rFonts w:ascii="Calibri" w:hAnsi="Calibri" w:cs="Calibri"/>
          <w:i/>
          <w:iCs/>
          <w:noProof/>
          <w:sz w:val="22"/>
        </w:rPr>
        <w:t>Protein Sci.</w:t>
      </w:r>
      <w:r w:rsidRPr="005629D6">
        <w:rPr>
          <w:rFonts w:ascii="Calibri" w:hAnsi="Calibri" w:cs="Calibri"/>
          <w:noProof/>
          <w:sz w:val="22"/>
        </w:rPr>
        <w:t xml:space="preserve"> </w:t>
      </w:r>
      <w:r w:rsidRPr="005629D6">
        <w:rPr>
          <w:rFonts w:ascii="Calibri" w:hAnsi="Calibri" w:cs="Calibri"/>
          <w:b/>
          <w:bCs/>
          <w:noProof/>
          <w:sz w:val="22"/>
        </w:rPr>
        <w:t>2018</w:t>
      </w:r>
      <w:r w:rsidRPr="005629D6">
        <w:rPr>
          <w:rFonts w:ascii="Calibri" w:hAnsi="Calibri" w:cs="Calibri"/>
          <w:noProof/>
          <w:sz w:val="22"/>
        </w:rPr>
        <w:t xml:space="preserve">, </w:t>
      </w:r>
      <w:r w:rsidRPr="005629D6">
        <w:rPr>
          <w:rFonts w:ascii="Calibri" w:hAnsi="Calibri" w:cs="Calibri"/>
          <w:i/>
          <w:iCs/>
          <w:noProof/>
          <w:sz w:val="22"/>
        </w:rPr>
        <w:t>27</w:t>
      </w:r>
      <w:r w:rsidRPr="005629D6">
        <w:rPr>
          <w:rFonts w:ascii="Calibri" w:hAnsi="Calibri" w:cs="Calibri"/>
          <w:noProof/>
          <w:sz w:val="22"/>
        </w:rPr>
        <w:t xml:space="preserve"> (1), 293–315. https://doi.org/10.1002/pro.3330.</w:t>
      </w:r>
    </w:p>
    <w:p w14:paraId="08A9AE7F"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(59) </w:t>
      </w:r>
      <w:r w:rsidRPr="005629D6">
        <w:rPr>
          <w:rFonts w:ascii="Calibri" w:hAnsi="Calibri" w:cs="Calibri"/>
          <w:noProof/>
          <w:sz w:val="22"/>
        </w:rPr>
        <w:tab/>
        <w:t xml:space="preserve">Adams, M.; Celniker, S.; Holt, R.; Evans, C.; Gocyane, J.; Amanatides, P.; Scherer, S.; Li, P.; Hoskins, R. The Genome Sequence of Drosophila Melanogaster. </w:t>
      </w:r>
      <w:r w:rsidRPr="005629D6">
        <w:rPr>
          <w:rFonts w:ascii="Calibri" w:hAnsi="Calibri" w:cs="Calibri"/>
          <w:i/>
          <w:iCs/>
          <w:noProof/>
          <w:sz w:val="22"/>
        </w:rPr>
        <w:t>Science (80-. ).</w:t>
      </w:r>
      <w:r w:rsidRPr="005629D6">
        <w:rPr>
          <w:rFonts w:ascii="Calibri" w:hAnsi="Calibri" w:cs="Calibri"/>
          <w:noProof/>
          <w:sz w:val="22"/>
        </w:rPr>
        <w:t xml:space="preserve"> </w:t>
      </w:r>
      <w:r w:rsidRPr="005629D6">
        <w:rPr>
          <w:rFonts w:ascii="Calibri" w:hAnsi="Calibri" w:cs="Calibri"/>
          <w:b/>
          <w:bCs/>
          <w:noProof/>
          <w:sz w:val="22"/>
        </w:rPr>
        <w:t>2000</w:t>
      </w:r>
      <w:r w:rsidRPr="005629D6">
        <w:rPr>
          <w:rFonts w:ascii="Calibri" w:hAnsi="Calibri" w:cs="Calibri"/>
          <w:noProof/>
          <w:sz w:val="22"/>
        </w:rPr>
        <w:t xml:space="preserve">, </w:t>
      </w:r>
      <w:r w:rsidRPr="005629D6">
        <w:rPr>
          <w:rFonts w:ascii="Calibri" w:hAnsi="Calibri" w:cs="Calibri"/>
          <w:i/>
          <w:iCs/>
          <w:noProof/>
          <w:sz w:val="22"/>
        </w:rPr>
        <w:t>287</w:t>
      </w:r>
      <w:r w:rsidRPr="005629D6">
        <w:rPr>
          <w:rFonts w:ascii="Calibri" w:hAnsi="Calibri" w:cs="Calibri"/>
          <w:noProof/>
          <w:sz w:val="22"/>
        </w:rPr>
        <w:t xml:space="preserve"> (March), 2185–2195. https://doi.org/10.1126/science.287.5461.2185.</w:t>
      </w:r>
    </w:p>
    <w:p w14:paraId="7097FD39"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(60) </w:t>
      </w:r>
      <w:r w:rsidRPr="005629D6">
        <w:rPr>
          <w:rFonts w:ascii="Calibri" w:hAnsi="Calibri" w:cs="Calibri"/>
          <w:noProof/>
          <w:sz w:val="22"/>
        </w:rPr>
        <w:tab/>
        <w:t xml:space="preserve">Trott, O.; Olson, A. J. AutoDock Vina: Improving the Speed and Accuracy OfDocking with a New Scoring Function, EfficientOptimization, and Multithreading. </w:t>
      </w:r>
      <w:r w:rsidRPr="005629D6">
        <w:rPr>
          <w:rFonts w:ascii="Calibri" w:hAnsi="Calibri" w:cs="Calibri"/>
          <w:i/>
          <w:iCs/>
          <w:noProof/>
          <w:sz w:val="22"/>
        </w:rPr>
        <w:t>J. Comput. Chem.</w:t>
      </w:r>
      <w:r w:rsidRPr="005629D6">
        <w:rPr>
          <w:rFonts w:ascii="Calibri" w:hAnsi="Calibri" w:cs="Calibri"/>
          <w:noProof/>
          <w:sz w:val="22"/>
        </w:rPr>
        <w:t xml:space="preserve"> </w:t>
      </w:r>
      <w:r w:rsidRPr="005629D6">
        <w:rPr>
          <w:rFonts w:ascii="Calibri" w:hAnsi="Calibri" w:cs="Calibri"/>
          <w:b/>
          <w:bCs/>
          <w:noProof/>
          <w:sz w:val="22"/>
        </w:rPr>
        <w:t>2010</w:t>
      </w:r>
      <w:r w:rsidRPr="005629D6">
        <w:rPr>
          <w:rFonts w:ascii="Calibri" w:hAnsi="Calibri" w:cs="Calibri"/>
          <w:noProof/>
          <w:sz w:val="22"/>
        </w:rPr>
        <w:t xml:space="preserve">, </w:t>
      </w:r>
      <w:r w:rsidRPr="005629D6">
        <w:rPr>
          <w:rFonts w:ascii="Calibri" w:hAnsi="Calibri" w:cs="Calibri"/>
          <w:i/>
          <w:iCs/>
          <w:noProof/>
          <w:sz w:val="22"/>
        </w:rPr>
        <w:t>31</w:t>
      </w:r>
      <w:r w:rsidRPr="005629D6">
        <w:rPr>
          <w:rFonts w:ascii="Calibri" w:hAnsi="Calibri" w:cs="Calibri"/>
          <w:noProof/>
          <w:sz w:val="22"/>
        </w:rPr>
        <w:t>, 455–461. https://doi.org/DOI 10.1002/jcc.21334.</w:t>
      </w:r>
    </w:p>
    <w:p w14:paraId="11DA71AA"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(61) </w:t>
      </w:r>
      <w:r w:rsidRPr="005629D6">
        <w:rPr>
          <w:rFonts w:ascii="Calibri" w:hAnsi="Calibri" w:cs="Calibri"/>
          <w:noProof/>
          <w:sz w:val="22"/>
        </w:rPr>
        <w:tab/>
        <w:t xml:space="preserve">Madeira, F.; Park, Y. M.; Lee, J.; Buso, N.; Gur, T.; Madhusoodanan, N.; Basutkar, P.; Tivey, A. R. N.; Potter, S. C.; Finn, R. D.; Lopez, R. The EMBL-EBI Search and Sequence Analysis Tools APIs in 2019. </w:t>
      </w:r>
      <w:r w:rsidRPr="005629D6">
        <w:rPr>
          <w:rFonts w:ascii="Calibri" w:hAnsi="Calibri" w:cs="Calibri"/>
          <w:i/>
          <w:iCs/>
          <w:noProof/>
          <w:sz w:val="22"/>
        </w:rPr>
        <w:t>Nucleic Acids Res.</w:t>
      </w:r>
      <w:r w:rsidRPr="005629D6">
        <w:rPr>
          <w:rFonts w:ascii="Calibri" w:hAnsi="Calibri" w:cs="Calibri"/>
          <w:noProof/>
          <w:sz w:val="22"/>
        </w:rPr>
        <w:t xml:space="preserve"> </w:t>
      </w:r>
      <w:r w:rsidRPr="005629D6">
        <w:rPr>
          <w:rFonts w:ascii="Calibri" w:hAnsi="Calibri" w:cs="Calibri"/>
          <w:b/>
          <w:bCs/>
          <w:noProof/>
          <w:sz w:val="22"/>
        </w:rPr>
        <w:t>2019</w:t>
      </w:r>
      <w:r w:rsidRPr="005629D6">
        <w:rPr>
          <w:rFonts w:ascii="Calibri" w:hAnsi="Calibri" w:cs="Calibri"/>
          <w:noProof/>
          <w:sz w:val="22"/>
        </w:rPr>
        <w:t xml:space="preserve">, </w:t>
      </w:r>
      <w:r w:rsidRPr="005629D6">
        <w:rPr>
          <w:rFonts w:ascii="Calibri" w:hAnsi="Calibri" w:cs="Calibri"/>
          <w:i/>
          <w:iCs/>
          <w:noProof/>
          <w:sz w:val="22"/>
        </w:rPr>
        <w:t>47</w:t>
      </w:r>
      <w:r w:rsidRPr="005629D6">
        <w:rPr>
          <w:rFonts w:ascii="Calibri" w:hAnsi="Calibri" w:cs="Calibri"/>
          <w:noProof/>
          <w:sz w:val="22"/>
        </w:rPr>
        <w:t xml:space="preserve"> (W1), W636–W641. https://doi.org/10.1093/nar/gkz268.</w:t>
      </w:r>
    </w:p>
    <w:p w14:paraId="04474746"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lastRenderedPageBreak/>
        <w:t xml:space="preserve">(62) </w:t>
      </w:r>
      <w:r w:rsidRPr="005629D6">
        <w:rPr>
          <w:rFonts w:ascii="Calibri" w:hAnsi="Calibri" w:cs="Calibri"/>
          <w:noProof/>
          <w:sz w:val="22"/>
        </w:rPr>
        <w:tab/>
        <w:t xml:space="preserve">Sato, K.; Pellegrino, M.; Nakagawa, T.; Nakagawa, T.; Vosshall, L. B.; Touhara, K. Insect Olfactory Receptors Are Heteromeric Ligand-Gated Ion Channels. </w:t>
      </w:r>
      <w:r w:rsidRPr="005629D6">
        <w:rPr>
          <w:rFonts w:ascii="Calibri" w:hAnsi="Calibri" w:cs="Calibri"/>
          <w:i/>
          <w:iCs/>
          <w:noProof/>
          <w:sz w:val="22"/>
        </w:rPr>
        <w:t>Nature</w:t>
      </w:r>
      <w:r w:rsidRPr="005629D6">
        <w:rPr>
          <w:rFonts w:ascii="Calibri" w:hAnsi="Calibri" w:cs="Calibri"/>
          <w:noProof/>
          <w:sz w:val="22"/>
        </w:rPr>
        <w:t xml:space="preserve"> </w:t>
      </w:r>
      <w:r w:rsidRPr="005629D6">
        <w:rPr>
          <w:rFonts w:ascii="Calibri" w:hAnsi="Calibri" w:cs="Calibri"/>
          <w:b/>
          <w:bCs/>
          <w:noProof/>
          <w:sz w:val="22"/>
        </w:rPr>
        <w:t>2008</w:t>
      </w:r>
      <w:r w:rsidRPr="005629D6">
        <w:rPr>
          <w:rFonts w:ascii="Calibri" w:hAnsi="Calibri" w:cs="Calibri"/>
          <w:noProof/>
          <w:sz w:val="22"/>
        </w:rPr>
        <w:t xml:space="preserve">, </w:t>
      </w:r>
      <w:r w:rsidRPr="005629D6">
        <w:rPr>
          <w:rFonts w:ascii="Calibri" w:hAnsi="Calibri" w:cs="Calibri"/>
          <w:i/>
          <w:iCs/>
          <w:noProof/>
          <w:sz w:val="22"/>
        </w:rPr>
        <w:t>452</w:t>
      </w:r>
      <w:r w:rsidRPr="005629D6">
        <w:rPr>
          <w:rFonts w:ascii="Calibri" w:hAnsi="Calibri" w:cs="Calibri"/>
          <w:noProof/>
          <w:sz w:val="22"/>
        </w:rPr>
        <w:t xml:space="preserve"> (7190), 1002–1006. https://doi.org/10.1038/nature06850.</w:t>
      </w:r>
    </w:p>
    <w:p w14:paraId="3D860AF7"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(63) </w:t>
      </w:r>
      <w:r w:rsidRPr="005629D6">
        <w:rPr>
          <w:rFonts w:ascii="Calibri" w:hAnsi="Calibri" w:cs="Calibri"/>
          <w:noProof/>
          <w:sz w:val="22"/>
        </w:rPr>
        <w:tab/>
        <w:t xml:space="preserve">Butterwick, J. A.; del Mármol, J.; Kim, K. H.; Kahlson, M. A.; Rogow, J. A.; Walz, T.; Ruta, V. Cryo-EM Structure of the Insect Olfactory Receptor Orco. </w:t>
      </w:r>
      <w:r w:rsidRPr="005629D6">
        <w:rPr>
          <w:rFonts w:ascii="Calibri" w:hAnsi="Calibri" w:cs="Calibri"/>
          <w:i/>
          <w:iCs/>
          <w:noProof/>
          <w:sz w:val="22"/>
        </w:rPr>
        <w:t>Nature</w:t>
      </w:r>
      <w:r w:rsidRPr="005629D6">
        <w:rPr>
          <w:rFonts w:ascii="Calibri" w:hAnsi="Calibri" w:cs="Calibri"/>
          <w:noProof/>
          <w:sz w:val="22"/>
        </w:rPr>
        <w:t xml:space="preserve"> </w:t>
      </w:r>
      <w:r w:rsidRPr="005629D6">
        <w:rPr>
          <w:rFonts w:ascii="Calibri" w:hAnsi="Calibri" w:cs="Calibri"/>
          <w:b/>
          <w:bCs/>
          <w:noProof/>
          <w:sz w:val="22"/>
        </w:rPr>
        <w:t>2018</w:t>
      </w:r>
      <w:r w:rsidRPr="005629D6">
        <w:rPr>
          <w:rFonts w:ascii="Calibri" w:hAnsi="Calibri" w:cs="Calibri"/>
          <w:noProof/>
          <w:sz w:val="22"/>
        </w:rPr>
        <w:t xml:space="preserve">, </w:t>
      </w:r>
      <w:r w:rsidRPr="005629D6">
        <w:rPr>
          <w:rFonts w:ascii="Calibri" w:hAnsi="Calibri" w:cs="Calibri"/>
          <w:i/>
          <w:iCs/>
          <w:noProof/>
          <w:sz w:val="22"/>
        </w:rPr>
        <w:t>560</w:t>
      </w:r>
      <w:r w:rsidRPr="005629D6">
        <w:rPr>
          <w:rFonts w:ascii="Calibri" w:hAnsi="Calibri" w:cs="Calibri"/>
          <w:noProof/>
          <w:sz w:val="22"/>
        </w:rPr>
        <w:t xml:space="preserve"> (7719), 447–452. https://doi.org/10.1038/s41586-018-0420-8.</w:t>
      </w:r>
    </w:p>
    <w:p w14:paraId="5A5F8AF5"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(64) </w:t>
      </w:r>
      <w:r w:rsidRPr="005629D6">
        <w:rPr>
          <w:rFonts w:ascii="Calibri" w:hAnsi="Calibri" w:cs="Calibri"/>
          <w:noProof/>
          <w:sz w:val="22"/>
        </w:rPr>
        <w:tab/>
        <w:t xml:space="preserve">German, P. F.; van der Poel, S.; Carraher, C.; Kralicek, A. V.; Newcomb, R. D. Insights into Subunit Interactions within the Insect Olfactory Receptor Complex Using FRET. </w:t>
      </w:r>
      <w:r w:rsidRPr="005629D6">
        <w:rPr>
          <w:rFonts w:ascii="Calibri" w:hAnsi="Calibri" w:cs="Calibri"/>
          <w:i/>
          <w:iCs/>
          <w:noProof/>
          <w:sz w:val="22"/>
        </w:rPr>
        <w:t>Insect Biochem. Mol. Biol.</w:t>
      </w:r>
      <w:r w:rsidRPr="005629D6">
        <w:rPr>
          <w:rFonts w:ascii="Calibri" w:hAnsi="Calibri" w:cs="Calibri"/>
          <w:noProof/>
          <w:sz w:val="22"/>
        </w:rPr>
        <w:t xml:space="preserve"> </w:t>
      </w:r>
      <w:r w:rsidRPr="005629D6">
        <w:rPr>
          <w:rFonts w:ascii="Calibri" w:hAnsi="Calibri" w:cs="Calibri"/>
          <w:b/>
          <w:bCs/>
          <w:noProof/>
          <w:sz w:val="22"/>
        </w:rPr>
        <w:t>2013</w:t>
      </w:r>
      <w:r w:rsidRPr="005629D6">
        <w:rPr>
          <w:rFonts w:ascii="Calibri" w:hAnsi="Calibri" w:cs="Calibri"/>
          <w:noProof/>
          <w:sz w:val="22"/>
        </w:rPr>
        <w:t xml:space="preserve">, </w:t>
      </w:r>
      <w:r w:rsidRPr="005629D6">
        <w:rPr>
          <w:rFonts w:ascii="Calibri" w:hAnsi="Calibri" w:cs="Calibri"/>
          <w:i/>
          <w:iCs/>
          <w:noProof/>
          <w:sz w:val="22"/>
        </w:rPr>
        <w:t>43</w:t>
      </w:r>
      <w:r w:rsidRPr="005629D6">
        <w:rPr>
          <w:rFonts w:ascii="Calibri" w:hAnsi="Calibri" w:cs="Calibri"/>
          <w:noProof/>
          <w:sz w:val="22"/>
        </w:rPr>
        <w:t xml:space="preserve"> (2), 138–145. https://doi.org/10.1016/j.ibmb.2012.11.002.</w:t>
      </w:r>
    </w:p>
    <w:p w14:paraId="1E62C20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(65) </w:t>
      </w:r>
      <w:r w:rsidRPr="005629D6">
        <w:rPr>
          <w:rFonts w:ascii="Calibri" w:hAnsi="Calibri" w:cs="Calibri"/>
          <w:noProof/>
          <w:sz w:val="22"/>
        </w:rPr>
        <w:tab/>
        <w:t xml:space="preserve">Tsitoura, P.; Iatrou, K. Positive Allosteric Modulation of Insect Olfactory Receptor Function by ORco Agonists. </w:t>
      </w:r>
      <w:r w:rsidRPr="005629D6">
        <w:rPr>
          <w:rFonts w:ascii="Calibri" w:hAnsi="Calibri" w:cs="Calibri"/>
          <w:i/>
          <w:iCs/>
          <w:noProof/>
          <w:sz w:val="22"/>
        </w:rPr>
        <w:t>Front. Cell. Neurosci.</w:t>
      </w:r>
      <w:r w:rsidRPr="005629D6">
        <w:rPr>
          <w:rFonts w:ascii="Calibri" w:hAnsi="Calibri" w:cs="Calibri"/>
          <w:noProof/>
          <w:sz w:val="22"/>
        </w:rPr>
        <w:t xml:space="preserve"> </w:t>
      </w:r>
      <w:r w:rsidRPr="005629D6">
        <w:rPr>
          <w:rFonts w:ascii="Calibri" w:hAnsi="Calibri" w:cs="Calibri"/>
          <w:b/>
          <w:bCs/>
          <w:noProof/>
          <w:sz w:val="22"/>
        </w:rPr>
        <w:t>2016</w:t>
      </w:r>
      <w:r w:rsidRPr="005629D6">
        <w:rPr>
          <w:rFonts w:ascii="Calibri" w:hAnsi="Calibri" w:cs="Calibri"/>
          <w:noProof/>
          <w:sz w:val="22"/>
        </w:rPr>
        <w:t xml:space="preserve">, </w:t>
      </w:r>
      <w:r w:rsidRPr="005629D6">
        <w:rPr>
          <w:rFonts w:ascii="Calibri" w:hAnsi="Calibri" w:cs="Calibri"/>
          <w:i/>
          <w:iCs/>
          <w:noProof/>
          <w:sz w:val="22"/>
        </w:rPr>
        <w:t>10</w:t>
      </w:r>
      <w:r w:rsidRPr="005629D6">
        <w:rPr>
          <w:rFonts w:ascii="Calibri" w:hAnsi="Calibri" w:cs="Calibri"/>
          <w:noProof/>
          <w:sz w:val="22"/>
        </w:rPr>
        <w:t xml:space="preserve"> (DEC2016), 1–13. https://doi.org/10.3389/fncel.2016.00275.</w:t>
      </w:r>
    </w:p>
    <w:p w14:paraId="4DBB5FE3"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(66) </w:t>
      </w:r>
      <w:r w:rsidRPr="005629D6">
        <w:rPr>
          <w:rFonts w:ascii="Calibri" w:hAnsi="Calibri" w:cs="Calibri"/>
          <w:noProof/>
          <w:sz w:val="22"/>
        </w:rPr>
        <w:tab/>
        <w:t xml:space="preserve">Gonzales, W. L.; Ramirez, C. C.; Olea, N.; Niemeyer, H. M. Host Plant Changes Produced by the Aphid Sipha Flava: Consequences for Aphid Feeding Behaviour and Growth. </w:t>
      </w:r>
      <w:r w:rsidRPr="005629D6">
        <w:rPr>
          <w:rFonts w:ascii="Calibri" w:hAnsi="Calibri" w:cs="Calibri"/>
          <w:i/>
          <w:iCs/>
          <w:noProof/>
          <w:sz w:val="22"/>
        </w:rPr>
        <w:t>Entomol. Exp. Appl.</w:t>
      </w:r>
      <w:r w:rsidRPr="005629D6">
        <w:rPr>
          <w:rFonts w:ascii="Calibri" w:hAnsi="Calibri" w:cs="Calibri"/>
          <w:noProof/>
          <w:sz w:val="22"/>
        </w:rPr>
        <w:t xml:space="preserve"> </w:t>
      </w:r>
      <w:r w:rsidRPr="005629D6">
        <w:rPr>
          <w:rFonts w:ascii="Calibri" w:hAnsi="Calibri" w:cs="Calibri"/>
          <w:b/>
          <w:bCs/>
          <w:noProof/>
          <w:sz w:val="22"/>
        </w:rPr>
        <w:t>2002</w:t>
      </w:r>
      <w:r w:rsidRPr="005629D6">
        <w:rPr>
          <w:rFonts w:ascii="Calibri" w:hAnsi="Calibri" w:cs="Calibri"/>
          <w:noProof/>
          <w:sz w:val="22"/>
        </w:rPr>
        <w:t xml:space="preserve">, </w:t>
      </w:r>
      <w:r w:rsidRPr="005629D6">
        <w:rPr>
          <w:rFonts w:ascii="Calibri" w:hAnsi="Calibri" w:cs="Calibri"/>
          <w:i/>
          <w:iCs/>
          <w:noProof/>
          <w:sz w:val="22"/>
        </w:rPr>
        <w:t>103</w:t>
      </w:r>
      <w:r w:rsidRPr="005629D6">
        <w:rPr>
          <w:rFonts w:ascii="Calibri" w:hAnsi="Calibri" w:cs="Calibri"/>
          <w:noProof/>
          <w:sz w:val="22"/>
        </w:rPr>
        <w:t xml:space="preserve"> (2), 107–113. https://doi.org/10.1046/j.1570-7458.2002.00964.x.</w:t>
      </w:r>
    </w:p>
    <w:p w14:paraId="285A6846"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(67) </w:t>
      </w:r>
      <w:r w:rsidRPr="005629D6">
        <w:rPr>
          <w:rFonts w:ascii="Calibri" w:hAnsi="Calibri" w:cs="Calibri"/>
          <w:noProof/>
          <w:sz w:val="22"/>
        </w:rPr>
        <w:tab/>
        <w:t xml:space="preserve">Nibouche, S.; Mississipi, S.; Fartek, B.; Delatte, H.; Reynaud, B.; Costet, L. Host Plant Specialization in the Sugarcane Aphid Melanaphis Sacchari. </w:t>
      </w:r>
      <w:r w:rsidRPr="005629D6">
        <w:rPr>
          <w:rFonts w:ascii="Calibri" w:hAnsi="Calibri" w:cs="Calibri"/>
          <w:i/>
          <w:iCs/>
          <w:noProof/>
          <w:sz w:val="22"/>
        </w:rPr>
        <w:t>PLoS One</w:t>
      </w:r>
      <w:r w:rsidRPr="005629D6">
        <w:rPr>
          <w:rFonts w:ascii="Calibri" w:hAnsi="Calibri" w:cs="Calibri"/>
          <w:noProof/>
          <w:sz w:val="22"/>
        </w:rPr>
        <w:t xml:space="preserve"> </w:t>
      </w:r>
      <w:r w:rsidRPr="005629D6">
        <w:rPr>
          <w:rFonts w:ascii="Calibri" w:hAnsi="Calibri" w:cs="Calibri"/>
          <w:b/>
          <w:bCs/>
          <w:noProof/>
          <w:sz w:val="22"/>
        </w:rPr>
        <w:t>2015</w:t>
      </w:r>
      <w:r w:rsidRPr="005629D6">
        <w:rPr>
          <w:rFonts w:ascii="Calibri" w:hAnsi="Calibri" w:cs="Calibri"/>
          <w:noProof/>
          <w:sz w:val="22"/>
        </w:rPr>
        <w:t xml:space="preserve">, </w:t>
      </w:r>
      <w:r w:rsidRPr="005629D6">
        <w:rPr>
          <w:rFonts w:ascii="Calibri" w:hAnsi="Calibri" w:cs="Calibri"/>
          <w:i/>
          <w:iCs/>
          <w:noProof/>
          <w:sz w:val="22"/>
        </w:rPr>
        <w:t>10</w:t>
      </w:r>
      <w:r w:rsidRPr="005629D6">
        <w:rPr>
          <w:rFonts w:ascii="Calibri" w:hAnsi="Calibri" w:cs="Calibri"/>
          <w:noProof/>
          <w:sz w:val="22"/>
        </w:rPr>
        <w:t xml:space="preserve"> (11), 1–13. https://doi.org/10.1371/journal.pone.0143704.</w:t>
      </w:r>
    </w:p>
    <w:p w14:paraId="2F5F12FB"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(68) </w:t>
      </w:r>
      <w:r w:rsidRPr="005629D6">
        <w:rPr>
          <w:rFonts w:ascii="Calibri" w:hAnsi="Calibri" w:cs="Calibri"/>
          <w:noProof/>
          <w:sz w:val="22"/>
        </w:rPr>
        <w:tab/>
        <w:t xml:space="preserve">Kythreoti, G.; Sdralia, N.; Tsitoura, P.; Papachristos, D. P.; Michaelakis, A.; Karras, V.; Ruel, D. M.; Yakir, E.; Bohbot, J. D.; Schulz, S.; Iatrou, K. Volatile Allosteric Antagonists of Mosquito Odorant Receptors Inhibit Human-Host Attraction. </w:t>
      </w:r>
      <w:r w:rsidRPr="005629D6">
        <w:rPr>
          <w:rFonts w:ascii="Calibri" w:hAnsi="Calibri" w:cs="Calibri"/>
          <w:i/>
          <w:iCs/>
          <w:noProof/>
          <w:sz w:val="22"/>
        </w:rPr>
        <w:t>J. Biol. Chem.</w:t>
      </w:r>
      <w:r w:rsidRPr="005629D6">
        <w:rPr>
          <w:rFonts w:ascii="Calibri" w:hAnsi="Calibri" w:cs="Calibri"/>
          <w:noProof/>
          <w:sz w:val="22"/>
        </w:rPr>
        <w:t xml:space="preserve"> </w:t>
      </w:r>
      <w:r w:rsidRPr="005629D6">
        <w:rPr>
          <w:rFonts w:ascii="Calibri" w:hAnsi="Calibri" w:cs="Calibri"/>
          <w:b/>
          <w:bCs/>
          <w:noProof/>
          <w:sz w:val="22"/>
        </w:rPr>
        <w:t>2021</w:t>
      </w:r>
      <w:r w:rsidRPr="005629D6">
        <w:rPr>
          <w:rFonts w:ascii="Calibri" w:hAnsi="Calibri" w:cs="Calibri"/>
          <w:noProof/>
          <w:sz w:val="22"/>
        </w:rPr>
        <w:t xml:space="preserve">, </w:t>
      </w:r>
      <w:r w:rsidRPr="005629D6">
        <w:rPr>
          <w:rFonts w:ascii="Calibri" w:hAnsi="Calibri" w:cs="Calibri"/>
          <w:i/>
          <w:iCs/>
          <w:noProof/>
          <w:sz w:val="22"/>
        </w:rPr>
        <w:t>296</w:t>
      </w:r>
      <w:r w:rsidRPr="005629D6">
        <w:rPr>
          <w:rFonts w:ascii="Calibri" w:hAnsi="Calibri" w:cs="Calibri"/>
          <w:noProof/>
          <w:sz w:val="22"/>
        </w:rPr>
        <w:t>, 100172. https://doi.org/10.1074/jbc.RA120.016557.</w:t>
      </w:r>
    </w:p>
    <w:p w14:paraId="6D6800F2"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(69) </w:t>
      </w:r>
      <w:r w:rsidRPr="005629D6">
        <w:rPr>
          <w:rFonts w:ascii="Calibri" w:hAnsi="Calibri" w:cs="Calibri"/>
          <w:noProof/>
          <w:sz w:val="22"/>
        </w:rPr>
        <w:tab/>
        <w:t xml:space="preserve">Bowers, W. S.; Nault, L. R.; Webb, R. E.; Dutky, S. R. Aphid Alarm Pheromone : Isolation, Identification, Synthesis. </w:t>
      </w:r>
      <w:r w:rsidRPr="005629D6">
        <w:rPr>
          <w:rFonts w:ascii="Calibri" w:hAnsi="Calibri" w:cs="Calibri"/>
          <w:i/>
          <w:iCs/>
          <w:noProof/>
          <w:sz w:val="22"/>
        </w:rPr>
        <w:t>Science (80-. ).</w:t>
      </w:r>
      <w:r w:rsidRPr="005629D6">
        <w:rPr>
          <w:rFonts w:ascii="Calibri" w:hAnsi="Calibri" w:cs="Calibri"/>
          <w:noProof/>
          <w:sz w:val="22"/>
        </w:rPr>
        <w:t xml:space="preserve"> </w:t>
      </w:r>
      <w:r w:rsidRPr="005629D6">
        <w:rPr>
          <w:rFonts w:ascii="Calibri" w:hAnsi="Calibri" w:cs="Calibri"/>
          <w:b/>
          <w:bCs/>
          <w:noProof/>
          <w:sz w:val="22"/>
        </w:rPr>
        <w:t>1972</w:t>
      </w:r>
      <w:r w:rsidRPr="005629D6">
        <w:rPr>
          <w:rFonts w:ascii="Calibri" w:hAnsi="Calibri" w:cs="Calibri"/>
          <w:noProof/>
          <w:sz w:val="22"/>
        </w:rPr>
        <w:t xml:space="preserve">, </w:t>
      </w:r>
      <w:r w:rsidRPr="005629D6">
        <w:rPr>
          <w:rFonts w:ascii="Calibri" w:hAnsi="Calibri" w:cs="Calibri"/>
          <w:i/>
          <w:iCs/>
          <w:noProof/>
          <w:sz w:val="22"/>
        </w:rPr>
        <w:t>177</w:t>
      </w:r>
      <w:r w:rsidRPr="005629D6">
        <w:rPr>
          <w:rFonts w:ascii="Calibri" w:hAnsi="Calibri" w:cs="Calibri"/>
          <w:noProof/>
          <w:sz w:val="22"/>
        </w:rPr>
        <w:t xml:space="preserve"> (4054), 1121–1122. https://doi.org/DOI: 10.1126/science.177.4054.1121.</w:t>
      </w:r>
    </w:p>
    <w:p w14:paraId="49F934FB"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(70) </w:t>
      </w:r>
      <w:r w:rsidRPr="005629D6">
        <w:rPr>
          <w:rFonts w:ascii="Calibri" w:hAnsi="Calibri" w:cs="Calibri"/>
          <w:noProof/>
          <w:sz w:val="22"/>
        </w:rPr>
        <w:tab/>
        <w:t xml:space="preserve">Edwards, L. J.; Siddall, J. B.; Dunham, L. L.; Uden, P.; Kislow, C. Trans-β-Farnesene, Alarm Pheromone of the Green Peach Aphid, Myzus Persicae (Sulzer). </w:t>
      </w:r>
      <w:r w:rsidRPr="005629D6">
        <w:rPr>
          <w:rFonts w:ascii="Calibri" w:hAnsi="Calibri" w:cs="Calibri"/>
          <w:i/>
          <w:iCs/>
          <w:noProof/>
          <w:sz w:val="22"/>
        </w:rPr>
        <w:t>Nature</w:t>
      </w:r>
      <w:r w:rsidRPr="005629D6">
        <w:rPr>
          <w:rFonts w:ascii="Calibri" w:hAnsi="Calibri" w:cs="Calibri"/>
          <w:noProof/>
          <w:sz w:val="22"/>
        </w:rPr>
        <w:t xml:space="preserve"> </w:t>
      </w:r>
      <w:r w:rsidRPr="005629D6">
        <w:rPr>
          <w:rFonts w:ascii="Calibri" w:hAnsi="Calibri" w:cs="Calibri"/>
          <w:b/>
          <w:bCs/>
          <w:noProof/>
          <w:sz w:val="22"/>
        </w:rPr>
        <w:t>1973</w:t>
      </w:r>
      <w:r w:rsidRPr="005629D6">
        <w:rPr>
          <w:rFonts w:ascii="Calibri" w:hAnsi="Calibri" w:cs="Calibri"/>
          <w:noProof/>
          <w:sz w:val="22"/>
        </w:rPr>
        <w:t xml:space="preserve">, </w:t>
      </w:r>
      <w:r w:rsidRPr="005629D6">
        <w:rPr>
          <w:rFonts w:ascii="Calibri" w:hAnsi="Calibri" w:cs="Calibri"/>
          <w:i/>
          <w:iCs/>
          <w:noProof/>
          <w:sz w:val="22"/>
        </w:rPr>
        <w:t>241</w:t>
      </w:r>
      <w:r w:rsidRPr="005629D6">
        <w:rPr>
          <w:rFonts w:ascii="Calibri" w:hAnsi="Calibri" w:cs="Calibri"/>
          <w:noProof/>
          <w:sz w:val="22"/>
        </w:rPr>
        <w:t xml:space="preserve"> (5385), 126–127. https://doi.org/10.1038/246421a0.</w:t>
      </w:r>
    </w:p>
    <w:p w14:paraId="78725EC4"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(71) </w:t>
      </w:r>
      <w:r w:rsidRPr="005629D6">
        <w:rPr>
          <w:rFonts w:ascii="Calibri" w:hAnsi="Calibri" w:cs="Calibri"/>
          <w:noProof/>
          <w:sz w:val="22"/>
        </w:rPr>
        <w:tab/>
        <w:t xml:space="preserve">Nguyen, N. T.; Nguyen, T. H.; Pham, T. N. H.; Huy, N. T.; Bay, M. Van; Pham, M. Q.; Nam, P. C.; Vu, V. V.; Ngo, S. T. Autodock Vina Adopts More Accurate Binding Poses but Autodock4 Forms Better Binding Affinity. </w:t>
      </w:r>
      <w:r w:rsidRPr="005629D6">
        <w:rPr>
          <w:rFonts w:ascii="Calibri" w:hAnsi="Calibri" w:cs="Calibri"/>
          <w:i/>
          <w:iCs/>
          <w:noProof/>
          <w:sz w:val="22"/>
        </w:rPr>
        <w:t>J. Chem. Inf. Model.</w:t>
      </w:r>
      <w:r w:rsidRPr="005629D6">
        <w:rPr>
          <w:rFonts w:ascii="Calibri" w:hAnsi="Calibri" w:cs="Calibri"/>
          <w:noProof/>
          <w:sz w:val="22"/>
        </w:rPr>
        <w:t xml:space="preserve"> </w:t>
      </w:r>
      <w:r w:rsidRPr="005629D6">
        <w:rPr>
          <w:rFonts w:ascii="Calibri" w:hAnsi="Calibri" w:cs="Calibri"/>
          <w:b/>
          <w:bCs/>
          <w:noProof/>
          <w:sz w:val="22"/>
        </w:rPr>
        <w:t>2020</w:t>
      </w:r>
      <w:r w:rsidRPr="005629D6">
        <w:rPr>
          <w:rFonts w:ascii="Calibri" w:hAnsi="Calibri" w:cs="Calibri"/>
          <w:noProof/>
          <w:sz w:val="22"/>
        </w:rPr>
        <w:t xml:space="preserve">, </w:t>
      </w:r>
      <w:r w:rsidRPr="005629D6">
        <w:rPr>
          <w:rFonts w:ascii="Calibri" w:hAnsi="Calibri" w:cs="Calibri"/>
          <w:i/>
          <w:iCs/>
          <w:noProof/>
          <w:sz w:val="22"/>
        </w:rPr>
        <w:t>60</w:t>
      </w:r>
      <w:r w:rsidRPr="005629D6">
        <w:rPr>
          <w:rFonts w:ascii="Calibri" w:hAnsi="Calibri" w:cs="Calibri"/>
          <w:noProof/>
          <w:sz w:val="22"/>
        </w:rPr>
        <w:t xml:space="preserve"> (1), 204–211. https://doi.org/10.1021/acs.jcim.9b00778.</w:t>
      </w:r>
    </w:p>
    <w:p w14:paraId="56AA8062"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(72) </w:t>
      </w:r>
      <w:r w:rsidRPr="005629D6">
        <w:rPr>
          <w:rFonts w:ascii="Calibri" w:hAnsi="Calibri" w:cs="Calibri"/>
          <w:noProof/>
          <w:sz w:val="22"/>
        </w:rPr>
        <w:tab/>
        <w:t xml:space="preserve">Du, S.; Yang, Z.; Qin, Y.; Wang, S.; Duan, H.; Yang, X. Computational Investigation of the Molecular Conformation-Dependent Binding Mode of ( E ) - β -Farnesene Analogs with a Heterocycle to Aphid Odorant-Binding Proteins. </w:t>
      </w:r>
      <w:r w:rsidRPr="005629D6">
        <w:rPr>
          <w:rFonts w:ascii="Calibri" w:hAnsi="Calibri" w:cs="Calibri"/>
          <w:b/>
          <w:bCs/>
          <w:noProof/>
          <w:sz w:val="22"/>
        </w:rPr>
        <w:t>2018</w:t>
      </w:r>
      <w:r w:rsidRPr="005629D6">
        <w:rPr>
          <w:rFonts w:ascii="Calibri" w:hAnsi="Calibri" w:cs="Calibri"/>
          <w:noProof/>
          <w:sz w:val="22"/>
        </w:rPr>
        <w:t xml:space="preserve">, </w:t>
      </w:r>
      <w:r w:rsidRPr="005629D6">
        <w:rPr>
          <w:rFonts w:ascii="Calibri" w:hAnsi="Calibri" w:cs="Calibri"/>
          <w:i/>
          <w:iCs/>
          <w:noProof/>
          <w:sz w:val="22"/>
        </w:rPr>
        <w:t>7</w:t>
      </w:r>
      <w:r w:rsidRPr="005629D6">
        <w:rPr>
          <w:rFonts w:ascii="Calibri" w:hAnsi="Calibri" w:cs="Calibri"/>
          <w:noProof/>
          <w:sz w:val="22"/>
        </w:rPr>
        <w:t>.</w:t>
      </w:r>
    </w:p>
    <w:p w14:paraId="660C211E"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(73) </w:t>
      </w:r>
      <w:r w:rsidRPr="005629D6">
        <w:rPr>
          <w:rFonts w:ascii="Calibri" w:hAnsi="Calibri" w:cs="Calibri"/>
          <w:noProof/>
          <w:sz w:val="22"/>
        </w:rPr>
        <w:tab/>
        <w:t xml:space="preserve">Radadiya, A.; Pickett, J. A. Characterizing Human Odorant Signals: Insights from Insect Semiochemistry and in Silico Modelling. </w:t>
      </w:r>
      <w:r w:rsidRPr="005629D6">
        <w:rPr>
          <w:rFonts w:ascii="Calibri" w:hAnsi="Calibri" w:cs="Calibri"/>
          <w:i/>
          <w:iCs/>
          <w:noProof/>
          <w:sz w:val="22"/>
        </w:rPr>
        <w:t>Philos. Trans. R. Soc. B Biol. Sci.</w:t>
      </w:r>
      <w:r w:rsidRPr="005629D6">
        <w:rPr>
          <w:rFonts w:ascii="Calibri" w:hAnsi="Calibri" w:cs="Calibri"/>
          <w:noProof/>
          <w:sz w:val="22"/>
        </w:rPr>
        <w:t xml:space="preserve"> </w:t>
      </w:r>
      <w:r w:rsidRPr="005629D6">
        <w:rPr>
          <w:rFonts w:ascii="Calibri" w:hAnsi="Calibri" w:cs="Calibri"/>
          <w:b/>
          <w:bCs/>
          <w:noProof/>
          <w:sz w:val="22"/>
        </w:rPr>
        <w:t>2020</w:t>
      </w:r>
      <w:r w:rsidRPr="005629D6">
        <w:rPr>
          <w:rFonts w:ascii="Calibri" w:hAnsi="Calibri" w:cs="Calibri"/>
          <w:noProof/>
          <w:sz w:val="22"/>
        </w:rPr>
        <w:t xml:space="preserve">, </w:t>
      </w:r>
      <w:r w:rsidRPr="005629D6">
        <w:rPr>
          <w:rFonts w:ascii="Calibri" w:hAnsi="Calibri" w:cs="Calibri"/>
          <w:i/>
          <w:iCs/>
          <w:noProof/>
          <w:sz w:val="22"/>
        </w:rPr>
        <w:t>375</w:t>
      </w:r>
      <w:r w:rsidRPr="005629D6">
        <w:rPr>
          <w:rFonts w:ascii="Calibri" w:hAnsi="Calibri" w:cs="Calibri"/>
          <w:noProof/>
          <w:sz w:val="22"/>
        </w:rPr>
        <w:t xml:space="preserve"> (1800). https://doi.org/10.1098/rstb.2019.0263.</w:t>
      </w:r>
    </w:p>
    <w:p w14:paraId="7A5F5CDA"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(74) </w:t>
      </w:r>
      <w:r w:rsidRPr="005629D6">
        <w:rPr>
          <w:rFonts w:ascii="Calibri" w:hAnsi="Calibri" w:cs="Calibri"/>
          <w:noProof/>
          <w:sz w:val="22"/>
        </w:rPr>
        <w:tab/>
        <w:t xml:space="preserve">Venthur, H.; Mutis, A.; Zhou, J. J.; Quiroz, A. Ligand Binding and Homology Modelling of Insect Odorant-Binding Proteins. </w:t>
      </w:r>
      <w:r w:rsidRPr="005629D6">
        <w:rPr>
          <w:rFonts w:ascii="Calibri" w:hAnsi="Calibri" w:cs="Calibri"/>
          <w:i/>
          <w:iCs/>
          <w:noProof/>
          <w:sz w:val="22"/>
        </w:rPr>
        <w:t>Physiol. Entomol.</w:t>
      </w:r>
      <w:r w:rsidRPr="005629D6">
        <w:rPr>
          <w:rFonts w:ascii="Calibri" w:hAnsi="Calibri" w:cs="Calibri"/>
          <w:noProof/>
          <w:sz w:val="22"/>
        </w:rPr>
        <w:t xml:space="preserve"> </w:t>
      </w:r>
      <w:r w:rsidRPr="005629D6">
        <w:rPr>
          <w:rFonts w:ascii="Calibri" w:hAnsi="Calibri" w:cs="Calibri"/>
          <w:b/>
          <w:bCs/>
          <w:noProof/>
          <w:sz w:val="22"/>
        </w:rPr>
        <w:t>2014</w:t>
      </w:r>
      <w:r w:rsidRPr="005629D6">
        <w:rPr>
          <w:rFonts w:ascii="Calibri" w:hAnsi="Calibri" w:cs="Calibri"/>
          <w:noProof/>
          <w:sz w:val="22"/>
        </w:rPr>
        <w:t xml:space="preserve">, </w:t>
      </w:r>
      <w:r w:rsidRPr="005629D6">
        <w:rPr>
          <w:rFonts w:ascii="Calibri" w:hAnsi="Calibri" w:cs="Calibri"/>
          <w:i/>
          <w:iCs/>
          <w:noProof/>
          <w:sz w:val="22"/>
        </w:rPr>
        <w:t>39</w:t>
      </w:r>
      <w:r w:rsidRPr="005629D6">
        <w:rPr>
          <w:rFonts w:ascii="Calibri" w:hAnsi="Calibri" w:cs="Calibri"/>
          <w:noProof/>
          <w:sz w:val="22"/>
        </w:rPr>
        <w:t xml:space="preserve"> (3), 183–198. https://doi.org/10.1111/phen.12066.</w:t>
      </w:r>
    </w:p>
    <w:p w14:paraId="377A190C"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(75) </w:t>
      </w:r>
      <w:r w:rsidRPr="005629D6">
        <w:rPr>
          <w:rFonts w:ascii="Calibri" w:hAnsi="Calibri" w:cs="Calibri"/>
          <w:noProof/>
          <w:sz w:val="22"/>
        </w:rPr>
        <w:tab/>
        <w:t xml:space="preserve">Caballero-Vidal, G.; Bouysset, C.; Gévar, J.; Mbouzid, H.; Nara, C.; Delaroche, J.; Golebiowski, J.; Montagné, N.; Fiorucci, S.; Jacquin-Joly, E. Reverse Chemical Ecology in a Moth: Machine Learning on Odorant Receptors Identifies New Behaviorally Active Agonists. </w:t>
      </w:r>
      <w:r w:rsidRPr="005629D6">
        <w:rPr>
          <w:rFonts w:ascii="Calibri" w:hAnsi="Calibri" w:cs="Calibri"/>
          <w:i/>
          <w:iCs/>
          <w:noProof/>
          <w:sz w:val="22"/>
        </w:rPr>
        <w:t>Cell. Mol. Life Sci.</w:t>
      </w:r>
      <w:r w:rsidRPr="005629D6">
        <w:rPr>
          <w:rFonts w:ascii="Calibri" w:hAnsi="Calibri" w:cs="Calibri"/>
          <w:noProof/>
          <w:sz w:val="22"/>
        </w:rPr>
        <w:t xml:space="preserve"> </w:t>
      </w:r>
      <w:r w:rsidRPr="005629D6">
        <w:rPr>
          <w:rFonts w:ascii="Calibri" w:hAnsi="Calibri" w:cs="Calibri"/>
          <w:b/>
          <w:bCs/>
          <w:noProof/>
          <w:sz w:val="22"/>
        </w:rPr>
        <w:lastRenderedPageBreak/>
        <w:t>2021</w:t>
      </w:r>
      <w:r w:rsidRPr="005629D6">
        <w:rPr>
          <w:rFonts w:ascii="Calibri" w:hAnsi="Calibri" w:cs="Calibri"/>
          <w:noProof/>
          <w:sz w:val="22"/>
        </w:rPr>
        <w:t>. https://doi.org/10.1007/s00018-021-03919-2.</w:t>
      </w:r>
    </w:p>
    <w:p w14:paraId="621FB2F4"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(76) </w:t>
      </w:r>
      <w:r w:rsidRPr="005629D6">
        <w:rPr>
          <w:rFonts w:ascii="Calibri" w:hAnsi="Calibri" w:cs="Calibri"/>
          <w:noProof/>
          <w:sz w:val="22"/>
        </w:rPr>
        <w:tab/>
        <w:t xml:space="preserve">Caballero-Vidal, G.; Bouysset, C.; Grunig, H.; Fiorucci, S.; Montagné, N.; Golebiowski, J.; Jacquin-Joly, E. Machine Learning Decodes Chemical Features to Identify Novel Agonists of a Moth Odorant Receptor. </w:t>
      </w:r>
      <w:r w:rsidRPr="005629D6">
        <w:rPr>
          <w:rFonts w:ascii="Calibri" w:hAnsi="Calibri" w:cs="Calibri"/>
          <w:i/>
          <w:iCs/>
          <w:noProof/>
          <w:sz w:val="22"/>
        </w:rPr>
        <w:t>Sci. Rep.</w:t>
      </w:r>
      <w:r w:rsidRPr="005629D6">
        <w:rPr>
          <w:rFonts w:ascii="Calibri" w:hAnsi="Calibri" w:cs="Calibri"/>
          <w:noProof/>
          <w:sz w:val="22"/>
        </w:rPr>
        <w:t xml:space="preserve"> </w:t>
      </w:r>
      <w:r w:rsidRPr="005629D6">
        <w:rPr>
          <w:rFonts w:ascii="Calibri" w:hAnsi="Calibri" w:cs="Calibri"/>
          <w:b/>
          <w:bCs/>
          <w:noProof/>
          <w:sz w:val="22"/>
        </w:rPr>
        <w:t>2020</w:t>
      </w:r>
      <w:r w:rsidRPr="005629D6">
        <w:rPr>
          <w:rFonts w:ascii="Calibri" w:hAnsi="Calibri" w:cs="Calibri"/>
          <w:noProof/>
          <w:sz w:val="22"/>
        </w:rPr>
        <w:t xml:space="preserve">, </w:t>
      </w:r>
      <w:r w:rsidRPr="005629D6">
        <w:rPr>
          <w:rFonts w:ascii="Calibri" w:hAnsi="Calibri" w:cs="Calibri"/>
          <w:i/>
          <w:iCs/>
          <w:noProof/>
          <w:sz w:val="22"/>
        </w:rPr>
        <w:t>10</w:t>
      </w:r>
      <w:r w:rsidRPr="005629D6">
        <w:rPr>
          <w:rFonts w:ascii="Calibri" w:hAnsi="Calibri" w:cs="Calibri"/>
          <w:noProof/>
          <w:sz w:val="22"/>
        </w:rPr>
        <w:t xml:space="preserve"> (1), 1–9. https://doi.org/10.1038/s41598-020-58564-9.</w:t>
      </w:r>
    </w:p>
    <w:p w14:paraId="7521336C"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(77) </w:t>
      </w:r>
      <w:r w:rsidRPr="005629D6">
        <w:rPr>
          <w:rFonts w:ascii="Calibri" w:hAnsi="Calibri" w:cs="Calibri"/>
          <w:noProof/>
          <w:sz w:val="22"/>
        </w:rPr>
        <w:tab/>
        <w:t xml:space="preserve">Salmaso, V.; Moro, S. Bridging Molecular Docking to Molecular Dynamics in Exploring Ligand-Protein Recognition Process: An Overview. </w:t>
      </w:r>
      <w:r w:rsidRPr="005629D6">
        <w:rPr>
          <w:rFonts w:ascii="Calibri" w:hAnsi="Calibri" w:cs="Calibri"/>
          <w:i/>
          <w:iCs/>
          <w:noProof/>
          <w:sz w:val="22"/>
        </w:rPr>
        <w:t>Front. Pharmacol.</w:t>
      </w:r>
      <w:r w:rsidRPr="005629D6">
        <w:rPr>
          <w:rFonts w:ascii="Calibri" w:hAnsi="Calibri" w:cs="Calibri"/>
          <w:noProof/>
          <w:sz w:val="22"/>
        </w:rPr>
        <w:t xml:space="preserve"> </w:t>
      </w:r>
      <w:r w:rsidRPr="005629D6">
        <w:rPr>
          <w:rFonts w:ascii="Calibri" w:hAnsi="Calibri" w:cs="Calibri"/>
          <w:b/>
          <w:bCs/>
          <w:noProof/>
          <w:sz w:val="22"/>
        </w:rPr>
        <w:t>2018</w:t>
      </w:r>
      <w:r w:rsidRPr="005629D6">
        <w:rPr>
          <w:rFonts w:ascii="Calibri" w:hAnsi="Calibri" w:cs="Calibri"/>
          <w:noProof/>
          <w:sz w:val="22"/>
        </w:rPr>
        <w:t xml:space="preserve">, </w:t>
      </w:r>
      <w:r w:rsidRPr="005629D6">
        <w:rPr>
          <w:rFonts w:ascii="Calibri" w:hAnsi="Calibri" w:cs="Calibri"/>
          <w:i/>
          <w:iCs/>
          <w:noProof/>
          <w:sz w:val="22"/>
        </w:rPr>
        <w:t>9</w:t>
      </w:r>
      <w:r w:rsidRPr="005629D6">
        <w:rPr>
          <w:rFonts w:ascii="Calibri" w:hAnsi="Calibri" w:cs="Calibri"/>
          <w:noProof/>
          <w:sz w:val="22"/>
        </w:rPr>
        <w:t xml:space="preserve"> (AUG), 1–16. https://doi.org/10.3389/fphar.2018.00923.</w:t>
      </w:r>
    </w:p>
    <w:p w14:paraId="15BEAEF2" w14:textId="77777777" w:rsidR="00153DF9" w:rsidRPr="005629D6" w:rsidRDefault="00153DF9" w:rsidP="00153DF9">
      <w:pPr>
        <w:widowControl w:val="0"/>
        <w:autoSpaceDE w:val="0"/>
        <w:autoSpaceDN w:val="0"/>
        <w:adjustRightInd w:val="0"/>
        <w:spacing w:line="240" w:lineRule="auto"/>
        <w:ind w:left="640" w:hanging="640"/>
        <w:rPr>
          <w:rFonts w:ascii="Calibri" w:hAnsi="Calibri" w:cs="Calibri"/>
          <w:noProof/>
          <w:sz w:val="22"/>
        </w:rPr>
      </w:pPr>
      <w:r w:rsidRPr="005629D6">
        <w:rPr>
          <w:rFonts w:ascii="Calibri" w:hAnsi="Calibri" w:cs="Calibri"/>
          <w:noProof/>
          <w:sz w:val="22"/>
        </w:rPr>
        <w:t xml:space="preserve">(78) </w:t>
      </w:r>
      <w:r w:rsidRPr="005629D6">
        <w:rPr>
          <w:rFonts w:ascii="Calibri" w:hAnsi="Calibri" w:cs="Calibri"/>
          <w:noProof/>
          <w:sz w:val="22"/>
        </w:rPr>
        <w:tab/>
        <w:t xml:space="preserve">Brylinski, M. Aromatic Interactions at the Ligand-Protein Interface: Implications for the Development of Docking Scoring Functions. </w:t>
      </w:r>
      <w:r w:rsidRPr="005629D6">
        <w:rPr>
          <w:rFonts w:ascii="Calibri" w:hAnsi="Calibri" w:cs="Calibri"/>
          <w:i/>
          <w:iCs/>
          <w:noProof/>
          <w:sz w:val="22"/>
        </w:rPr>
        <w:t>Chem Biol Drug Des.</w:t>
      </w:r>
      <w:r w:rsidRPr="005629D6">
        <w:rPr>
          <w:rFonts w:ascii="Calibri" w:hAnsi="Calibri" w:cs="Calibri"/>
          <w:noProof/>
          <w:sz w:val="22"/>
        </w:rPr>
        <w:t xml:space="preserve"> </w:t>
      </w:r>
      <w:r w:rsidRPr="005629D6">
        <w:rPr>
          <w:rFonts w:ascii="Calibri" w:hAnsi="Calibri" w:cs="Calibri"/>
          <w:b/>
          <w:bCs/>
          <w:noProof/>
          <w:sz w:val="22"/>
        </w:rPr>
        <w:t>2018</w:t>
      </w:r>
      <w:r w:rsidRPr="005629D6">
        <w:rPr>
          <w:rFonts w:ascii="Calibri" w:hAnsi="Calibri" w:cs="Calibri"/>
          <w:noProof/>
          <w:sz w:val="22"/>
        </w:rPr>
        <w:t xml:space="preserve">, </w:t>
      </w:r>
      <w:r w:rsidRPr="005629D6">
        <w:rPr>
          <w:rFonts w:ascii="Calibri" w:hAnsi="Calibri" w:cs="Calibri"/>
          <w:i/>
          <w:iCs/>
          <w:noProof/>
          <w:sz w:val="22"/>
        </w:rPr>
        <w:t>91</w:t>
      </w:r>
      <w:r w:rsidRPr="005629D6">
        <w:rPr>
          <w:rFonts w:ascii="Calibri" w:hAnsi="Calibri" w:cs="Calibri"/>
          <w:noProof/>
          <w:sz w:val="22"/>
        </w:rPr>
        <w:t xml:space="preserve"> (2), 380–390. https://doi.org/doi:10.1111/cbdd.13084.</w:t>
      </w:r>
    </w:p>
    <w:p w14:paraId="43B7CA94" w14:textId="4F4A455E" w:rsidR="004173D9" w:rsidRPr="003714B3" w:rsidRDefault="00D031E8" w:rsidP="00153DF9">
      <w:pPr>
        <w:widowControl w:val="0"/>
        <w:autoSpaceDE w:val="0"/>
        <w:autoSpaceDN w:val="0"/>
        <w:adjustRightInd w:val="0"/>
        <w:spacing w:line="240" w:lineRule="auto"/>
        <w:ind w:left="640" w:hanging="640"/>
      </w:pPr>
      <w:r w:rsidRPr="005629D6">
        <w:fldChar w:fldCharType="end"/>
      </w:r>
    </w:p>
    <w:sectPr w:rsidR="004173D9" w:rsidRPr="003714B3" w:rsidSect="000F2112">
      <w:footerReference w:type="default" r:id="rId19"/>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5EA960" w14:textId="77777777" w:rsidR="00DE1B46" w:rsidRDefault="00DE1B46" w:rsidP="004638AB">
      <w:pPr>
        <w:spacing w:after="0" w:line="240" w:lineRule="auto"/>
      </w:pPr>
      <w:r>
        <w:separator/>
      </w:r>
    </w:p>
  </w:endnote>
  <w:endnote w:type="continuationSeparator" w:id="0">
    <w:p w14:paraId="4A5B1134" w14:textId="77777777" w:rsidR="00DE1B46" w:rsidRDefault="00DE1B46" w:rsidP="00463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5377835"/>
      <w:docPartObj>
        <w:docPartGallery w:val="Page Numbers (Bottom of Page)"/>
        <w:docPartUnique/>
      </w:docPartObj>
    </w:sdtPr>
    <w:sdtEndPr>
      <w:rPr>
        <w:noProof/>
      </w:rPr>
    </w:sdtEndPr>
    <w:sdtContent>
      <w:p w14:paraId="436CD6E9" w14:textId="06098BF9" w:rsidR="008B39AD" w:rsidRDefault="008B39A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8042F94" w14:textId="77777777" w:rsidR="008B39AD" w:rsidRDefault="008B39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403857" w14:textId="77777777" w:rsidR="00DE1B46" w:rsidRDefault="00DE1B46" w:rsidP="004638AB">
      <w:pPr>
        <w:spacing w:after="0" w:line="240" w:lineRule="auto"/>
      </w:pPr>
      <w:r>
        <w:separator/>
      </w:r>
    </w:p>
  </w:footnote>
  <w:footnote w:type="continuationSeparator" w:id="0">
    <w:p w14:paraId="59E35222" w14:textId="77777777" w:rsidR="00DE1B46" w:rsidRDefault="00DE1B46" w:rsidP="004638A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13453"/>
    <w:multiLevelType w:val="hybridMultilevel"/>
    <w:tmpl w:val="8CE477B0"/>
    <w:lvl w:ilvl="0" w:tplc="5AA600A2">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31D7C9D"/>
    <w:multiLevelType w:val="hybridMultilevel"/>
    <w:tmpl w:val="190E77A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77805EA"/>
    <w:multiLevelType w:val="hybridMultilevel"/>
    <w:tmpl w:val="82DCC3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3231435"/>
    <w:multiLevelType w:val="hybridMultilevel"/>
    <w:tmpl w:val="D1CAD6B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16E4D52"/>
    <w:multiLevelType w:val="hybridMultilevel"/>
    <w:tmpl w:val="6D8AA7A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59A6767"/>
    <w:multiLevelType w:val="hybridMultilevel"/>
    <w:tmpl w:val="73201526"/>
    <w:lvl w:ilvl="0" w:tplc="CF74380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15921794">
    <w:abstractNumId w:val="5"/>
  </w:num>
  <w:num w:numId="2" w16cid:durableId="1986006841">
    <w:abstractNumId w:val="1"/>
  </w:num>
  <w:num w:numId="3" w16cid:durableId="1730037058">
    <w:abstractNumId w:val="2"/>
  </w:num>
  <w:num w:numId="4" w16cid:durableId="1718890657">
    <w:abstractNumId w:val="4"/>
  </w:num>
  <w:num w:numId="5" w16cid:durableId="578102420">
    <w:abstractNumId w:val="3"/>
  </w:num>
  <w:num w:numId="6" w16cid:durableId="16383345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74DF"/>
    <w:rsid w:val="00002E66"/>
    <w:rsid w:val="00002FBF"/>
    <w:rsid w:val="00007BA4"/>
    <w:rsid w:val="000100EC"/>
    <w:rsid w:val="00010F9F"/>
    <w:rsid w:val="00011082"/>
    <w:rsid w:val="0001122E"/>
    <w:rsid w:val="000124A6"/>
    <w:rsid w:val="000139A8"/>
    <w:rsid w:val="00015393"/>
    <w:rsid w:val="00016F2F"/>
    <w:rsid w:val="000171AE"/>
    <w:rsid w:val="000239EC"/>
    <w:rsid w:val="00026822"/>
    <w:rsid w:val="00027741"/>
    <w:rsid w:val="00031B0C"/>
    <w:rsid w:val="00040893"/>
    <w:rsid w:val="000427D9"/>
    <w:rsid w:val="00043152"/>
    <w:rsid w:val="00044BE4"/>
    <w:rsid w:val="0004734F"/>
    <w:rsid w:val="00050E6C"/>
    <w:rsid w:val="00050FB1"/>
    <w:rsid w:val="00053798"/>
    <w:rsid w:val="00053F38"/>
    <w:rsid w:val="000543E9"/>
    <w:rsid w:val="0005613E"/>
    <w:rsid w:val="00060476"/>
    <w:rsid w:val="00060B11"/>
    <w:rsid w:val="00061ABE"/>
    <w:rsid w:val="000653A0"/>
    <w:rsid w:val="00066359"/>
    <w:rsid w:val="00066373"/>
    <w:rsid w:val="000665A2"/>
    <w:rsid w:val="0006724A"/>
    <w:rsid w:val="00070879"/>
    <w:rsid w:val="0007331F"/>
    <w:rsid w:val="000750C6"/>
    <w:rsid w:val="000759CE"/>
    <w:rsid w:val="00076834"/>
    <w:rsid w:val="000829F4"/>
    <w:rsid w:val="00082C89"/>
    <w:rsid w:val="00084DAE"/>
    <w:rsid w:val="000917B1"/>
    <w:rsid w:val="00091BAB"/>
    <w:rsid w:val="0009350E"/>
    <w:rsid w:val="00094299"/>
    <w:rsid w:val="00095568"/>
    <w:rsid w:val="00095ACD"/>
    <w:rsid w:val="00096171"/>
    <w:rsid w:val="00096BF2"/>
    <w:rsid w:val="000973DA"/>
    <w:rsid w:val="000975F7"/>
    <w:rsid w:val="00097B95"/>
    <w:rsid w:val="000A0555"/>
    <w:rsid w:val="000A1815"/>
    <w:rsid w:val="000A268A"/>
    <w:rsid w:val="000A2AF5"/>
    <w:rsid w:val="000A35A0"/>
    <w:rsid w:val="000A7828"/>
    <w:rsid w:val="000B0291"/>
    <w:rsid w:val="000B1698"/>
    <w:rsid w:val="000B3684"/>
    <w:rsid w:val="000B56EE"/>
    <w:rsid w:val="000B5E0F"/>
    <w:rsid w:val="000B6A7A"/>
    <w:rsid w:val="000B7E14"/>
    <w:rsid w:val="000C00CF"/>
    <w:rsid w:val="000C0413"/>
    <w:rsid w:val="000C0B88"/>
    <w:rsid w:val="000C106A"/>
    <w:rsid w:val="000C1BDA"/>
    <w:rsid w:val="000C242E"/>
    <w:rsid w:val="000C32B0"/>
    <w:rsid w:val="000C3A4A"/>
    <w:rsid w:val="000D0E79"/>
    <w:rsid w:val="000D1701"/>
    <w:rsid w:val="000D2561"/>
    <w:rsid w:val="000D52F2"/>
    <w:rsid w:val="000D60DD"/>
    <w:rsid w:val="000D656D"/>
    <w:rsid w:val="000D7906"/>
    <w:rsid w:val="000E7051"/>
    <w:rsid w:val="000E7A27"/>
    <w:rsid w:val="000F01FB"/>
    <w:rsid w:val="000F2112"/>
    <w:rsid w:val="000F3A8B"/>
    <w:rsid w:val="000F6A7F"/>
    <w:rsid w:val="000F6FAD"/>
    <w:rsid w:val="00101F41"/>
    <w:rsid w:val="00103B8F"/>
    <w:rsid w:val="001043EA"/>
    <w:rsid w:val="001062CD"/>
    <w:rsid w:val="00106E58"/>
    <w:rsid w:val="00106F3D"/>
    <w:rsid w:val="0011008C"/>
    <w:rsid w:val="001100DC"/>
    <w:rsid w:val="00110C8A"/>
    <w:rsid w:val="001113C7"/>
    <w:rsid w:val="00111502"/>
    <w:rsid w:val="0011177D"/>
    <w:rsid w:val="00115F44"/>
    <w:rsid w:val="00117928"/>
    <w:rsid w:val="00120499"/>
    <w:rsid w:val="00122613"/>
    <w:rsid w:val="00122890"/>
    <w:rsid w:val="00123145"/>
    <w:rsid w:val="00123B83"/>
    <w:rsid w:val="0012491B"/>
    <w:rsid w:val="00124CE6"/>
    <w:rsid w:val="001270FF"/>
    <w:rsid w:val="00135875"/>
    <w:rsid w:val="0014013F"/>
    <w:rsid w:val="00142666"/>
    <w:rsid w:val="00143F18"/>
    <w:rsid w:val="00144A22"/>
    <w:rsid w:val="0014520F"/>
    <w:rsid w:val="001511AB"/>
    <w:rsid w:val="00152987"/>
    <w:rsid w:val="001533D9"/>
    <w:rsid w:val="0015390B"/>
    <w:rsid w:val="00153C96"/>
    <w:rsid w:val="00153DF9"/>
    <w:rsid w:val="00154575"/>
    <w:rsid w:val="00155C2E"/>
    <w:rsid w:val="00156A42"/>
    <w:rsid w:val="00157AC1"/>
    <w:rsid w:val="0016119C"/>
    <w:rsid w:val="00162441"/>
    <w:rsid w:val="00163A22"/>
    <w:rsid w:val="001665BA"/>
    <w:rsid w:val="00166F0B"/>
    <w:rsid w:val="0017097F"/>
    <w:rsid w:val="00173C11"/>
    <w:rsid w:val="00173E4F"/>
    <w:rsid w:val="001740CA"/>
    <w:rsid w:val="00175568"/>
    <w:rsid w:val="00182F01"/>
    <w:rsid w:val="001832EA"/>
    <w:rsid w:val="00183B36"/>
    <w:rsid w:val="00183D1E"/>
    <w:rsid w:val="001917BE"/>
    <w:rsid w:val="001929B0"/>
    <w:rsid w:val="00192C9F"/>
    <w:rsid w:val="0019656C"/>
    <w:rsid w:val="0019753B"/>
    <w:rsid w:val="00197736"/>
    <w:rsid w:val="001A0C3E"/>
    <w:rsid w:val="001A187A"/>
    <w:rsid w:val="001A3347"/>
    <w:rsid w:val="001A3C72"/>
    <w:rsid w:val="001A427A"/>
    <w:rsid w:val="001A4A9F"/>
    <w:rsid w:val="001A4F82"/>
    <w:rsid w:val="001A5D3D"/>
    <w:rsid w:val="001A6E34"/>
    <w:rsid w:val="001A6FF9"/>
    <w:rsid w:val="001A7C31"/>
    <w:rsid w:val="001B0AE8"/>
    <w:rsid w:val="001B10A8"/>
    <w:rsid w:val="001B4612"/>
    <w:rsid w:val="001B6DCD"/>
    <w:rsid w:val="001B6FE7"/>
    <w:rsid w:val="001B70DF"/>
    <w:rsid w:val="001C4A8C"/>
    <w:rsid w:val="001C5763"/>
    <w:rsid w:val="001C5D6D"/>
    <w:rsid w:val="001C674A"/>
    <w:rsid w:val="001C6F34"/>
    <w:rsid w:val="001D04DE"/>
    <w:rsid w:val="001D2C00"/>
    <w:rsid w:val="001D2DB3"/>
    <w:rsid w:val="001D37D3"/>
    <w:rsid w:val="001D5626"/>
    <w:rsid w:val="001E2608"/>
    <w:rsid w:val="001E3142"/>
    <w:rsid w:val="001E66BA"/>
    <w:rsid w:val="001E6AE1"/>
    <w:rsid w:val="001E73AE"/>
    <w:rsid w:val="001E7633"/>
    <w:rsid w:val="001F0841"/>
    <w:rsid w:val="001F1255"/>
    <w:rsid w:val="001F1998"/>
    <w:rsid w:val="001F1ED2"/>
    <w:rsid w:val="001F3A94"/>
    <w:rsid w:val="001F3AA1"/>
    <w:rsid w:val="00200EAC"/>
    <w:rsid w:val="00201CF7"/>
    <w:rsid w:val="00202BD3"/>
    <w:rsid w:val="0020463C"/>
    <w:rsid w:val="00205209"/>
    <w:rsid w:val="002053CD"/>
    <w:rsid w:val="00205715"/>
    <w:rsid w:val="00205BCC"/>
    <w:rsid w:val="002063D8"/>
    <w:rsid w:val="0020707D"/>
    <w:rsid w:val="00207273"/>
    <w:rsid w:val="00210832"/>
    <w:rsid w:val="00211800"/>
    <w:rsid w:val="00213667"/>
    <w:rsid w:val="00213FD6"/>
    <w:rsid w:val="00216296"/>
    <w:rsid w:val="002169D9"/>
    <w:rsid w:val="002172CA"/>
    <w:rsid w:val="00217E8B"/>
    <w:rsid w:val="0022147C"/>
    <w:rsid w:val="0022361B"/>
    <w:rsid w:val="00223AA4"/>
    <w:rsid w:val="002241F0"/>
    <w:rsid w:val="00224CCE"/>
    <w:rsid w:val="00225304"/>
    <w:rsid w:val="0022695F"/>
    <w:rsid w:val="00230DCB"/>
    <w:rsid w:val="00232BF9"/>
    <w:rsid w:val="002335C3"/>
    <w:rsid w:val="002340C2"/>
    <w:rsid w:val="00234E2B"/>
    <w:rsid w:val="0023602B"/>
    <w:rsid w:val="00236C95"/>
    <w:rsid w:val="002418FB"/>
    <w:rsid w:val="00242DB6"/>
    <w:rsid w:val="00244F29"/>
    <w:rsid w:val="00245867"/>
    <w:rsid w:val="002473F6"/>
    <w:rsid w:val="00247BE4"/>
    <w:rsid w:val="00250CDA"/>
    <w:rsid w:val="00250E55"/>
    <w:rsid w:val="00252F6C"/>
    <w:rsid w:val="00253258"/>
    <w:rsid w:val="00253F57"/>
    <w:rsid w:val="00254C2D"/>
    <w:rsid w:val="00254DA3"/>
    <w:rsid w:val="00255BCF"/>
    <w:rsid w:val="0025744B"/>
    <w:rsid w:val="002606F5"/>
    <w:rsid w:val="002610C9"/>
    <w:rsid w:val="00261568"/>
    <w:rsid w:val="002620E6"/>
    <w:rsid w:val="002645B4"/>
    <w:rsid w:val="002654A7"/>
    <w:rsid w:val="00266821"/>
    <w:rsid w:val="002673F1"/>
    <w:rsid w:val="00271218"/>
    <w:rsid w:val="00272411"/>
    <w:rsid w:val="00276FC0"/>
    <w:rsid w:val="00277E89"/>
    <w:rsid w:val="00280BE1"/>
    <w:rsid w:val="0028706F"/>
    <w:rsid w:val="002909E9"/>
    <w:rsid w:val="0029407C"/>
    <w:rsid w:val="00294945"/>
    <w:rsid w:val="00295778"/>
    <w:rsid w:val="002967D8"/>
    <w:rsid w:val="00297630"/>
    <w:rsid w:val="002A0A04"/>
    <w:rsid w:val="002A1828"/>
    <w:rsid w:val="002A2D16"/>
    <w:rsid w:val="002A53E6"/>
    <w:rsid w:val="002A74A3"/>
    <w:rsid w:val="002A7D78"/>
    <w:rsid w:val="002B181D"/>
    <w:rsid w:val="002C0C0E"/>
    <w:rsid w:val="002C0D53"/>
    <w:rsid w:val="002C2D33"/>
    <w:rsid w:val="002D06CC"/>
    <w:rsid w:val="002D1844"/>
    <w:rsid w:val="002D4719"/>
    <w:rsid w:val="002D488E"/>
    <w:rsid w:val="002D6582"/>
    <w:rsid w:val="002E221F"/>
    <w:rsid w:val="002E39BF"/>
    <w:rsid w:val="002E4A2A"/>
    <w:rsid w:val="002E7447"/>
    <w:rsid w:val="002E7D67"/>
    <w:rsid w:val="002E7EA3"/>
    <w:rsid w:val="002F050D"/>
    <w:rsid w:val="002F0761"/>
    <w:rsid w:val="002F23E4"/>
    <w:rsid w:val="002F2493"/>
    <w:rsid w:val="002F2ECE"/>
    <w:rsid w:val="002F3E68"/>
    <w:rsid w:val="002F4C91"/>
    <w:rsid w:val="002F595F"/>
    <w:rsid w:val="002F71EA"/>
    <w:rsid w:val="003005FB"/>
    <w:rsid w:val="003055AC"/>
    <w:rsid w:val="003076E5"/>
    <w:rsid w:val="00314050"/>
    <w:rsid w:val="00314423"/>
    <w:rsid w:val="00315B77"/>
    <w:rsid w:val="00320C41"/>
    <w:rsid w:val="00323C10"/>
    <w:rsid w:val="0032501E"/>
    <w:rsid w:val="00326AB2"/>
    <w:rsid w:val="00327955"/>
    <w:rsid w:val="0033383D"/>
    <w:rsid w:val="00334615"/>
    <w:rsid w:val="00334722"/>
    <w:rsid w:val="00334B3B"/>
    <w:rsid w:val="003426AA"/>
    <w:rsid w:val="00342B63"/>
    <w:rsid w:val="00343AF8"/>
    <w:rsid w:val="0035008D"/>
    <w:rsid w:val="00350EC8"/>
    <w:rsid w:val="00352901"/>
    <w:rsid w:val="0035471B"/>
    <w:rsid w:val="00354E00"/>
    <w:rsid w:val="0035523A"/>
    <w:rsid w:val="003555A8"/>
    <w:rsid w:val="00356369"/>
    <w:rsid w:val="00364CF5"/>
    <w:rsid w:val="00365E8A"/>
    <w:rsid w:val="0036628F"/>
    <w:rsid w:val="0037013F"/>
    <w:rsid w:val="00370367"/>
    <w:rsid w:val="003714B3"/>
    <w:rsid w:val="0037299C"/>
    <w:rsid w:val="00375444"/>
    <w:rsid w:val="00375FE3"/>
    <w:rsid w:val="003761D5"/>
    <w:rsid w:val="00377E8B"/>
    <w:rsid w:val="00377E96"/>
    <w:rsid w:val="00377F48"/>
    <w:rsid w:val="00380104"/>
    <w:rsid w:val="003811A3"/>
    <w:rsid w:val="0038271B"/>
    <w:rsid w:val="00384F4B"/>
    <w:rsid w:val="0038508E"/>
    <w:rsid w:val="00386802"/>
    <w:rsid w:val="00387387"/>
    <w:rsid w:val="003877C0"/>
    <w:rsid w:val="00387CAE"/>
    <w:rsid w:val="00390559"/>
    <w:rsid w:val="003931A0"/>
    <w:rsid w:val="0039382C"/>
    <w:rsid w:val="00395ABA"/>
    <w:rsid w:val="00396D97"/>
    <w:rsid w:val="003A07A6"/>
    <w:rsid w:val="003A2C23"/>
    <w:rsid w:val="003A37A9"/>
    <w:rsid w:val="003A3914"/>
    <w:rsid w:val="003A4A06"/>
    <w:rsid w:val="003A4DF9"/>
    <w:rsid w:val="003A57A7"/>
    <w:rsid w:val="003A5A80"/>
    <w:rsid w:val="003A7C62"/>
    <w:rsid w:val="003B0A61"/>
    <w:rsid w:val="003B0B77"/>
    <w:rsid w:val="003B5755"/>
    <w:rsid w:val="003C0711"/>
    <w:rsid w:val="003C2100"/>
    <w:rsid w:val="003C6660"/>
    <w:rsid w:val="003C6D05"/>
    <w:rsid w:val="003C7471"/>
    <w:rsid w:val="003D1134"/>
    <w:rsid w:val="003D16BD"/>
    <w:rsid w:val="003D1AC9"/>
    <w:rsid w:val="003D26A3"/>
    <w:rsid w:val="003D28B1"/>
    <w:rsid w:val="003D3FEE"/>
    <w:rsid w:val="003D64BA"/>
    <w:rsid w:val="003D789A"/>
    <w:rsid w:val="003E1C1E"/>
    <w:rsid w:val="003E1D48"/>
    <w:rsid w:val="003E2324"/>
    <w:rsid w:val="003E2FF3"/>
    <w:rsid w:val="003E4252"/>
    <w:rsid w:val="003E4607"/>
    <w:rsid w:val="003E4AA5"/>
    <w:rsid w:val="003E7B8E"/>
    <w:rsid w:val="003F026C"/>
    <w:rsid w:val="003F038B"/>
    <w:rsid w:val="003F1C66"/>
    <w:rsid w:val="003F2885"/>
    <w:rsid w:val="003F3693"/>
    <w:rsid w:val="003F62BE"/>
    <w:rsid w:val="003F7409"/>
    <w:rsid w:val="003F7658"/>
    <w:rsid w:val="004000AE"/>
    <w:rsid w:val="00400F00"/>
    <w:rsid w:val="00401527"/>
    <w:rsid w:val="00401EB9"/>
    <w:rsid w:val="00404332"/>
    <w:rsid w:val="00404FB5"/>
    <w:rsid w:val="004051FB"/>
    <w:rsid w:val="00406D48"/>
    <w:rsid w:val="00407006"/>
    <w:rsid w:val="00407423"/>
    <w:rsid w:val="00411103"/>
    <w:rsid w:val="00411159"/>
    <w:rsid w:val="00416108"/>
    <w:rsid w:val="004173D9"/>
    <w:rsid w:val="00417E40"/>
    <w:rsid w:val="004225EA"/>
    <w:rsid w:val="00422AA3"/>
    <w:rsid w:val="00422E68"/>
    <w:rsid w:val="0042316B"/>
    <w:rsid w:val="004259B7"/>
    <w:rsid w:val="00426C97"/>
    <w:rsid w:val="00427F7F"/>
    <w:rsid w:val="00427FCD"/>
    <w:rsid w:val="00431EE5"/>
    <w:rsid w:val="00431F3B"/>
    <w:rsid w:val="00431FA4"/>
    <w:rsid w:val="00432424"/>
    <w:rsid w:val="0043396A"/>
    <w:rsid w:val="0043460D"/>
    <w:rsid w:val="004347EE"/>
    <w:rsid w:val="00434804"/>
    <w:rsid w:val="00434BEE"/>
    <w:rsid w:val="00440345"/>
    <w:rsid w:val="00440A83"/>
    <w:rsid w:val="00444F0C"/>
    <w:rsid w:val="0044609E"/>
    <w:rsid w:val="0044669D"/>
    <w:rsid w:val="00452B4D"/>
    <w:rsid w:val="00453593"/>
    <w:rsid w:val="00453D10"/>
    <w:rsid w:val="00454482"/>
    <w:rsid w:val="004638AB"/>
    <w:rsid w:val="004669AC"/>
    <w:rsid w:val="00466E4F"/>
    <w:rsid w:val="0046738D"/>
    <w:rsid w:val="00470807"/>
    <w:rsid w:val="0047616C"/>
    <w:rsid w:val="00480571"/>
    <w:rsid w:val="00482428"/>
    <w:rsid w:val="00483B8C"/>
    <w:rsid w:val="004845E8"/>
    <w:rsid w:val="00490367"/>
    <w:rsid w:val="00490C5C"/>
    <w:rsid w:val="004924AC"/>
    <w:rsid w:val="004941C8"/>
    <w:rsid w:val="0049520B"/>
    <w:rsid w:val="00496120"/>
    <w:rsid w:val="00497AB3"/>
    <w:rsid w:val="004A0029"/>
    <w:rsid w:val="004A1301"/>
    <w:rsid w:val="004A2254"/>
    <w:rsid w:val="004A33FB"/>
    <w:rsid w:val="004A57BE"/>
    <w:rsid w:val="004A6F8C"/>
    <w:rsid w:val="004B2FF9"/>
    <w:rsid w:val="004B34F8"/>
    <w:rsid w:val="004B4753"/>
    <w:rsid w:val="004B525B"/>
    <w:rsid w:val="004B5459"/>
    <w:rsid w:val="004C05B1"/>
    <w:rsid w:val="004C0C12"/>
    <w:rsid w:val="004C0DED"/>
    <w:rsid w:val="004C26B3"/>
    <w:rsid w:val="004C4FBF"/>
    <w:rsid w:val="004C517A"/>
    <w:rsid w:val="004C575B"/>
    <w:rsid w:val="004C5AA9"/>
    <w:rsid w:val="004C68ED"/>
    <w:rsid w:val="004D05B9"/>
    <w:rsid w:val="004D1EC3"/>
    <w:rsid w:val="004D2E85"/>
    <w:rsid w:val="004D2EE9"/>
    <w:rsid w:val="004D3A79"/>
    <w:rsid w:val="004E0FFD"/>
    <w:rsid w:val="004E1501"/>
    <w:rsid w:val="004E23F6"/>
    <w:rsid w:val="004E246B"/>
    <w:rsid w:val="004E363E"/>
    <w:rsid w:val="004E4855"/>
    <w:rsid w:val="004E6656"/>
    <w:rsid w:val="004F0255"/>
    <w:rsid w:val="004F0A28"/>
    <w:rsid w:val="004F3F53"/>
    <w:rsid w:val="004F4F54"/>
    <w:rsid w:val="00500AB1"/>
    <w:rsid w:val="005013ED"/>
    <w:rsid w:val="00501578"/>
    <w:rsid w:val="0050384C"/>
    <w:rsid w:val="00503F62"/>
    <w:rsid w:val="00504331"/>
    <w:rsid w:val="00504626"/>
    <w:rsid w:val="00505449"/>
    <w:rsid w:val="00506742"/>
    <w:rsid w:val="005076A7"/>
    <w:rsid w:val="00513902"/>
    <w:rsid w:val="0051485D"/>
    <w:rsid w:val="00514C6D"/>
    <w:rsid w:val="005161A8"/>
    <w:rsid w:val="00520C98"/>
    <w:rsid w:val="005239F5"/>
    <w:rsid w:val="00524411"/>
    <w:rsid w:val="00524E50"/>
    <w:rsid w:val="005320CF"/>
    <w:rsid w:val="00532522"/>
    <w:rsid w:val="005328C1"/>
    <w:rsid w:val="00532F9D"/>
    <w:rsid w:val="005361D6"/>
    <w:rsid w:val="00536E03"/>
    <w:rsid w:val="005415D9"/>
    <w:rsid w:val="0054162E"/>
    <w:rsid w:val="005423A2"/>
    <w:rsid w:val="0054293E"/>
    <w:rsid w:val="00543765"/>
    <w:rsid w:val="00544F54"/>
    <w:rsid w:val="00545115"/>
    <w:rsid w:val="00545651"/>
    <w:rsid w:val="00545FEE"/>
    <w:rsid w:val="005504CA"/>
    <w:rsid w:val="00550CFF"/>
    <w:rsid w:val="00551859"/>
    <w:rsid w:val="00552B27"/>
    <w:rsid w:val="00552FB9"/>
    <w:rsid w:val="0055385B"/>
    <w:rsid w:val="00554801"/>
    <w:rsid w:val="00554DC1"/>
    <w:rsid w:val="00561BAD"/>
    <w:rsid w:val="00561CC5"/>
    <w:rsid w:val="005628F2"/>
    <w:rsid w:val="005629D6"/>
    <w:rsid w:val="00565F17"/>
    <w:rsid w:val="00565F9B"/>
    <w:rsid w:val="0056626E"/>
    <w:rsid w:val="00566ABC"/>
    <w:rsid w:val="00570122"/>
    <w:rsid w:val="00570204"/>
    <w:rsid w:val="005719B3"/>
    <w:rsid w:val="005720D9"/>
    <w:rsid w:val="00572277"/>
    <w:rsid w:val="005727EB"/>
    <w:rsid w:val="0057394B"/>
    <w:rsid w:val="00573D03"/>
    <w:rsid w:val="0057565D"/>
    <w:rsid w:val="00575B9D"/>
    <w:rsid w:val="00576159"/>
    <w:rsid w:val="00576526"/>
    <w:rsid w:val="00576DA0"/>
    <w:rsid w:val="00581459"/>
    <w:rsid w:val="005827B4"/>
    <w:rsid w:val="005834E6"/>
    <w:rsid w:val="00584CB6"/>
    <w:rsid w:val="00587EAC"/>
    <w:rsid w:val="00593E27"/>
    <w:rsid w:val="005945ED"/>
    <w:rsid w:val="005968E7"/>
    <w:rsid w:val="00597AA2"/>
    <w:rsid w:val="005A2DC5"/>
    <w:rsid w:val="005A49DE"/>
    <w:rsid w:val="005A5EF9"/>
    <w:rsid w:val="005B029A"/>
    <w:rsid w:val="005B119F"/>
    <w:rsid w:val="005B214A"/>
    <w:rsid w:val="005B45D4"/>
    <w:rsid w:val="005B5741"/>
    <w:rsid w:val="005B618A"/>
    <w:rsid w:val="005B6694"/>
    <w:rsid w:val="005C1859"/>
    <w:rsid w:val="005C2275"/>
    <w:rsid w:val="005C278F"/>
    <w:rsid w:val="005C3A65"/>
    <w:rsid w:val="005C5397"/>
    <w:rsid w:val="005D005A"/>
    <w:rsid w:val="005D2A04"/>
    <w:rsid w:val="005D6A78"/>
    <w:rsid w:val="005D700A"/>
    <w:rsid w:val="005D761F"/>
    <w:rsid w:val="005D7BF2"/>
    <w:rsid w:val="005D7DE6"/>
    <w:rsid w:val="005E0865"/>
    <w:rsid w:val="005E2B9B"/>
    <w:rsid w:val="005E6F1D"/>
    <w:rsid w:val="005F04BA"/>
    <w:rsid w:val="005F28BC"/>
    <w:rsid w:val="005F5CB4"/>
    <w:rsid w:val="005F7152"/>
    <w:rsid w:val="00603BA0"/>
    <w:rsid w:val="0061008D"/>
    <w:rsid w:val="0061028B"/>
    <w:rsid w:val="00616193"/>
    <w:rsid w:val="00620921"/>
    <w:rsid w:val="00622421"/>
    <w:rsid w:val="00623043"/>
    <w:rsid w:val="00626E67"/>
    <w:rsid w:val="00627C4B"/>
    <w:rsid w:val="006302C4"/>
    <w:rsid w:val="00631433"/>
    <w:rsid w:val="006321BF"/>
    <w:rsid w:val="00633766"/>
    <w:rsid w:val="00634ACC"/>
    <w:rsid w:val="006404E5"/>
    <w:rsid w:val="00642BCD"/>
    <w:rsid w:val="00642F4D"/>
    <w:rsid w:val="00646B78"/>
    <w:rsid w:val="006478F4"/>
    <w:rsid w:val="0065215C"/>
    <w:rsid w:val="00652902"/>
    <w:rsid w:val="00652E8B"/>
    <w:rsid w:val="006571BB"/>
    <w:rsid w:val="00657BCB"/>
    <w:rsid w:val="00663F61"/>
    <w:rsid w:val="006646E3"/>
    <w:rsid w:val="006724C0"/>
    <w:rsid w:val="0067457C"/>
    <w:rsid w:val="006754D2"/>
    <w:rsid w:val="00676A4F"/>
    <w:rsid w:val="00682426"/>
    <w:rsid w:val="00683D05"/>
    <w:rsid w:val="006845A3"/>
    <w:rsid w:val="0068734D"/>
    <w:rsid w:val="00687DB0"/>
    <w:rsid w:val="00690A5E"/>
    <w:rsid w:val="006912E3"/>
    <w:rsid w:val="0069176F"/>
    <w:rsid w:val="00691953"/>
    <w:rsid w:val="00693835"/>
    <w:rsid w:val="00694320"/>
    <w:rsid w:val="00695F3B"/>
    <w:rsid w:val="006960C3"/>
    <w:rsid w:val="00696736"/>
    <w:rsid w:val="00697187"/>
    <w:rsid w:val="006A1300"/>
    <w:rsid w:val="006A14C0"/>
    <w:rsid w:val="006A152A"/>
    <w:rsid w:val="006A2D57"/>
    <w:rsid w:val="006A37D5"/>
    <w:rsid w:val="006A3F6A"/>
    <w:rsid w:val="006A4A15"/>
    <w:rsid w:val="006A5735"/>
    <w:rsid w:val="006A67F7"/>
    <w:rsid w:val="006B1B2C"/>
    <w:rsid w:val="006B1D6F"/>
    <w:rsid w:val="006B1FFC"/>
    <w:rsid w:val="006B54C6"/>
    <w:rsid w:val="006B6021"/>
    <w:rsid w:val="006B7558"/>
    <w:rsid w:val="006B7A60"/>
    <w:rsid w:val="006C273B"/>
    <w:rsid w:val="006C3F4D"/>
    <w:rsid w:val="006C6F0B"/>
    <w:rsid w:val="006C7229"/>
    <w:rsid w:val="006D0559"/>
    <w:rsid w:val="006D0E6F"/>
    <w:rsid w:val="006D1C57"/>
    <w:rsid w:val="006D40A3"/>
    <w:rsid w:val="006D472F"/>
    <w:rsid w:val="006E0F98"/>
    <w:rsid w:val="006E2DF1"/>
    <w:rsid w:val="006E426B"/>
    <w:rsid w:val="006E51F5"/>
    <w:rsid w:val="006F357E"/>
    <w:rsid w:val="006F3D4C"/>
    <w:rsid w:val="006F5081"/>
    <w:rsid w:val="006F580F"/>
    <w:rsid w:val="006F7E2E"/>
    <w:rsid w:val="00701135"/>
    <w:rsid w:val="007025A9"/>
    <w:rsid w:val="007027BA"/>
    <w:rsid w:val="00702E4F"/>
    <w:rsid w:val="007044EA"/>
    <w:rsid w:val="00705F84"/>
    <w:rsid w:val="00707C35"/>
    <w:rsid w:val="00712A01"/>
    <w:rsid w:val="00712B68"/>
    <w:rsid w:val="00714869"/>
    <w:rsid w:val="00714D63"/>
    <w:rsid w:val="007161F9"/>
    <w:rsid w:val="007167D8"/>
    <w:rsid w:val="00717524"/>
    <w:rsid w:val="00717D74"/>
    <w:rsid w:val="00720C61"/>
    <w:rsid w:val="007230BA"/>
    <w:rsid w:val="00723DD9"/>
    <w:rsid w:val="0072750B"/>
    <w:rsid w:val="00731455"/>
    <w:rsid w:val="00732519"/>
    <w:rsid w:val="00735FAA"/>
    <w:rsid w:val="00737BEF"/>
    <w:rsid w:val="0074373E"/>
    <w:rsid w:val="00743896"/>
    <w:rsid w:val="0074410D"/>
    <w:rsid w:val="007464C1"/>
    <w:rsid w:val="007527D3"/>
    <w:rsid w:val="00752CA6"/>
    <w:rsid w:val="00753148"/>
    <w:rsid w:val="0075399A"/>
    <w:rsid w:val="00753C7D"/>
    <w:rsid w:val="00753DDD"/>
    <w:rsid w:val="007541AC"/>
    <w:rsid w:val="00754880"/>
    <w:rsid w:val="00754BA9"/>
    <w:rsid w:val="00757423"/>
    <w:rsid w:val="00760451"/>
    <w:rsid w:val="00760739"/>
    <w:rsid w:val="00762808"/>
    <w:rsid w:val="00763A4B"/>
    <w:rsid w:val="00764BC7"/>
    <w:rsid w:val="0076650D"/>
    <w:rsid w:val="00771A6D"/>
    <w:rsid w:val="00772BCB"/>
    <w:rsid w:val="0077482F"/>
    <w:rsid w:val="00774F9C"/>
    <w:rsid w:val="007761B0"/>
    <w:rsid w:val="00776645"/>
    <w:rsid w:val="00776987"/>
    <w:rsid w:val="007773C3"/>
    <w:rsid w:val="00780193"/>
    <w:rsid w:val="00780DC1"/>
    <w:rsid w:val="00783E55"/>
    <w:rsid w:val="007842A0"/>
    <w:rsid w:val="00784516"/>
    <w:rsid w:val="00785ADB"/>
    <w:rsid w:val="00786633"/>
    <w:rsid w:val="00786D47"/>
    <w:rsid w:val="00791244"/>
    <w:rsid w:val="00792E1B"/>
    <w:rsid w:val="007960F7"/>
    <w:rsid w:val="00797CE5"/>
    <w:rsid w:val="007A041D"/>
    <w:rsid w:val="007A0B6A"/>
    <w:rsid w:val="007A19C5"/>
    <w:rsid w:val="007A2A93"/>
    <w:rsid w:val="007A5A58"/>
    <w:rsid w:val="007A6BB7"/>
    <w:rsid w:val="007B0412"/>
    <w:rsid w:val="007B0905"/>
    <w:rsid w:val="007B0DB3"/>
    <w:rsid w:val="007B4CDC"/>
    <w:rsid w:val="007B5221"/>
    <w:rsid w:val="007B70F6"/>
    <w:rsid w:val="007C0CEA"/>
    <w:rsid w:val="007C1068"/>
    <w:rsid w:val="007C2EC4"/>
    <w:rsid w:val="007C627B"/>
    <w:rsid w:val="007C7253"/>
    <w:rsid w:val="007D1B85"/>
    <w:rsid w:val="007D4D0A"/>
    <w:rsid w:val="007D518F"/>
    <w:rsid w:val="007D6B83"/>
    <w:rsid w:val="007D71BE"/>
    <w:rsid w:val="007E007C"/>
    <w:rsid w:val="007E2B05"/>
    <w:rsid w:val="007E5435"/>
    <w:rsid w:val="007F08D9"/>
    <w:rsid w:val="007F0E09"/>
    <w:rsid w:val="007F1CAD"/>
    <w:rsid w:val="007F2EFA"/>
    <w:rsid w:val="007F4EFA"/>
    <w:rsid w:val="007F5F4F"/>
    <w:rsid w:val="008024E2"/>
    <w:rsid w:val="008044F1"/>
    <w:rsid w:val="00806069"/>
    <w:rsid w:val="00806827"/>
    <w:rsid w:val="00806C7F"/>
    <w:rsid w:val="00810CD9"/>
    <w:rsid w:val="00810DB3"/>
    <w:rsid w:val="00811B80"/>
    <w:rsid w:val="00811BF6"/>
    <w:rsid w:val="00811E73"/>
    <w:rsid w:val="00812DC4"/>
    <w:rsid w:val="00813B9F"/>
    <w:rsid w:val="00823432"/>
    <w:rsid w:val="008247C5"/>
    <w:rsid w:val="00824DE8"/>
    <w:rsid w:val="00825490"/>
    <w:rsid w:val="0082652B"/>
    <w:rsid w:val="00826E36"/>
    <w:rsid w:val="00826F01"/>
    <w:rsid w:val="008278A6"/>
    <w:rsid w:val="00827901"/>
    <w:rsid w:val="008344E6"/>
    <w:rsid w:val="00834C9A"/>
    <w:rsid w:val="00840769"/>
    <w:rsid w:val="00840B30"/>
    <w:rsid w:val="00842955"/>
    <w:rsid w:val="00842DAC"/>
    <w:rsid w:val="00847AD6"/>
    <w:rsid w:val="008507D8"/>
    <w:rsid w:val="0085328F"/>
    <w:rsid w:val="00854673"/>
    <w:rsid w:val="00857A1E"/>
    <w:rsid w:val="00857D4C"/>
    <w:rsid w:val="00860C94"/>
    <w:rsid w:val="00861462"/>
    <w:rsid w:val="008614FB"/>
    <w:rsid w:val="00861C66"/>
    <w:rsid w:val="00861D15"/>
    <w:rsid w:val="00863AD3"/>
    <w:rsid w:val="00864163"/>
    <w:rsid w:val="00864227"/>
    <w:rsid w:val="00864DAD"/>
    <w:rsid w:val="00865609"/>
    <w:rsid w:val="00865816"/>
    <w:rsid w:val="00865B72"/>
    <w:rsid w:val="008669B6"/>
    <w:rsid w:val="00866FE0"/>
    <w:rsid w:val="00867C46"/>
    <w:rsid w:val="00872038"/>
    <w:rsid w:val="008745C3"/>
    <w:rsid w:val="0087471E"/>
    <w:rsid w:val="00874821"/>
    <w:rsid w:val="00874DA7"/>
    <w:rsid w:val="00875FA2"/>
    <w:rsid w:val="0088068D"/>
    <w:rsid w:val="008821A9"/>
    <w:rsid w:val="00886CB6"/>
    <w:rsid w:val="00887B26"/>
    <w:rsid w:val="00887C92"/>
    <w:rsid w:val="00890191"/>
    <w:rsid w:val="0089070E"/>
    <w:rsid w:val="00892593"/>
    <w:rsid w:val="00893B3C"/>
    <w:rsid w:val="00894CF0"/>
    <w:rsid w:val="00896256"/>
    <w:rsid w:val="00897B87"/>
    <w:rsid w:val="008A0549"/>
    <w:rsid w:val="008A153A"/>
    <w:rsid w:val="008A2AFD"/>
    <w:rsid w:val="008A48D4"/>
    <w:rsid w:val="008A4D69"/>
    <w:rsid w:val="008A61E0"/>
    <w:rsid w:val="008A700F"/>
    <w:rsid w:val="008A7435"/>
    <w:rsid w:val="008A751B"/>
    <w:rsid w:val="008A7746"/>
    <w:rsid w:val="008B0872"/>
    <w:rsid w:val="008B1A18"/>
    <w:rsid w:val="008B2869"/>
    <w:rsid w:val="008B39AD"/>
    <w:rsid w:val="008B5009"/>
    <w:rsid w:val="008B5092"/>
    <w:rsid w:val="008B5A8E"/>
    <w:rsid w:val="008B5C59"/>
    <w:rsid w:val="008B63E6"/>
    <w:rsid w:val="008B63F4"/>
    <w:rsid w:val="008C1CF9"/>
    <w:rsid w:val="008C2473"/>
    <w:rsid w:val="008C30A9"/>
    <w:rsid w:val="008C496B"/>
    <w:rsid w:val="008C5D32"/>
    <w:rsid w:val="008C624C"/>
    <w:rsid w:val="008D02F7"/>
    <w:rsid w:val="008D433D"/>
    <w:rsid w:val="008E247A"/>
    <w:rsid w:val="008E255F"/>
    <w:rsid w:val="008E3A9A"/>
    <w:rsid w:val="008E4208"/>
    <w:rsid w:val="008E646D"/>
    <w:rsid w:val="008E6B76"/>
    <w:rsid w:val="008E7ECA"/>
    <w:rsid w:val="008F180A"/>
    <w:rsid w:val="008F2D9B"/>
    <w:rsid w:val="008F331B"/>
    <w:rsid w:val="008F47CA"/>
    <w:rsid w:val="00900A0F"/>
    <w:rsid w:val="00900E32"/>
    <w:rsid w:val="0090148D"/>
    <w:rsid w:val="009030FF"/>
    <w:rsid w:val="0090600D"/>
    <w:rsid w:val="00911494"/>
    <w:rsid w:val="009119FC"/>
    <w:rsid w:val="00912924"/>
    <w:rsid w:val="00914062"/>
    <w:rsid w:val="00915F3D"/>
    <w:rsid w:val="00916418"/>
    <w:rsid w:val="00916473"/>
    <w:rsid w:val="009172DF"/>
    <w:rsid w:val="00917357"/>
    <w:rsid w:val="009219CE"/>
    <w:rsid w:val="00921C57"/>
    <w:rsid w:val="00924384"/>
    <w:rsid w:val="00925076"/>
    <w:rsid w:val="009257A8"/>
    <w:rsid w:val="009272FE"/>
    <w:rsid w:val="009278C6"/>
    <w:rsid w:val="0093007B"/>
    <w:rsid w:val="00930496"/>
    <w:rsid w:val="009311D4"/>
    <w:rsid w:val="009332D5"/>
    <w:rsid w:val="009335B5"/>
    <w:rsid w:val="00933820"/>
    <w:rsid w:val="0093403C"/>
    <w:rsid w:val="009340D6"/>
    <w:rsid w:val="00935816"/>
    <w:rsid w:val="009364AA"/>
    <w:rsid w:val="00940E38"/>
    <w:rsid w:val="009423A3"/>
    <w:rsid w:val="00942FD3"/>
    <w:rsid w:val="0094361D"/>
    <w:rsid w:val="00946864"/>
    <w:rsid w:val="00946AF4"/>
    <w:rsid w:val="00947B79"/>
    <w:rsid w:val="00950CD3"/>
    <w:rsid w:val="00953B9C"/>
    <w:rsid w:val="0095421C"/>
    <w:rsid w:val="00954D6B"/>
    <w:rsid w:val="009622F8"/>
    <w:rsid w:val="00963398"/>
    <w:rsid w:val="00965516"/>
    <w:rsid w:val="009730A4"/>
    <w:rsid w:val="00973D85"/>
    <w:rsid w:val="009744E1"/>
    <w:rsid w:val="0097551A"/>
    <w:rsid w:val="00975BB0"/>
    <w:rsid w:val="00976D78"/>
    <w:rsid w:val="009772DB"/>
    <w:rsid w:val="0097744E"/>
    <w:rsid w:val="009823BD"/>
    <w:rsid w:val="0098398D"/>
    <w:rsid w:val="00985379"/>
    <w:rsid w:val="0099083C"/>
    <w:rsid w:val="00992D6A"/>
    <w:rsid w:val="00996592"/>
    <w:rsid w:val="00996B17"/>
    <w:rsid w:val="00997116"/>
    <w:rsid w:val="009A1AB8"/>
    <w:rsid w:val="009A1B21"/>
    <w:rsid w:val="009A1DF5"/>
    <w:rsid w:val="009A4ABA"/>
    <w:rsid w:val="009A5522"/>
    <w:rsid w:val="009B07A4"/>
    <w:rsid w:val="009B14B7"/>
    <w:rsid w:val="009B14FC"/>
    <w:rsid w:val="009B2A2C"/>
    <w:rsid w:val="009B2AD5"/>
    <w:rsid w:val="009B4858"/>
    <w:rsid w:val="009B5334"/>
    <w:rsid w:val="009B59D6"/>
    <w:rsid w:val="009B6015"/>
    <w:rsid w:val="009C011D"/>
    <w:rsid w:val="009C013F"/>
    <w:rsid w:val="009C0218"/>
    <w:rsid w:val="009C10B6"/>
    <w:rsid w:val="009C298D"/>
    <w:rsid w:val="009C3692"/>
    <w:rsid w:val="009C3877"/>
    <w:rsid w:val="009C4428"/>
    <w:rsid w:val="009C46DD"/>
    <w:rsid w:val="009C5B2B"/>
    <w:rsid w:val="009C652E"/>
    <w:rsid w:val="009C6E3E"/>
    <w:rsid w:val="009D1FF7"/>
    <w:rsid w:val="009D21A0"/>
    <w:rsid w:val="009D2F4D"/>
    <w:rsid w:val="009D36CD"/>
    <w:rsid w:val="009D4875"/>
    <w:rsid w:val="009D50CB"/>
    <w:rsid w:val="009D6B63"/>
    <w:rsid w:val="009D7BDD"/>
    <w:rsid w:val="009E2517"/>
    <w:rsid w:val="009E26F8"/>
    <w:rsid w:val="009E61F1"/>
    <w:rsid w:val="009E6737"/>
    <w:rsid w:val="009E70FC"/>
    <w:rsid w:val="009F06F6"/>
    <w:rsid w:val="009F09BE"/>
    <w:rsid w:val="009F1787"/>
    <w:rsid w:val="009F2217"/>
    <w:rsid w:val="009F2A1C"/>
    <w:rsid w:val="009F4048"/>
    <w:rsid w:val="009F4117"/>
    <w:rsid w:val="009F45CC"/>
    <w:rsid w:val="009F7934"/>
    <w:rsid w:val="00A000C5"/>
    <w:rsid w:val="00A0081B"/>
    <w:rsid w:val="00A0237B"/>
    <w:rsid w:val="00A03DB0"/>
    <w:rsid w:val="00A05173"/>
    <w:rsid w:val="00A05AEC"/>
    <w:rsid w:val="00A05DF8"/>
    <w:rsid w:val="00A1611B"/>
    <w:rsid w:val="00A203B4"/>
    <w:rsid w:val="00A21205"/>
    <w:rsid w:val="00A216D5"/>
    <w:rsid w:val="00A22992"/>
    <w:rsid w:val="00A231A7"/>
    <w:rsid w:val="00A26652"/>
    <w:rsid w:val="00A306B0"/>
    <w:rsid w:val="00A307B3"/>
    <w:rsid w:val="00A30B9D"/>
    <w:rsid w:val="00A318A9"/>
    <w:rsid w:val="00A31A75"/>
    <w:rsid w:val="00A33CB8"/>
    <w:rsid w:val="00A342D2"/>
    <w:rsid w:val="00A34C6A"/>
    <w:rsid w:val="00A35215"/>
    <w:rsid w:val="00A3763A"/>
    <w:rsid w:val="00A448AE"/>
    <w:rsid w:val="00A47CE0"/>
    <w:rsid w:val="00A525A0"/>
    <w:rsid w:val="00A5380E"/>
    <w:rsid w:val="00A54A39"/>
    <w:rsid w:val="00A559D8"/>
    <w:rsid w:val="00A579E3"/>
    <w:rsid w:val="00A62843"/>
    <w:rsid w:val="00A63EEA"/>
    <w:rsid w:val="00A64207"/>
    <w:rsid w:val="00A7141D"/>
    <w:rsid w:val="00A741D0"/>
    <w:rsid w:val="00A74377"/>
    <w:rsid w:val="00A762C4"/>
    <w:rsid w:val="00A766A9"/>
    <w:rsid w:val="00A804C2"/>
    <w:rsid w:val="00A8279A"/>
    <w:rsid w:val="00A82D1C"/>
    <w:rsid w:val="00A82FD4"/>
    <w:rsid w:val="00A835E3"/>
    <w:rsid w:val="00A8422D"/>
    <w:rsid w:val="00A849CA"/>
    <w:rsid w:val="00A85726"/>
    <w:rsid w:val="00A91858"/>
    <w:rsid w:val="00A92827"/>
    <w:rsid w:val="00A95101"/>
    <w:rsid w:val="00AA134E"/>
    <w:rsid w:val="00AA1974"/>
    <w:rsid w:val="00AA2269"/>
    <w:rsid w:val="00AA3E2D"/>
    <w:rsid w:val="00AA4702"/>
    <w:rsid w:val="00AA4E1F"/>
    <w:rsid w:val="00AA6CA9"/>
    <w:rsid w:val="00AA74DF"/>
    <w:rsid w:val="00AB3A85"/>
    <w:rsid w:val="00AB5587"/>
    <w:rsid w:val="00AB74F1"/>
    <w:rsid w:val="00AC2CCE"/>
    <w:rsid w:val="00AC33FE"/>
    <w:rsid w:val="00AC3B23"/>
    <w:rsid w:val="00AC46BA"/>
    <w:rsid w:val="00AC4941"/>
    <w:rsid w:val="00AC738D"/>
    <w:rsid w:val="00AC75C1"/>
    <w:rsid w:val="00AC7711"/>
    <w:rsid w:val="00AC7EE6"/>
    <w:rsid w:val="00AD1A56"/>
    <w:rsid w:val="00AD20A1"/>
    <w:rsid w:val="00AD34EB"/>
    <w:rsid w:val="00AD3A53"/>
    <w:rsid w:val="00AD62B6"/>
    <w:rsid w:val="00AD66A0"/>
    <w:rsid w:val="00AE0C9B"/>
    <w:rsid w:val="00AE1E33"/>
    <w:rsid w:val="00AE44FB"/>
    <w:rsid w:val="00AE5DE2"/>
    <w:rsid w:val="00AE72DC"/>
    <w:rsid w:val="00AF266F"/>
    <w:rsid w:val="00AF4E71"/>
    <w:rsid w:val="00AF4E76"/>
    <w:rsid w:val="00AF5324"/>
    <w:rsid w:val="00AF58FE"/>
    <w:rsid w:val="00AF68FA"/>
    <w:rsid w:val="00AF7787"/>
    <w:rsid w:val="00B0129D"/>
    <w:rsid w:val="00B04E8A"/>
    <w:rsid w:val="00B051F5"/>
    <w:rsid w:val="00B06B86"/>
    <w:rsid w:val="00B075F5"/>
    <w:rsid w:val="00B07CD6"/>
    <w:rsid w:val="00B1097E"/>
    <w:rsid w:val="00B130A8"/>
    <w:rsid w:val="00B13673"/>
    <w:rsid w:val="00B141E1"/>
    <w:rsid w:val="00B16E32"/>
    <w:rsid w:val="00B17A47"/>
    <w:rsid w:val="00B20107"/>
    <w:rsid w:val="00B2186F"/>
    <w:rsid w:val="00B21A82"/>
    <w:rsid w:val="00B2283D"/>
    <w:rsid w:val="00B22FDD"/>
    <w:rsid w:val="00B233A3"/>
    <w:rsid w:val="00B24847"/>
    <w:rsid w:val="00B25134"/>
    <w:rsid w:val="00B271D6"/>
    <w:rsid w:val="00B27778"/>
    <w:rsid w:val="00B311C8"/>
    <w:rsid w:val="00B32E33"/>
    <w:rsid w:val="00B3320F"/>
    <w:rsid w:val="00B343C3"/>
    <w:rsid w:val="00B34A84"/>
    <w:rsid w:val="00B3582E"/>
    <w:rsid w:val="00B37190"/>
    <w:rsid w:val="00B41CD1"/>
    <w:rsid w:val="00B41E95"/>
    <w:rsid w:val="00B41F31"/>
    <w:rsid w:val="00B439C1"/>
    <w:rsid w:val="00B445B7"/>
    <w:rsid w:val="00B44CD1"/>
    <w:rsid w:val="00B45388"/>
    <w:rsid w:val="00B45693"/>
    <w:rsid w:val="00B46894"/>
    <w:rsid w:val="00B4714C"/>
    <w:rsid w:val="00B51F18"/>
    <w:rsid w:val="00B54582"/>
    <w:rsid w:val="00B5596E"/>
    <w:rsid w:val="00B5721C"/>
    <w:rsid w:val="00B611BF"/>
    <w:rsid w:val="00B625A5"/>
    <w:rsid w:val="00B645F3"/>
    <w:rsid w:val="00B64B18"/>
    <w:rsid w:val="00B65DDE"/>
    <w:rsid w:val="00B66B95"/>
    <w:rsid w:val="00B66DD1"/>
    <w:rsid w:val="00B714E3"/>
    <w:rsid w:val="00B7189D"/>
    <w:rsid w:val="00B71A75"/>
    <w:rsid w:val="00B7488B"/>
    <w:rsid w:val="00B77166"/>
    <w:rsid w:val="00B80216"/>
    <w:rsid w:val="00B81978"/>
    <w:rsid w:val="00B821AC"/>
    <w:rsid w:val="00B82D62"/>
    <w:rsid w:val="00B83D62"/>
    <w:rsid w:val="00B84B8C"/>
    <w:rsid w:val="00B86171"/>
    <w:rsid w:val="00B8789E"/>
    <w:rsid w:val="00B9173A"/>
    <w:rsid w:val="00B9261F"/>
    <w:rsid w:val="00B92924"/>
    <w:rsid w:val="00B95A79"/>
    <w:rsid w:val="00BA0721"/>
    <w:rsid w:val="00BA11B0"/>
    <w:rsid w:val="00BA13FF"/>
    <w:rsid w:val="00BA1443"/>
    <w:rsid w:val="00BA175D"/>
    <w:rsid w:val="00BA34AA"/>
    <w:rsid w:val="00BA45EC"/>
    <w:rsid w:val="00BA7C23"/>
    <w:rsid w:val="00BB18F5"/>
    <w:rsid w:val="00BB2457"/>
    <w:rsid w:val="00BB441F"/>
    <w:rsid w:val="00BB65DD"/>
    <w:rsid w:val="00BC0394"/>
    <w:rsid w:val="00BC0DE8"/>
    <w:rsid w:val="00BC34AE"/>
    <w:rsid w:val="00BC4AE2"/>
    <w:rsid w:val="00BC70A0"/>
    <w:rsid w:val="00BC7C88"/>
    <w:rsid w:val="00BD4D7E"/>
    <w:rsid w:val="00BD60FB"/>
    <w:rsid w:val="00BD6BD9"/>
    <w:rsid w:val="00BE0812"/>
    <w:rsid w:val="00BE13F9"/>
    <w:rsid w:val="00BE18C9"/>
    <w:rsid w:val="00BE1D10"/>
    <w:rsid w:val="00BE4E67"/>
    <w:rsid w:val="00BE67B3"/>
    <w:rsid w:val="00BE7744"/>
    <w:rsid w:val="00BE7A0A"/>
    <w:rsid w:val="00BF0356"/>
    <w:rsid w:val="00BF285A"/>
    <w:rsid w:val="00BF40B1"/>
    <w:rsid w:val="00BF4202"/>
    <w:rsid w:val="00BF43BE"/>
    <w:rsid w:val="00BF564B"/>
    <w:rsid w:val="00BF5830"/>
    <w:rsid w:val="00BF5CA7"/>
    <w:rsid w:val="00BF6944"/>
    <w:rsid w:val="00BF6CB3"/>
    <w:rsid w:val="00C02DC1"/>
    <w:rsid w:val="00C04D1A"/>
    <w:rsid w:val="00C06842"/>
    <w:rsid w:val="00C06B55"/>
    <w:rsid w:val="00C07DF8"/>
    <w:rsid w:val="00C103B2"/>
    <w:rsid w:val="00C11085"/>
    <w:rsid w:val="00C11C4B"/>
    <w:rsid w:val="00C11DCF"/>
    <w:rsid w:val="00C12972"/>
    <w:rsid w:val="00C133F0"/>
    <w:rsid w:val="00C138A0"/>
    <w:rsid w:val="00C140E1"/>
    <w:rsid w:val="00C1525B"/>
    <w:rsid w:val="00C15E65"/>
    <w:rsid w:val="00C170F5"/>
    <w:rsid w:val="00C203BB"/>
    <w:rsid w:val="00C20785"/>
    <w:rsid w:val="00C2128D"/>
    <w:rsid w:val="00C21A75"/>
    <w:rsid w:val="00C22FFB"/>
    <w:rsid w:val="00C24EF2"/>
    <w:rsid w:val="00C255C1"/>
    <w:rsid w:val="00C267C5"/>
    <w:rsid w:val="00C26957"/>
    <w:rsid w:val="00C31077"/>
    <w:rsid w:val="00C32B08"/>
    <w:rsid w:val="00C34037"/>
    <w:rsid w:val="00C3597F"/>
    <w:rsid w:val="00C35B66"/>
    <w:rsid w:val="00C36378"/>
    <w:rsid w:val="00C36DB9"/>
    <w:rsid w:val="00C4017A"/>
    <w:rsid w:val="00C40656"/>
    <w:rsid w:val="00C40D4D"/>
    <w:rsid w:val="00C42016"/>
    <w:rsid w:val="00C42B71"/>
    <w:rsid w:val="00C448AE"/>
    <w:rsid w:val="00C448FE"/>
    <w:rsid w:val="00C527EB"/>
    <w:rsid w:val="00C53CEC"/>
    <w:rsid w:val="00C55280"/>
    <w:rsid w:val="00C55363"/>
    <w:rsid w:val="00C6307F"/>
    <w:rsid w:val="00C64838"/>
    <w:rsid w:val="00C64AD2"/>
    <w:rsid w:val="00C64BD0"/>
    <w:rsid w:val="00C64C88"/>
    <w:rsid w:val="00C661D9"/>
    <w:rsid w:val="00C67F62"/>
    <w:rsid w:val="00C70E35"/>
    <w:rsid w:val="00C71CAF"/>
    <w:rsid w:val="00C759F8"/>
    <w:rsid w:val="00C762DE"/>
    <w:rsid w:val="00C81F63"/>
    <w:rsid w:val="00C839AB"/>
    <w:rsid w:val="00C83B3E"/>
    <w:rsid w:val="00C8597C"/>
    <w:rsid w:val="00C865A3"/>
    <w:rsid w:val="00C87B06"/>
    <w:rsid w:val="00C91451"/>
    <w:rsid w:val="00C92791"/>
    <w:rsid w:val="00C92F35"/>
    <w:rsid w:val="00C93249"/>
    <w:rsid w:val="00C93E90"/>
    <w:rsid w:val="00C959F6"/>
    <w:rsid w:val="00C96220"/>
    <w:rsid w:val="00CA04B0"/>
    <w:rsid w:val="00CA0915"/>
    <w:rsid w:val="00CA1DD1"/>
    <w:rsid w:val="00CA31BA"/>
    <w:rsid w:val="00CB13AB"/>
    <w:rsid w:val="00CB18AF"/>
    <w:rsid w:val="00CB2613"/>
    <w:rsid w:val="00CB2B82"/>
    <w:rsid w:val="00CB4E45"/>
    <w:rsid w:val="00CB78E8"/>
    <w:rsid w:val="00CC115D"/>
    <w:rsid w:val="00CC2257"/>
    <w:rsid w:val="00CC3FCF"/>
    <w:rsid w:val="00CC40A2"/>
    <w:rsid w:val="00CC66E1"/>
    <w:rsid w:val="00CC7FFD"/>
    <w:rsid w:val="00CD47BE"/>
    <w:rsid w:val="00CD4FDB"/>
    <w:rsid w:val="00CD510C"/>
    <w:rsid w:val="00CD55F7"/>
    <w:rsid w:val="00CD58C6"/>
    <w:rsid w:val="00CD5D20"/>
    <w:rsid w:val="00CD65F5"/>
    <w:rsid w:val="00CD7560"/>
    <w:rsid w:val="00CD7B46"/>
    <w:rsid w:val="00CE0362"/>
    <w:rsid w:val="00CE2F17"/>
    <w:rsid w:val="00CE4B09"/>
    <w:rsid w:val="00CE7932"/>
    <w:rsid w:val="00CF0109"/>
    <w:rsid w:val="00CF10D9"/>
    <w:rsid w:val="00CF30D1"/>
    <w:rsid w:val="00CF4775"/>
    <w:rsid w:val="00CF69B8"/>
    <w:rsid w:val="00D00705"/>
    <w:rsid w:val="00D00D7B"/>
    <w:rsid w:val="00D01525"/>
    <w:rsid w:val="00D01B24"/>
    <w:rsid w:val="00D01EA8"/>
    <w:rsid w:val="00D02D20"/>
    <w:rsid w:val="00D031E8"/>
    <w:rsid w:val="00D04349"/>
    <w:rsid w:val="00D044C9"/>
    <w:rsid w:val="00D06D0C"/>
    <w:rsid w:val="00D157B0"/>
    <w:rsid w:val="00D167A2"/>
    <w:rsid w:val="00D17A3D"/>
    <w:rsid w:val="00D17A91"/>
    <w:rsid w:val="00D253F8"/>
    <w:rsid w:val="00D2601C"/>
    <w:rsid w:val="00D302C3"/>
    <w:rsid w:val="00D313FB"/>
    <w:rsid w:val="00D325FD"/>
    <w:rsid w:val="00D36EE7"/>
    <w:rsid w:val="00D3739C"/>
    <w:rsid w:val="00D379A6"/>
    <w:rsid w:val="00D40063"/>
    <w:rsid w:val="00D412AE"/>
    <w:rsid w:val="00D41764"/>
    <w:rsid w:val="00D42B06"/>
    <w:rsid w:val="00D443CB"/>
    <w:rsid w:val="00D4750E"/>
    <w:rsid w:val="00D47FC0"/>
    <w:rsid w:val="00D503A3"/>
    <w:rsid w:val="00D510FC"/>
    <w:rsid w:val="00D519B8"/>
    <w:rsid w:val="00D525FB"/>
    <w:rsid w:val="00D53070"/>
    <w:rsid w:val="00D53E05"/>
    <w:rsid w:val="00D5473F"/>
    <w:rsid w:val="00D6117B"/>
    <w:rsid w:val="00D62B17"/>
    <w:rsid w:val="00D62EEE"/>
    <w:rsid w:val="00D641A5"/>
    <w:rsid w:val="00D641BE"/>
    <w:rsid w:val="00D64CF9"/>
    <w:rsid w:val="00D65851"/>
    <w:rsid w:val="00D66F45"/>
    <w:rsid w:val="00D71E73"/>
    <w:rsid w:val="00D74A46"/>
    <w:rsid w:val="00D74BD3"/>
    <w:rsid w:val="00D74C9B"/>
    <w:rsid w:val="00D7543B"/>
    <w:rsid w:val="00D75AC1"/>
    <w:rsid w:val="00D777C8"/>
    <w:rsid w:val="00D820F6"/>
    <w:rsid w:val="00D84ADF"/>
    <w:rsid w:val="00D84B36"/>
    <w:rsid w:val="00D87257"/>
    <w:rsid w:val="00D873E9"/>
    <w:rsid w:val="00D91B32"/>
    <w:rsid w:val="00D927FE"/>
    <w:rsid w:val="00D94BFD"/>
    <w:rsid w:val="00D95507"/>
    <w:rsid w:val="00D97645"/>
    <w:rsid w:val="00DA09B3"/>
    <w:rsid w:val="00DA3540"/>
    <w:rsid w:val="00DB213D"/>
    <w:rsid w:val="00DB2379"/>
    <w:rsid w:val="00DB5810"/>
    <w:rsid w:val="00DB7C1B"/>
    <w:rsid w:val="00DC27FB"/>
    <w:rsid w:val="00DC3145"/>
    <w:rsid w:val="00DC59C3"/>
    <w:rsid w:val="00DC5F4A"/>
    <w:rsid w:val="00DC6A57"/>
    <w:rsid w:val="00DC7895"/>
    <w:rsid w:val="00DD0083"/>
    <w:rsid w:val="00DD019B"/>
    <w:rsid w:val="00DD081B"/>
    <w:rsid w:val="00DD1443"/>
    <w:rsid w:val="00DD4EE3"/>
    <w:rsid w:val="00DD5BE5"/>
    <w:rsid w:val="00DD5F69"/>
    <w:rsid w:val="00DE0263"/>
    <w:rsid w:val="00DE0BEC"/>
    <w:rsid w:val="00DE152E"/>
    <w:rsid w:val="00DE1B46"/>
    <w:rsid w:val="00DE2F20"/>
    <w:rsid w:val="00DE3850"/>
    <w:rsid w:val="00DE4F4B"/>
    <w:rsid w:val="00DE791E"/>
    <w:rsid w:val="00DF1B08"/>
    <w:rsid w:val="00DF3258"/>
    <w:rsid w:val="00DF6171"/>
    <w:rsid w:val="00DF6D81"/>
    <w:rsid w:val="00DF7BA7"/>
    <w:rsid w:val="00E01928"/>
    <w:rsid w:val="00E03828"/>
    <w:rsid w:val="00E03993"/>
    <w:rsid w:val="00E10236"/>
    <w:rsid w:val="00E10994"/>
    <w:rsid w:val="00E111D9"/>
    <w:rsid w:val="00E11641"/>
    <w:rsid w:val="00E128F5"/>
    <w:rsid w:val="00E13A60"/>
    <w:rsid w:val="00E1574B"/>
    <w:rsid w:val="00E15AED"/>
    <w:rsid w:val="00E15DB2"/>
    <w:rsid w:val="00E166DB"/>
    <w:rsid w:val="00E16E81"/>
    <w:rsid w:val="00E20EED"/>
    <w:rsid w:val="00E24673"/>
    <w:rsid w:val="00E253E5"/>
    <w:rsid w:val="00E26935"/>
    <w:rsid w:val="00E26E70"/>
    <w:rsid w:val="00E27A49"/>
    <w:rsid w:val="00E31500"/>
    <w:rsid w:val="00E31718"/>
    <w:rsid w:val="00E31F99"/>
    <w:rsid w:val="00E3567F"/>
    <w:rsid w:val="00E372BE"/>
    <w:rsid w:val="00E37FF5"/>
    <w:rsid w:val="00E40FF3"/>
    <w:rsid w:val="00E4103B"/>
    <w:rsid w:val="00E417C3"/>
    <w:rsid w:val="00E421F9"/>
    <w:rsid w:val="00E42649"/>
    <w:rsid w:val="00E429BD"/>
    <w:rsid w:val="00E44D12"/>
    <w:rsid w:val="00E46251"/>
    <w:rsid w:val="00E46830"/>
    <w:rsid w:val="00E47A3F"/>
    <w:rsid w:val="00E51E99"/>
    <w:rsid w:val="00E5218F"/>
    <w:rsid w:val="00E5293F"/>
    <w:rsid w:val="00E5341F"/>
    <w:rsid w:val="00E53B00"/>
    <w:rsid w:val="00E56846"/>
    <w:rsid w:val="00E57BEB"/>
    <w:rsid w:val="00E607FC"/>
    <w:rsid w:val="00E60A69"/>
    <w:rsid w:val="00E617C6"/>
    <w:rsid w:val="00E625BE"/>
    <w:rsid w:val="00E62C61"/>
    <w:rsid w:val="00E64B59"/>
    <w:rsid w:val="00E652EF"/>
    <w:rsid w:val="00E65806"/>
    <w:rsid w:val="00E66700"/>
    <w:rsid w:val="00E678EB"/>
    <w:rsid w:val="00E7157A"/>
    <w:rsid w:val="00E72F6C"/>
    <w:rsid w:val="00E74D94"/>
    <w:rsid w:val="00E751EF"/>
    <w:rsid w:val="00E7530E"/>
    <w:rsid w:val="00E75AC0"/>
    <w:rsid w:val="00E76BCE"/>
    <w:rsid w:val="00E76C94"/>
    <w:rsid w:val="00E82102"/>
    <w:rsid w:val="00E84F91"/>
    <w:rsid w:val="00E867D6"/>
    <w:rsid w:val="00E86FA3"/>
    <w:rsid w:val="00E907DB"/>
    <w:rsid w:val="00E90B76"/>
    <w:rsid w:val="00E90E5C"/>
    <w:rsid w:val="00E91CCC"/>
    <w:rsid w:val="00E93630"/>
    <w:rsid w:val="00E950B9"/>
    <w:rsid w:val="00EA03CD"/>
    <w:rsid w:val="00EA0CF0"/>
    <w:rsid w:val="00EA11A8"/>
    <w:rsid w:val="00EA13B3"/>
    <w:rsid w:val="00EA14EC"/>
    <w:rsid w:val="00EA2882"/>
    <w:rsid w:val="00EA3FF7"/>
    <w:rsid w:val="00EA686D"/>
    <w:rsid w:val="00EB58B8"/>
    <w:rsid w:val="00EB69C7"/>
    <w:rsid w:val="00EC0996"/>
    <w:rsid w:val="00EC09F7"/>
    <w:rsid w:val="00EC1D66"/>
    <w:rsid w:val="00EC2229"/>
    <w:rsid w:val="00EC3A13"/>
    <w:rsid w:val="00EC4629"/>
    <w:rsid w:val="00EC4EFC"/>
    <w:rsid w:val="00EC6704"/>
    <w:rsid w:val="00EC6967"/>
    <w:rsid w:val="00ED52E8"/>
    <w:rsid w:val="00ED6EC2"/>
    <w:rsid w:val="00ED71AE"/>
    <w:rsid w:val="00EE04BA"/>
    <w:rsid w:val="00EE0956"/>
    <w:rsid w:val="00EE2881"/>
    <w:rsid w:val="00EE2AD1"/>
    <w:rsid w:val="00EE2D77"/>
    <w:rsid w:val="00EE3601"/>
    <w:rsid w:val="00EE5B55"/>
    <w:rsid w:val="00EE6CCD"/>
    <w:rsid w:val="00EE6DA1"/>
    <w:rsid w:val="00EF035B"/>
    <w:rsid w:val="00EF0E2F"/>
    <w:rsid w:val="00EF33ED"/>
    <w:rsid w:val="00EF36EB"/>
    <w:rsid w:val="00EF3E69"/>
    <w:rsid w:val="00EF4004"/>
    <w:rsid w:val="00EF41D2"/>
    <w:rsid w:val="00EF4A6B"/>
    <w:rsid w:val="00EF4E98"/>
    <w:rsid w:val="00EF6A92"/>
    <w:rsid w:val="00EF71BA"/>
    <w:rsid w:val="00F00DB6"/>
    <w:rsid w:val="00F02CF7"/>
    <w:rsid w:val="00F0325D"/>
    <w:rsid w:val="00F04082"/>
    <w:rsid w:val="00F041A4"/>
    <w:rsid w:val="00F04F31"/>
    <w:rsid w:val="00F059EA"/>
    <w:rsid w:val="00F06CEC"/>
    <w:rsid w:val="00F10FA1"/>
    <w:rsid w:val="00F110E9"/>
    <w:rsid w:val="00F1220A"/>
    <w:rsid w:val="00F12EBE"/>
    <w:rsid w:val="00F13FE7"/>
    <w:rsid w:val="00F15C77"/>
    <w:rsid w:val="00F16965"/>
    <w:rsid w:val="00F16B17"/>
    <w:rsid w:val="00F1765E"/>
    <w:rsid w:val="00F21D85"/>
    <w:rsid w:val="00F22DCD"/>
    <w:rsid w:val="00F24538"/>
    <w:rsid w:val="00F247EC"/>
    <w:rsid w:val="00F2486D"/>
    <w:rsid w:val="00F256DA"/>
    <w:rsid w:val="00F25D2A"/>
    <w:rsid w:val="00F27DBD"/>
    <w:rsid w:val="00F30B2D"/>
    <w:rsid w:val="00F31986"/>
    <w:rsid w:val="00F32D7E"/>
    <w:rsid w:val="00F338B5"/>
    <w:rsid w:val="00F3550A"/>
    <w:rsid w:val="00F35995"/>
    <w:rsid w:val="00F41704"/>
    <w:rsid w:val="00F42133"/>
    <w:rsid w:val="00F43251"/>
    <w:rsid w:val="00F43A48"/>
    <w:rsid w:val="00F45383"/>
    <w:rsid w:val="00F47357"/>
    <w:rsid w:val="00F50F09"/>
    <w:rsid w:val="00F51B44"/>
    <w:rsid w:val="00F51B84"/>
    <w:rsid w:val="00F56E70"/>
    <w:rsid w:val="00F61062"/>
    <w:rsid w:val="00F61488"/>
    <w:rsid w:val="00F629C2"/>
    <w:rsid w:val="00F630C3"/>
    <w:rsid w:val="00F653C0"/>
    <w:rsid w:val="00F756A2"/>
    <w:rsid w:val="00F779FD"/>
    <w:rsid w:val="00F80FBF"/>
    <w:rsid w:val="00F81683"/>
    <w:rsid w:val="00F83AB2"/>
    <w:rsid w:val="00F83B4A"/>
    <w:rsid w:val="00F845E5"/>
    <w:rsid w:val="00F853E4"/>
    <w:rsid w:val="00F91827"/>
    <w:rsid w:val="00F94182"/>
    <w:rsid w:val="00F9418B"/>
    <w:rsid w:val="00F965F1"/>
    <w:rsid w:val="00F9688D"/>
    <w:rsid w:val="00F97C91"/>
    <w:rsid w:val="00FA17AA"/>
    <w:rsid w:val="00FA3482"/>
    <w:rsid w:val="00FA39B3"/>
    <w:rsid w:val="00FA45BE"/>
    <w:rsid w:val="00FA4A75"/>
    <w:rsid w:val="00FA6B3A"/>
    <w:rsid w:val="00FB01BF"/>
    <w:rsid w:val="00FB0CAC"/>
    <w:rsid w:val="00FB1254"/>
    <w:rsid w:val="00FB61E2"/>
    <w:rsid w:val="00FC1079"/>
    <w:rsid w:val="00FC117C"/>
    <w:rsid w:val="00FC13DB"/>
    <w:rsid w:val="00FC1BDE"/>
    <w:rsid w:val="00FC3829"/>
    <w:rsid w:val="00FC3E0C"/>
    <w:rsid w:val="00FC5D78"/>
    <w:rsid w:val="00FC7124"/>
    <w:rsid w:val="00FD1093"/>
    <w:rsid w:val="00FD3BFF"/>
    <w:rsid w:val="00FD66BA"/>
    <w:rsid w:val="00FE10A5"/>
    <w:rsid w:val="00FE1CFC"/>
    <w:rsid w:val="00FE3914"/>
    <w:rsid w:val="00FE525A"/>
    <w:rsid w:val="00FE5511"/>
    <w:rsid w:val="00FE664C"/>
    <w:rsid w:val="00FE7817"/>
    <w:rsid w:val="00FE7D65"/>
    <w:rsid w:val="00FE7D7A"/>
    <w:rsid w:val="00FF0487"/>
    <w:rsid w:val="00FF2C8C"/>
    <w:rsid w:val="00FF4786"/>
    <w:rsid w:val="00FF55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B2AAF6"/>
  <w15:chartTrackingRefBased/>
  <w15:docId w15:val="{A6FE2624-CB68-4910-9817-040578AB6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2112"/>
    <w:pPr>
      <w:spacing w:line="360" w:lineRule="auto"/>
      <w:jc w:val="both"/>
    </w:pPr>
    <w:rPr>
      <w:sz w:val="20"/>
    </w:rPr>
  </w:style>
  <w:style w:type="paragraph" w:styleId="Heading1">
    <w:name w:val="heading 1"/>
    <w:basedOn w:val="Normal"/>
    <w:next w:val="Normal"/>
    <w:link w:val="Heading1Char"/>
    <w:uiPriority w:val="9"/>
    <w:qFormat/>
    <w:rsid w:val="00C267C5"/>
    <w:pPr>
      <w:keepNext/>
      <w:keepLines/>
      <w:spacing w:before="240" w:after="0"/>
      <w:outlineLvl w:val="0"/>
    </w:pPr>
    <w:rPr>
      <w:rFonts w:asciiTheme="majorHAnsi" w:eastAsiaTheme="majorEastAsia" w:hAnsiTheme="majorHAnsi" w:cstheme="majorBidi"/>
      <w:b/>
      <w:sz w:val="28"/>
      <w:szCs w:val="32"/>
    </w:rPr>
  </w:style>
  <w:style w:type="paragraph" w:styleId="Heading2">
    <w:name w:val="heading 2"/>
    <w:basedOn w:val="Normal"/>
    <w:next w:val="Normal"/>
    <w:link w:val="Heading2Char"/>
    <w:uiPriority w:val="9"/>
    <w:unhideWhenUsed/>
    <w:qFormat/>
    <w:rsid w:val="00C267C5"/>
    <w:pPr>
      <w:keepNext/>
      <w:keepLines/>
      <w:spacing w:before="40" w:after="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rsid w:val="00B821A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A74DF"/>
    <w:pPr>
      <w:ind w:left="720"/>
      <w:contextualSpacing/>
    </w:pPr>
  </w:style>
  <w:style w:type="character" w:styleId="Hyperlink">
    <w:name w:val="Hyperlink"/>
    <w:basedOn w:val="DefaultParagraphFont"/>
    <w:uiPriority w:val="99"/>
    <w:unhideWhenUsed/>
    <w:rsid w:val="00A3763A"/>
    <w:rPr>
      <w:color w:val="0000FF"/>
      <w:u w:val="single"/>
    </w:rPr>
  </w:style>
  <w:style w:type="character" w:customStyle="1" w:styleId="Heading1Char">
    <w:name w:val="Heading 1 Char"/>
    <w:basedOn w:val="DefaultParagraphFont"/>
    <w:link w:val="Heading1"/>
    <w:uiPriority w:val="9"/>
    <w:rsid w:val="00C267C5"/>
    <w:rPr>
      <w:rFonts w:asciiTheme="majorHAnsi" w:eastAsiaTheme="majorEastAsia" w:hAnsiTheme="majorHAnsi" w:cstheme="majorBidi"/>
      <w:b/>
      <w:sz w:val="28"/>
      <w:szCs w:val="32"/>
    </w:rPr>
  </w:style>
  <w:style w:type="character" w:customStyle="1" w:styleId="Heading2Char">
    <w:name w:val="Heading 2 Char"/>
    <w:basedOn w:val="DefaultParagraphFont"/>
    <w:link w:val="Heading2"/>
    <w:uiPriority w:val="9"/>
    <w:rsid w:val="00C267C5"/>
    <w:rPr>
      <w:rFonts w:asciiTheme="majorHAnsi" w:eastAsiaTheme="majorEastAsia" w:hAnsiTheme="majorHAnsi" w:cstheme="majorBidi"/>
      <w:b/>
      <w:sz w:val="24"/>
      <w:szCs w:val="26"/>
    </w:rPr>
  </w:style>
  <w:style w:type="character" w:styleId="FollowedHyperlink">
    <w:name w:val="FollowedHyperlink"/>
    <w:basedOn w:val="DefaultParagraphFont"/>
    <w:uiPriority w:val="99"/>
    <w:semiHidden/>
    <w:unhideWhenUsed/>
    <w:rsid w:val="00BF5830"/>
    <w:rPr>
      <w:color w:val="954F72" w:themeColor="followedHyperlink"/>
      <w:u w:val="single"/>
    </w:rPr>
  </w:style>
  <w:style w:type="paragraph" w:styleId="Title">
    <w:name w:val="Title"/>
    <w:basedOn w:val="Normal"/>
    <w:next w:val="Normal"/>
    <w:link w:val="TitleChar"/>
    <w:uiPriority w:val="10"/>
    <w:qFormat/>
    <w:rsid w:val="00BF583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5830"/>
    <w:rPr>
      <w:rFonts w:asciiTheme="majorHAnsi" w:eastAsiaTheme="majorEastAsia" w:hAnsiTheme="majorHAnsi" w:cstheme="majorBidi"/>
      <w:spacing w:val="-10"/>
      <w:kern w:val="28"/>
      <w:sz w:val="56"/>
      <w:szCs w:val="56"/>
    </w:rPr>
  </w:style>
  <w:style w:type="paragraph" w:customStyle="1" w:styleId="mb15">
    <w:name w:val="mb15"/>
    <w:basedOn w:val="Normal"/>
    <w:rsid w:val="00BF5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b0">
    <w:name w:val="mb0"/>
    <w:basedOn w:val="Normal"/>
    <w:rsid w:val="00BF5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E13A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3A60"/>
    <w:rPr>
      <w:rFonts w:ascii="Segoe UI" w:hAnsi="Segoe UI" w:cs="Segoe UI"/>
      <w:sz w:val="18"/>
      <w:szCs w:val="18"/>
    </w:rPr>
  </w:style>
  <w:style w:type="character" w:customStyle="1" w:styleId="Heading3Char">
    <w:name w:val="Heading 3 Char"/>
    <w:basedOn w:val="DefaultParagraphFont"/>
    <w:link w:val="Heading3"/>
    <w:uiPriority w:val="9"/>
    <w:rsid w:val="00B821AC"/>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975B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0B6A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Cs w:val="20"/>
      <w:lang w:eastAsia="en-GB"/>
    </w:rPr>
  </w:style>
  <w:style w:type="character" w:customStyle="1" w:styleId="HTMLPreformattedChar">
    <w:name w:val="HTML Preformatted Char"/>
    <w:basedOn w:val="DefaultParagraphFont"/>
    <w:link w:val="HTMLPreformatted"/>
    <w:uiPriority w:val="99"/>
    <w:rsid w:val="000B6A7A"/>
    <w:rPr>
      <w:rFonts w:ascii="Courier New" w:eastAsia="Times New Roman" w:hAnsi="Courier New" w:cs="Courier New"/>
      <w:sz w:val="20"/>
      <w:szCs w:val="20"/>
      <w:lang w:eastAsia="en-GB"/>
    </w:rPr>
  </w:style>
  <w:style w:type="character" w:styleId="CommentReference">
    <w:name w:val="annotation reference"/>
    <w:basedOn w:val="DefaultParagraphFont"/>
    <w:uiPriority w:val="99"/>
    <w:semiHidden/>
    <w:unhideWhenUsed/>
    <w:rsid w:val="002C0D53"/>
    <w:rPr>
      <w:sz w:val="16"/>
      <w:szCs w:val="16"/>
    </w:rPr>
  </w:style>
  <w:style w:type="paragraph" w:styleId="CommentText">
    <w:name w:val="annotation text"/>
    <w:basedOn w:val="Normal"/>
    <w:link w:val="CommentTextChar"/>
    <w:uiPriority w:val="99"/>
    <w:semiHidden/>
    <w:unhideWhenUsed/>
    <w:rsid w:val="002C0D53"/>
    <w:pPr>
      <w:spacing w:line="240" w:lineRule="auto"/>
    </w:pPr>
    <w:rPr>
      <w:szCs w:val="20"/>
    </w:rPr>
  </w:style>
  <w:style w:type="character" w:customStyle="1" w:styleId="CommentTextChar">
    <w:name w:val="Comment Text Char"/>
    <w:basedOn w:val="DefaultParagraphFont"/>
    <w:link w:val="CommentText"/>
    <w:uiPriority w:val="99"/>
    <w:semiHidden/>
    <w:rsid w:val="002C0D53"/>
    <w:rPr>
      <w:sz w:val="20"/>
      <w:szCs w:val="20"/>
    </w:rPr>
  </w:style>
  <w:style w:type="paragraph" w:styleId="CommentSubject">
    <w:name w:val="annotation subject"/>
    <w:basedOn w:val="CommentText"/>
    <w:next w:val="CommentText"/>
    <w:link w:val="CommentSubjectChar"/>
    <w:uiPriority w:val="99"/>
    <w:semiHidden/>
    <w:unhideWhenUsed/>
    <w:rsid w:val="002C0D53"/>
    <w:rPr>
      <w:b/>
      <w:bCs/>
    </w:rPr>
  </w:style>
  <w:style w:type="character" w:customStyle="1" w:styleId="CommentSubjectChar">
    <w:name w:val="Comment Subject Char"/>
    <w:basedOn w:val="CommentTextChar"/>
    <w:link w:val="CommentSubject"/>
    <w:uiPriority w:val="99"/>
    <w:semiHidden/>
    <w:rsid w:val="002C0D53"/>
    <w:rPr>
      <w:b/>
      <w:bCs/>
      <w:sz w:val="20"/>
      <w:szCs w:val="20"/>
    </w:rPr>
  </w:style>
  <w:style w:type="paragraph" w:styleId="Revision">
    <w:name w:val="Revision"/>
    <w:hidden/>
    <w:uiPriority w:val="99"/>
    <w:semiHidden/>
    <w:rsid w:val="00735FAA"/>
    <w:pPr>
      <w:spacing w:after="0" w:line="240" w:lineRule="auto"/>
    </w:pPr>
    <w:rPr>
      <w:sz w:val="20"/>
    </w:rPr>
  </w:style>
  <w:style w:type="character" w:styleId="Emphasis">
    <w:name w:val="Emphasis"/>
    <w:basedOn w:val="DefaultParagraphFont"/>
    <w:uiPriority w:val="20"/>
    <w:qFormat/>
    <w:rsid w:val="00CE7932"/>
    <w:rPr>
      <w:i/>
      <w:iCs/>
    </w:rPr>
  </w:style>
  <w:style w:type="paragraph" w:styleId="Header">
    <w:name w:val="header"/>
    <w:basedOn w:val="Normal"/>
    <w:link w:val="HeaderChar"/>
    <w:uiPriority w:val="99"/>
    <w:unhideWhenUsed/>
    <w:rsid w:val="004638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638AB"/>
    <w:rPr>
      <w:sz w:val="20"/>
    </w:rPr>
  </w:style>
  <w:style w:type="paragraph" w:styleId="Footer">
    <w:name w:val="footer"/>
    <w:basedOn w:val="Normal"/>
    <w:link w:val="FooterChar"/>
    <w:uiPriority w:val="99"/>
    <w:unhideWhenUsed/>
    <w:rsid w:val="004638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638AB"/>
    <w:rPr>
      <w:sz w:val="20"/>
    </w:rPr>
  </w:style>
  <w:style w:type="character" w:styleId="LineNumber">
    <w:name w:val="line number"/>
    <w:basedOn w:val="DefaultParagraphFont"/>
    <w:uiPriority w:val="99"/>
    <w:semiHidden/>
    <w:unhideWhenUsed/>
    <w:rsid w:val="00050FB1"/>
  </w:style>
  <w:style w:type="character" w:styleId="UnresolvedMention">
    <w:name w:val="Unresolved Mention"/>
    <w:basedOn w:val="DefaultParagraphFont"/>
    <w:uiPriority w:val="99"/>
    <w:semiHidden/>
    <w:unhideWhenUsed/>
    <w:rsid w:val="00AC3B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192843">
      <w:bodyDiv w:val="1"/>
      <w:marLeft w:val="0"/>
      <w:marRight w:val="0"/>
      <w:marTop w:val="0"/>
      <w:marBottom w:val="0"/>
      <w:divBdr>
        <w:top w:val="none" w:sz="0" w:space="0" w:color="auto"/>
        <w:left w:val="none" w:sz="0" w:space="0" w:color="auto"/>
        <w:bottom w:val="none" w:sz="0" w:space="0" w:color="auto"/>
        <w:right w:val="none" w:sz="0" w:space="0" w:color="auto"/>
      </w:divBdr>
    </w:div>
    <w:div w:id="381059041">
      <w:bodyDiv w:val="1"/>
      <w:marLeft w:val="0"/>
      <w:marRight w:val="0"/>
      <w:marTop w:val="0"/>
      <w:marBottom w:val="0"/>
      <w:divBdr>
        <w:top w:val="none" w:sz="0" w:space="0" w:color="auto"/>
        <w:left w:val="none" w:sz="0" w:space="0" w:color="auto"/>
        <w:bottom w:val="none" w:sz="0" w:space="0" w:color="auto"/>
        <w:right w:val="none" w:sz="0" w:space="0" w:color="auto"/>
      </w:divBdr>
    </w:div>
    <w:div w:id="546646418">
      <w:bodyDiv w:val="1"/>
      <w:marLeft w:val="0"/>
      <w:marRight w:val="0"/>
      <w:marTop w:val="0"/>
      <w:marBottom w:val="0"/>
      <w:divBdr>
        <w:top w:val="none" w:sz="0" w:space="0" w:color="auto"/>
        <w:left w:val="none" w:sz="0" w:space="0" w:color="auto"/>
        <w:bottom w:val="none" w:sz="0" w:space="0" w:color="auto"/>
        <w:right w:val="none" w:sz="0" w:space="0" w:color="auto"/>
      </w:divBdr>
    </w:div>
    <w:div w:id="916281244">
      <w:bodyDiv w:val="1"/>
      <w:marLeft w:val="0"/>
      <w:marRight w:val="0"/>
      <w:marTop w:val="0"/>
      <w:marBottom w:val="0"/>
      <w:divBdr>
        <w:top w:val="none" w:sz="0" w:space="0" w:color="auto"/>
        <w:left w:val="none" w:sz="0" w:space="0" w:color="auto"/>
        <w:bottom w:val="none" w:sz="0" w:space="0" w:color="auto"/>
        <w:right w:val="none" w:sz="0" w:space="0" w:color="auto"/>
      </w:divBdr>
    </w:div>
    <w:div w:id="1576550466">
      <w:bodyDiv w:val="1"/>
      <w:marLeft w:val="0"/>
      <w:marRight w:val="0"/>
      <w:marTop w:val="0"/>
      <w:marBottom w:val="0"/>
      <w:divBdr>
        <w:top w:val="none" w:sz="0" w:space="0" w:color="auto"/>
        <w:left w:val="none" w:sz="0" w:space="0" w:color="auto"/>
        <w:bottom w:val="none" w:sz="0" w:space="0" w:color="auto"/>
        <w:right w:val="none" w:sz="0" w:space="0" w:color="auto"/>
      </w:divBdr>
    </w:div>
    <w:div w:id="1583030652">
      <w:bodyDiv w:val="1"/>
      <w:marLeft w:val="0"/>
      <w:marRight w:val="0"/>
      <w:marTop w:val="0"/>
      <w:marBottom w:val="0"/>
      <w:divBdr>
        <w:top w:val="none" w:sz="0" w:space="0" w:color="auto"/>
        <w:left w:val="none" w:sz="0" w:space="0" w:color="auto"/>
        <w:bottom w:val="none" w:sz="0" w:space="0" w:color="auto"/>
        <w:right w:val="none" w:sz="0" w:space="0" w:color="auto"/>
      </w:divBdr>
    </w:div>
    <w:div w:id="1896624489">
      <w:bodyDiv w:val="1"/>
      <w:marLeft w:val="0"/>
      <w:marRight w:val="0"/>
      <w:marTop w:val="0"/>
      <w:marBottom w:val="0"/>
      <w:divBdr>
        <w:top w:val="none" w:sz="0" w:space="0" w:color="auto"/>
        <w:left w:val="none" w:sz="0" w:space="0" w:color="auto"/>
        <w:bottom w:val="none" w:sz="0" w:space="0" w:color="auto"/>
        <w:right w:val="none" w:sz="0" w:space="0" w:color="auto"/>
      </w:divBdr>
    </w:div>
    <w:div w:id="2066489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tiff"/><Relationship Id="rId18"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david.withall@rothamsted.ac.uk" TargetMode="External"/><Relationship Id="rId5" Type="http://schemas.openxmlformats.org/officeDocument/2006/relationships/numbering" Target="numbering.xml"/><Relationship Id="rId15" Type="http://schemas.openxmlformats.org/officeDocument/2006/relationships/image" Target="media/image4.tiff"/><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4C4CA7185597D4EAA3E22B4F195A9BF" ma:contentTypeVersion="11" ma:contentTypeDescription="Create a new document." ma:contentTypeScope="" ma:versionID="0ad6524993db2f83cd3803d13f35af16">
  <xsd:schema xmlns:xsd="http://www.w3.org/2001/XMLSchema" xmlns:xs="http://www.w3.org/2001/XMLSchema" xmlns:p="http://schemas.microsoft.com/office/2006/metadata/properties" xmlns:ns3="2b594e83-da8e-45b8-8868-84437f7d1152" xmlns:ns4="1dc5afcd-2340-47a3-95b2-5d9a2428b8d7" targetNamespace="http://schemas.microsoft.com/office/2006/metadata/properties" ma:root="true" ma:fieldsID="1167d9adb9fc9d5e22e0bc4623066e85" ns3:_="" ns4:_="">
    <xsd:import namespace="2b594e83-da8e-45b8-8868-84437f7d1152"/>
    <xsd:import namespace="1dc5afcd-2340-47a3-95b2-5d9a2428b8d7"/>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EventHashCode" minOccurs="0"/>
                <xsd:element ref="ns3:MediaServiceGenerationTim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94e83-da8e-45b8-8868-84437f7d11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dc5afcd-2340-47a3-95b2-5d9a2428b8d7"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5CCDB2-5C8D-4D34-9C94-B3ED88566BAA}">
  <ds:schemaRefs>
    <ds:schemaRef ds:uri="http://schemas.microsoft.com/sharepoint/v3/contenttype/forms"/>
  </ds:schemaRefs>
</ds:datastoreItem>
</file>

<file path=customXml/itemProps2.xml><?xml version="1.0" encoding="utf-8"?>
<ds:datastoreItem xmlns:ds="http://schemas.openxmlformats.org/officeDocument/2006/customXml" ds:itemID="{9D3E7C6D-81B5-4BB3-A801-34A62C02836B}">
  <ds:schemaRefs>
    <ds:schemaRef ds:uri="http://schemas.openxmlformats.org/officeDocument/2006/bibliography"/>
  </ds:schemaRefs>
</ds:datastoreItem>
</file>

<file path=customXml/itemProps3.xml><?xml version="1.0" encoding="utf-8"?>
<ds:datastoreItem xmlns:ds="http://schemas.openxmlformats.org/officeDocument/2006/customXml" ds:itemID="{413FCAA8-B0AE-4BA8-A728-5CBFFBE2A57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3A68026-FDAA-496D-8D08-E1D8D31F46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594e83-da8e-45b8-8868-84437f7d1152"/>
    <ds:schemaRef ds:uri="1dc5afcd-2340-47a3-95b2-5d9a2428b8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67535</Words>
  <Characters>384953</Characters>
  <Application>Microsoft Office Word</Application>
  <DocSecurity>4</DocSecurity>
  <Lines>3207</Lines>
  <Paragraphs>903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Cassie Sims</dc:creator>
  <cp:keywords/>
  <dc:description/>
  <cp:lastModifiedBy>Chris Whitfield</cp:lastModifiedBy>
  <cp:revision>2</cp:revision>
  <cp:lastPrinted>2021-09-07T13:50:00Z</cp:lastPrinted>
  <dcterms:created xsi:type="dcterms:W3CDTF">2023-10-05T10:20:00Z</dcterms:created>
  <dcterms:modified xsi:type="dcterms:W3CDTF">2023-10-05T10:20:00Z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0x01010034C4CA7185597D4EAA3E22B4F195A9BF</vt:lpwstr>
  </property>
  <property fmtid="{D5CDD505-2E9C-101B-9397-08002B2CF9AE}" pid="3" name="Mendeley Document_1">
    <vt:lpwstr>True</vt:lpwstr>
  </property>
  <property fmtid="{D5CDD505-2E9C-101B-9397-08002B2CF9AE}" pid="4" name="Mendeley Unique User Id_1">
    <vt:lpwstr>4a5c2860-2e00-3b0a-bad8-2a287e4432ba</vt:lpwstr>
  </property>
  <property fmtid="{D5CDD505-2E9C-101B-9397-08002B2CF9AE}" pid="5" name="Mendeley Citation Style_1">
    <vt:lpwstr>http://www.zotero.org/styles/journal-of-the-american-chemical-society</vt:lpwstr>
  </property>
  <property fmtid="{D5CDD505-2E9C-101B-9397-08002B2CF9AE}" pid="6" name="Mendeley Recent Style Id 0_1">
    <vt:lpwstr>http://www.zotero.org/styles/apa</vt:lpwstr>
  </property>
  <property fmtid="{D5CDD505-2E9C-101B-9397-08002B2CF9AE}" pid="7" name="Mendeley Recent Style Name 0_1">
    <vt:lpwstr>American Psychological Association 7th edition</vt:lpwstr>
  </property>
  <property fmtid="{D5CDD505-2E9C-101B-9397-08002B2CF9AE}" pid="8" name="Mendeley Recent Style Id 1_1">
    <vt:lpwstr>http://www.zotero.org/styles/harvard-cite-them-right</vt:lpwstr>
  </property>
  <property fmtid="{D5CDD505-2E9C-101B-9397-08002B2CF9AE}" pid="9" name="Mendeley Recent Style Name 1_1">
    <vt:lpwstr>Cite Them Right 10th edition - Harvard</vt:lpwstr>
  </property>
  <property fmtid="{D5CDD505-2E9C-101B-9397-08002B2CF9AE}" pid="10" name="Mendeley Recent Style Id 2_1">
    <vt:lpwstr>http://www.zotero.org/styles/ieee</vt:lpwstr>
  </property>
  <property fmtid="{D5CDD505-2E9C-101B-9397-08002B2CF9AE}" pid="11" name="Mendeley Recent Style Name 2_1">
    <vt:lpwstr>IEEE</vt:lpwstr>
  </property>
  <property fmtid="{D5CDD505-2E9C-101B-9397-08002B2CF9AE}" pid="12" name="Mendeley Recent Style Id 3_1">
    <vt:lpwstr>http://www.zotero.org/styles/journal-of-the-american-chemical-society</vt:lpwstr>
  </property>
  <property fmtid="{D5CDD505-2E9C-101B-9397-08002B2CF9AE}" pid="13" name="Mendeley Recent Style Name 3_1">
    <vt:lpwstr>Journal of the American Chemical Society</vt:lpwstr>
  </property>
  <property fmtid="{D5CDD505-2E9C-101B-9397-08002B2CF9AE}" pid="14" name="Mendeley Recent Style Id 4_1">
    <vt:lpwstr>http://www.zotero.org/styles/modern-humanities-research-association</vt:lpwstr>
  </property>
  <property fmtid="{D5CDD505-2E9C-101B-9397-08002B2CF9AE}" pid="15" name="Mendeley Recent Style Name 4_1">
    <vt:lpwstr>Modern Humanities Research Association 3rd edition (note with bibliography)</vt:lpwstr>
  </property>
  <property fmtid="{D5CDD505-2E9C-101B-9397-08002B2CF9AE}" pid="16" name="Mendeley Recent Style Id 5_1">
    <vt:lpwstr>http://www.zotero.org/styles/modern-language-association</vt:lpwstr>
  </property>
  <property fmtid="{D5CDD505-2E9C-101B-9397-08002B2CF9AE}" pid="17" name="Mendeley Recent Style Name 5_1">
    <vt:lpwstr>Modern Language Association 8th edition</vt:lpwstr>
  </property>
  <property fmtid="{D5CDD505-2E9C-101B-9397-08002B2CF9AE}" pid="18" name="Mendeley Recent Style Id 6_1">
    <vt:lpwstr>http://www.zotero.org/styles/nature</vt:lpwstr>
  </property>
  <property fmtid="{D5CDD505-2E9C-101B-9397-08002B2CF9AE}" pid="19" name="Mendeley Recent Style Name 6_1">
    <vt:lpwstr>Nature</vt:lpwstr>
  </property>
  <property fmtid="{D5CDD505-2E9C-101B-9397-08002B2CF9AE}" pid="20" name="Mendeley Recent Style Id 7_1">
    <vt:lpwstr>http://www.zotero.org/styles/vancouver</vt:lpwstr>
  </property>
  <property fmtid="{D5CDD505-2E9C-101B-9397-08002B2CF9AE}" pid="21" name="Mendeley Recent Style Name 7_1">
    <vt:lpwstr>Vancouver</vt:lpwstr>
  </property>
  <property fmtid="{D5CDD505-2E9C-101B-9397-08002B2CF9AE}" pid="22" name="Mendeley Recent Style Id 8_1">
    <vt:lpwstr>https://csl.mendeley.com/styles/481148731/vancouver</vt:lpwstr>
  </property>
  <property fmtid="{D5CDD505-2E9C-101B-9397-08002B2CF9AE}" pid="23" name="Mendeley Recent Style Name 8_1">
    <vt:lpwstr>Vancouver - Cassie Sims</vt:lpwstr>
  </property>
  <property fmtid="{D5CDD505-2E9C-101B-9397-08002B2CF9AE}" pid="24" name="Mendeley Recent Style Id 9_1">
    <vt:lpwstr>http://csl.mendeley.com/styles/481148731/vancouver</vt:lpwstr>
  </property>
  <property fmtid="{D5CDD505-2E9C-101B-9397-08002B2CF9AE}" pid="25" name="Mendeley Recent Style Name 9_1">
    <vt:lpwstr>Vancouver - Cassie Sims</vt:lpwstr>
  </property>
</Properties>
</file>