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listo MT" w:hAnsi="Calisto MT"/>
        </w:rPr>
        <w:id w:val="1386909996"/>
        <w:docPartObj>
          <w:docPartGallery w:val="Cover Pages"/>
          <w:docPartUnique/>
        </w:docPartObj>
      </w:sdtPr>
      <w:sdtContent>
        <w:p w14:paraId="4F510881" w14:textId="4C166721" w:rsidR="002459BA" w:rsidRPr="002459BA" w:rsidRDefault="002459BA">
          <w:pPr>
            <w:rPr>
              <w:rFonts w:ascii="Calisto MT" w:hAnsi="Calisto MT"/>
            </w:rPr>
          </w:pPr>
        </w:p>
        <w:tbl>
          <w:tblPr>
            <w:tblpPr w:leftFromText="187" w:rightFromText="187" w:horzAnchor="margin" w:tblpXSpec="center" w:tblpY="2881"/>
            <w:tblW w:w="5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9011"/>
          </w:tblGrid>
          <w:tr w:rsidR="002459BA" w:rsidRPr="002459BA" w14:paraId="50CBCB30" w14:textId="77777777" w:rsidTr="002459BA">
            <w:trPr>
              <w:trHeight w:val="249"/>
            </w:trPr>
            <w:sdt>
              <w:sdtPr>
                <w:rPr>
                  <w:rFonts w:ascii="Calisto MT" w:hAnsi="Calisto MT"/>
                  <w:i/>
                  <w:iCs/>
                  <w:color w:val="2F5496" w:themeColor="accent1" w:themeShade="BF"/>
                  <w:sz w:val="44"/>
                  <w:szCs w:val="44"/>
                </w:rPr>
                <w:alias w:val="Company"/>
                <w:id w:val="13406915"/>
                <w:placeholder>
                  <w:docPart w:val="AD50CABF77C947828086AD0E9F09E9C2"/>
                </w:placeholder>
                <w:dataBinding w:prefixMappings="xmlns:ns0='http://schemas.openxmlformats.org/officeDocument/2006/extended-properties'" w:xpath="/ns0:Properties[1]/ns0:Company[1]" w:storeItemID="{6668398D-A668-4E3E-A5EB-62B293D839F1}"/>
                <w:text/>
              </w:sdtPr>
              <w:sdtContent>
                <w:tc>
                  <w:tcPr>
                    <w:tcW w:w="9028" w:type="dxa"/>
                    <w:tcMar>
                      <w:top w:w="216" w:type="dxa"/>
                      <w:left w:w="115" w:type="dxa"/>
                      <w:bottom w:w="216" w:type="dxa"/>
                      <w:right w:w="115" w:type="dxa"/>
                    </w:tcMar>
                  </w:tcPr>
                  <w:p w14:paraId="72C02802" w14:textId="0127CA7B" w:rsidR="002459BA" w:rsidRPr="002459BA" w:rsidRDefault="002459BA" w:rsidP="002459BA">
                    <w:pPr>
                      <w:pStyle w:val="NoSpacing"/>
                      <w:ind w:right="-41"/>
                      <w:rPr>
                        <w:rFonts w:ascii="Calisto MT" w:hAnsi="Calisto MT"/>
                        <w:i/>
                        <w:iCs/>
                        <w:color w:val="2F5496" w:themeColor="accent1" w:themeShade="BF"/>
                        <w:sz w:val="44"/>
                        <w:szCs w:val="44"/>
                      </w:rPr>
                    </w:pPr>
                    <w:r w:rsidRPr="002459BA">
                      <w:rPr>
                        <w:rFonts w:ascii="Calisto MT" w:hAnsi="Calisto MT"/>
                        <w:i/>
                        <w:iCs/>
                        <w:color w:val="2F5496" w:themeColor="accent1" w:themeShade="BF"/>
                        <w:sz w:val="44"/>
                        <w:szCs w:val="44"/>
                      </w:rPr>
                      <w:t>Scientific Reports</w:t>
                    </w:r>
                  </w:p>
                </w:tc>
              </w:sdtContent>
            </w:sdt>
          </w:tr>
          <w:tr w:rsidR="002459BA" w:rsidRPr="002459BA" w14:paraId="45E58BD3" w14:textId="77777777" w:rsidTr="002459BA">
            <w:trPr>
              <w:trHeight w:val="4399"/>
            </w:trPr>
            <w:tc>
              <w:tcPr>
                <w:tcW w:w="9028" w:type="dxa"/>
              </w:tcPr>
              <w:sdt>
                <w:sdtPr>
                  <w:rPr>
                    <w:rFonts w:ascii="Calisto MT" w:eastAsiaTheme="majorEastAsia" w:hAnsi="Calisto MT" w:cstheme="majorBidi"/>
                    <w:color w:val="4472C4" w:themeColor="accent1"/>
                    <w:sz w:val="88"/>
                    <w:szCs w:val="88"/>
                  </w:rPr>
                  <w:alias w:val="Title"/>
                  <w:id w:val="13406919"/>
                  <w:placeholder>
                    <w:docPart w:val="CD86E5E25F2D4A3AA9C97062C3807381"/>
                  </w:placeholder>
                  <w:dataBinding w:prefixMappings="xmlns:ns0='http://schemas.openxmlformats.org/package/2006/metadata/core-properties' xmlns:ns1='http://purl.org/dc/elements/1.1/'" w:xpath="/ns0:coreProperties[1]/ns1:title[1]" w:storeItemID="{6C3C8BC8-F283-45AE-878A-BAB7291924A1}"/>
                  <w:text/>
                </w:sdtPr>
                <w:sdtContent>
                  <w:p w14:paraId="353ED105" w14:textId="71CCCADD" w:rsidR="002459BA" w:rsidRPr="002459BA" w:rsidRDefault="002459BA" w:rsidP="002459BA">
                    <w:pPr>
                      <w:pStyle w:val="NoSpacing"/>
                      <w:spacing w:line="216" w:lineRule="auto"/>
                      <w:ind w:right="-126"/>
                      <w:rPr>
                        <w:rFonts w:ascii="Calisto MT" w:eastAsiaTheme="majorEastAsia" w:hAnsi="Calisto MT" w:cstheme="majorBidi"/>
                        <w:color w:val="4472C4" w:themeColor="accent1"/>
                        <w:sz w:val="88"/>
                        <w:szCs w:val="88"/>
                      </w:rPr>
                    </w:pPr>
                    <w:r w:rsidRPr="002459BA">
                      <w:rPr>
                        <w:rFonts w:ascii="Calisto MT" w:eastAsiaTheme="majorEastAsia" w:hAnsi="Calisto MT" w:cstheme="majorBidi"/>
                        <w:color w:val="4472C4" w:themeColor="accent1"/>
                        <w:sz w:val="88"/>
                        <w:szCs w:val="88"/>
                      </w:rPr>
                      <w:t>Soil as an Extended Composite Phenotype of the Microbial Metagenome.</w:t>
                    </w:r>
                  </w:p>
                </w:sdtContent>
              </w:sdt>
            </w:tc>
          </w:tr>
          <w:tr w:rsidR="002459BA" w:rsidRPr="002459BA" w14:paraId="23C7D93D" w14:textId="77777777" w:rsidTr="002459BA">
            <w:trPr>
              <w:trHeight w:val="264"/>
            </w:trPr>
            <w:sdt>
              <w:sdtPr>
                <w:rPr>
                  <w:rFonts w:ascii="Calisto MT" w:hAnsi="Calisto MT"/>
                  <w:color w:val="2F5496" w:themeColor="accent1" w:themeShade="BF"/>
                  <w:sz w:val="44"/>
                  <w:szCs w:val="44"/>
                </w:rPr>
                <w:alias w:val="Subtitle"/>
                <w:id w:val="13406923"/>
                <w:placeholder>
                  <w:docPart w:val="1C8652BD94F749F0B495F5DD513A4F89"/>
                </w:placeholder>
                <w:dataBinding w:prefixMappings="xmlns:ns0='http://schemas.openxmlformats.org/package/2006/metadata/core-properties' xmlns:ns1='http://purl.org/dc/elements/1.1/'" w:xpath="/ns0:coreProperties[1]/ns1:subject[1]" w:storeItemID="{6C3C8BC8-F283-45AE-878A-BAB7291924A1}"/>
                <w:text/>
              </w:sdtPr>
              <w:sdtContent>
                <w:tc>
                  <w:tcPr>
                    <w:tcW w:w="9028" w:type="dxa"/>
                    <w:tcMar>
                      <w:top w:w="216" w:type="dxa"/>
                      <w:left w:w="115" w:type="dxa"/>
                      <w:bottom w:w="216" w:type="dxa"/>
                      <w:right w:w="115" w:type="dxa"/>
                    </w:tcMar>
                  </w:tcPr>
                  <w:p w14:paraId="123203C8" w14:textId="22AFBFC7" w:rsidR="002459BA" w:rsidRPr="002459BA" w:rsidRDefault="002459BA">
                    <w:pPr>
                      <w:pStyle w:val="NoSpacing"/>
                      <w:rPr>
                        <w:rFonts w:ascii="Calisto MT" w:hAnsi="Calisto MT"/>
                        <w:color w:val="2F5496" w:themeColor="accent1" w:themeShade="BF"/>
                        <w:sz w:val="44"/>
                        <w:szCs w:val="44"/>
                      </w:rPr>
                    </w:pPr>
                    <w:r w:rsidRPr="002459BA">
                      <w:rPr>
                        <w:rFonts w:ascii="Calisto MT" w:hAnsi="Calisto MT"/>
                        <w:color w:val="2F5496" w:themeColor="accent1" w:themeShade="BF"/>
                        <w:sz w:val="44"/>
                        <w:szCs w:val="44"/>
                      </w:rPr>
                      <w:t>Supplementary Figures</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963"/>
          </w:tblGrid>
          <w:tr w:rsidR="002459BA" w:rsidRPr="002459BA" w14:paraId="7E85794E" w14:textId="77777777">
            <w:tc>
              <w:tcPr>
                <w:tcW w:w="7221" w:type="dxa"/>
                <w:tcMar>
                  <w:top w:w="216" w:type="dxa"/>
                  <w:left w:w="115" w:type="dxa"/>
                  <w:bottom w:w="216" w:type="dxa"/>
                  <w:right w:w="115" w:type="dxa"/>
                </w:tcMar>
              </w:tcPr>
              <w:p w14:paraId="154AC1A8" w14:textId="2D49CE43" w:rsidR="002459BA" w:rsidRPr="002459BA" w:rsidRDefault="002459BA" w:rsidP="002459BA">
                <w:pPr>
                  <w:pStyle w:val="Authors"/>
                  <w:jc w:val="left"/>
                  <w:rPr>
                    <w:rFonts w:ascii="Calisto MT" w:hAnsi="Calisto MT" w:cstheme="minorHAnsi"/>
                    <w:sz w:val="36"/>
                    <w:szCs w:val="36"/>
                    <w:vertAlign w:val="superscript"/>
                    <w:lang w:val="en-GB"/>
                  </w:rPr>
                </w:pPr>
                <w:bookmarkStart w:id="0" w:name="_Hlk21535871"/>
                <w:r w:rsidRPr="002459BA">
                  <w:rPr>
                    <w:rFonts w:ascii="Calisto MT" w:hAnsi="Calisto MT" w:cstheme="minorHAnsi"/>
                    <w:sz w:val="36"/>
                    <w:szCs w:val="36"/>
                    <w:lang w:val="en-GB"/>
                  </w:rPr>
                  <w:t>Andrew L. Neal, Aurélie Bacq-Labreuil, Xiaoxian Zhang, Ian M. Clark, Kevin Coleman, Sacha J. Mooney, Karl Ritz, John W. Crawford</w:t>
                </w:r>
                <w:bookmarkEnd w:id="0"/>
              </w:p>
              <w:p w14:paraId="3C3EE251" w14:textId="19AAD625" w:rsidR="002459BA" w:rsidRPr="002459BA" w:rsidRDefault="002459BA">
                <w:pPr>
                  <w:pStyle w:val="NoSpacing"/>
                  <w:rPr>
                    <w:rFonts w:ascii="Calisto MT" w:hAnsi="Calisto MT"/>
                    <w:color w:val="4472C4" w:themeColor="accent1"/>
                    <w:sz w:val="28"/>
                    <w:szCs w:val="28"/>
                  </w:rPr>
                </w:pPr>
              </w:p>
              <w:p w14:paraId="537D0714" w14:textId="77777777" w:rsidR="002459BA" w:rsidRPr="002459BA" w:rsidRDefault="002459BA">
                <w:pPr>
                  <w:pStyle w:val="NoSpacing"/>
                  <w:rPr>
                    <w:rFonts w:ascii="Calisto MT" w:hAnsi="Calisto MT"/>
                    <w:color w:val="4472C4" w:themeColor="accent1"/>
                  </w:rPr>
                </w:pPr>
              </w:p>
            </w:tc>
          </w:tr>
        </w:tbl>
        <w:p w14:paraId="36A76817" w14:textId="78445DAF" w:rsidR="002459BA" w:rsidRPr="002459BA" w:rsidRDefault="002459BA">
          <w:pPr>
            <w:rPr>
              <w:rFonts w:ascii="Calisto MT" w:hAnsi="Calisto MT"/>
            </w:rPr>
          </w:pPr>
          <w:r w:rsidRPr="002459BA">
            <w:rPr>
              <w:rFonts w:ascii="Calisto MT" w:hAnsi="Calisto MT"/>
            </w:rPr>
            <w:br w:type="page"/>
          </w:r>
        </w:p>
      </w:sdtContent>
    </w:sdt>
    <w:p w14:paraId="226D8CCE" w14:textId="7B7D3A1B" w:rsidR="002459BA" w:rsidRDefault="002459BA" w:rsidP="002459BA">
      <w:pPr>
        <w:jc w:val="center"/>
        <w:rPr>
          <w:rFonts w:ascii="Calisto MT" w:hAnsi="Calisto MT"/>
        </w:rPr>
      </w:pPr>
      <w:r>
        <w:rPr>
          <w:rFonts w:ascii="Calisto MT" w:hAnsi="Calisto MT"/>
          <w:noProof/>
        </w:rPr>
        <w:lastRenderedPageBreak/>
        <w:drawing>
          <wp:inline distT="0" distB="0" distL="0" distR="0" wp14:anchorId="5F23B25D" wp14:editId="777E8095">
            <wp:extent cx="5753100" cy="4270019"/>
            <wp:effectExtent l="0" t="0" r="0" b="0"/>
            <wp:docPr id="28" name="Picture 2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8.TIF"/>
                    <pic:cNvPicPr/>
                  </pic:nvPicPr>
                  <pic:blipFill rotWithShape="1">
                    <a:blip r:embed="rId4">
                      <a:extLst>
                        <a:ext uri="{28A0092B-C50C-407E-A947-70E740481C1C}">
                          <a14:useLocalDpi xmlns:a14="http://schemas.microsoft.com/office/drawing/2010/main" val="0"/>
                        </a:ext>
                      </a:extLst>
                    </a:blip>
                    <a:srcRect l="21138" t="6146" r="7733"/>
                    <a:stretch/>
                  </pic:blipFill>
                  <pic:spPr bwMode="auto">
                    <a:xfrm>
                      <a:off x="0" y="0"/>
                      <a:ext cx="5761039" cy="4275911"/>
                    </a:xfrm>
                    <a:prstGeom prst="rect">
                      <a:avLst/>
                    </a:prstGeom>
                    <a:ln>
                      <a:noFill/>
                    </a:ln>
                    <a:extLst>
                      <a:ext uri="{53640926-AAD7-44D8-BBD7-CCE9431645EC}">
                        <a14:shadowObscured xmlns:a14="http://schemas.microsoft.com/office/drawing/2010/main"/>
                      </a:ext>
                    </a:extLst>
                  </pic:spPr>
                </pic:pic>
              </a:graphicData>
            </a:graphic>
          </wp:inline>
        </w:drawing>
      </w:r>
    </w:p>
    <w:p w14:paraId="5FBF8B15" w14:textId="77777777" w:rsidR="002459BA" w:rsidRPr="002C75F2" w:rsidRDefault="002459BA" w:rsidP="002459BA">
      <w:pPr>
        <w:jc w:val="both"/>
        <w:rPr>
          <w:rFonts w:ascii="Calisto MT" w:hAnsi="Calisto MT"/>
        </w:rPr>
      </w:pPr>
      <w:r w:rsidRPr="002C75F2">
        <w:rPr>
          <w:rFonts w:ascii="Calisto MT" w:hAnsi="Calisto MT"/>
          <w:b/>
          <w:bCs/>
        </w:rPr>
        <w:t>Supplementary Figure 1. Euler connectivity function curves for Highfield soils generated from high-resolution (1.5 µm) X-ray Computed Tomography.</w:t>
      </w:r>
      <w:r w:rsidRPr="002C75F2">
        <w:rPr>
          <w:rFonts w:ascii="Calisto MT" w:hAnsi="Calisto MT"/>
        </w:rPr>
        <w:t xml:space="preserve">  Each curve presents the connectivity within and between different pore size classes.  For connected pores, </w:t>
      </w:r>
      <w:r w:rsidRPr="002C75F2">
        <w:rPr>
          <w:rFonts w:ascii="Cambria" w:hAnsi="Cambria" w:cs="Cambria"/>
        </w:rPr>
        <w:t>χ</w:t>
      </w:r>
      <w:r w:rsidRPr="002C75F2">
        <w:rPr>
          <w:rFonts w:ascii="Calisto MT" w:hAnsi="Calisto MT"/>
        </w:rPr>
        <w:t>(</w:t>
      </w:r>
      <w:r w:rsidRPr="002C75F2">
        <w:rPr>
          <w:rFonts w:ascii="Calisto MT" w:hAnsi="Calisto MT"/>
          <w:i/>
        </w:rPr>
        <w:t>d</w:t>
      </w:r>
      <w:r w:rsidRPr="002C75F2">
        <w:rPr>
          <w:rFonts w:ascii="Calisto MT" w:hAnsi="Calisto MT"/>
        </w:rPr>
        <w:t xml:space="preserve">) takes negative values and unconnected pores positive values. The pore diameter where </w:t>
      </w:r>
      <w:r w:rsidRPr="002C75F2">
        <w:rPr>
          <w:rFonts w:ascii="Cambria" w:hAnsi="Cambria" w:cs="Cambria"/>
        </w:rPr>
        <w:t>χ</w:t>
      </w:r>
      <w:r w:rsidRPr="002C75F2">
        <w:rPr>
          <w:rFonts w:ascii="Calisto MT" w:hAnsi="Calisto MT"/>
        </w:rPr>
        <w:t>(</w:t>
      </w:r>
      <w:r w:rsidRPr="002C75F2">
        <w:rPr>
          <w:rFonts w:ascii="Calisto MT" w:hAnsi="Calisto MT"/>
          <w:i/>
        </w:rPr>
        <w:t>d</w:t>
      </w:r>
      <w:r w:rsidRPr="002C75F2">
        <w:rPr>
          <w:rFonts w:ascii="Calisto MT" w:hAnsi="Calisto MT"/>
        </w:rPr>
        <w:t xml:space="preserve">) = 0 was estimated by fitting a polynomial to the combined data from three representative aggregates for each soil.  This value, designated </w:t>
      </w:r>
      <w:proofErr w:type="spellStart"/>
      <w:r w:rsidRPr="002C75F2">
        <w:rPr>
          <w:rFonts w:ascii="Calisto MT" w:hAnsi="Calisto MT"/>
          <w:i/>
        </w:rPr>
        <w:t>d</w:t>
      </w:r>
      <w:r w:rsidRPr="002C75F2">
        <w:rPr>
          <w:rFonts w:ascii="Calisto MT" w:hAnsi="Calisto MT"/>
          <w:vertAlign w:val="subscript"/>
        </w:rPr>
        <w:t>crit</w:t>
      </w:r>
      <w:proofErr w:type="spellEnd"/>
      <w:r w:rsidRPr="002C75F2">
        <w:rPr>
          <w:rFonts w:ascii="Calisto MT" w:hAnsi="Calisto MT"/>
        </w:rPr>
        <w:t>, was used as a descriptor of pore connectivity to establish the relationship between soil physical structure and differences in taxonomy and function established from metagenomics. For each soil, the solid line represents the polynomial fit to the combined data, the dashed curves represent the upper and lower 95% confidence intervals of the fit.</w:t>
      </w:r>
    </w:p>
    <w:p w14:paraId="52479313" w14:textId="77777777" w:rsidR="002459BA" w:rsidRDefault="002459BA" w:rsidP="002459BA">
      <w:pPr>
        <w:rPr>
          <w:rFonts w:ascii="Calisto MT" w:hAnsi="Calisto MT"/>
          <w:sz w:val="28"/>
          <w:szCs w:val="28"/>
        </w:rPr>
      </w:pPr>
      <w:r>
        <w:rPr>
          <w:rFonts w:ascii="Calisto MT" w:hAnsi="Calisto MT"/>
          <w:sz w:val="28"/>
          <w:szCs w:val="28"/>
        </w:rPr>
        <w:br w:type="page"/>
      </w:r>
    </w:p>
    <w:p w14:paraId="1EE20FB4" w14:textId="77777777" w:rsidR="002459BA" w:rsidRPr="00902683" w:rsidRDefault="002459BA" w:rsidP="002459BA">
      <w:pPr>
        <w:jc w:val="center"/>
        <w:rPr>
          <w:rFonts w:ascii="Calisto MT" w:hAnsi="Calisto MT"/>
          <w:sz w:val="28"/>
          <w:szCs w:val="28"/>
        </w:rPr>
      </w:pPr>
      <w:r>
        <w:rPr>
          <w:rFonts w:ascii="Calisto MT" w:hAnsi="Calisto MT"/>
          <w:noProof/>
          <w:sz w:val="28"/>
          <w:szCs w:val="28"/>
        </w:rPr>
        <w:lastRenderedPageBreak/>
        <w:drawing>
          <wp:inline distT="0" distB="0" distL="0" distR="0" wp14:anchorId="4B17DC6C" wp14:editId="6D7004A8">
            <wp:extent cx="5688330" cy="3307289"/>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03623" cy="3316181"/>
                    </a:xfrm>
                    <a:prstGeom prst="rect">
                      <a:avLst/>
                    </a:prstGeom>
                    <a:noFill/>
                  </pic:spPr>
                </pic:pic>
              </a:graphicData>
            </a:graphic>
          </wp:inline>
        </w:drawing>
      </w:r>
    </w:p>
    <w:p w14:paraId="61813106" w14:textId="51541952" w:rsidR="002459BA" w:rsidRPr="00606E0E" w:rsidRDefault="002459BA" w:rsidP="002459BA">
      <w:pPr>
        <w:jc w:val="both"/>
        <w:rPr>
          <w:rFonts w:ascii="Calisto MT" w:hAnsi="Calisto MT"/>
          <w:iCs/>
        </w:rPr>
      </w:pPr>
      <w:r w:rsidRPr="00606E0E">
        <w:rPr>
          <w:rFonts w:ascii="Calisto MT" w:hAnsi="Calisto MT"/>
          <w:b/>
          <w:bCs/>
          <w:iCs/>
        </w:rPr>
        <w:t xml:space="preserve">Supplementary Figure </w:t>
      </w:r>
      <w:bookmarkStart w:id="1" w:name="_GoBack"/>
      <w:bookmarkEnd w:id="1"/>
      <w:r w:rsidRPr="00606E0E">
        <w:rPr>
          <w:rFonts w:ascii="Calisto MT" w:hAnsi="Calisto MT"/>
          <w:b/>
          <w:bCs/>
          <w:iCs/>
        </w:rPr>
        <w:t>2. Unconstrained management-conditional principal coordinate analysis of bacterial assemblages associated with consistently managed plots of the Highfield Ley-Arable long-term field experiment.</w:t>
      </w:r>
      <w:r w:rsidRPr="00606E0E">
        <w:rPr>
          <w:rFonts w:ascii="Calisto MT" w:hAnsi="Calisto MT"/>
          <w:iCs/>
        </w:rPr>
        <w:t xml:space="preserve">   Ordination is based upon Kantorovich-Rubinstein distances calculated from placement of homologous metagenome reads on the bacterial 16S rRNA gene reference phylogenetic tree. Data points represent individual replicate plots of grassland (green), arable (yellow) and bare fallow (brown) soils.  </w:t>
      </w:r>
      <w:proofErr w:type="spellStart"/>
      <w:r w:rsidRPr="00606E0E">
        <w:rPr>
          <w:rFonts w:ascii="Calisto MT" w:hAnsi="Calisto MT"/>
          <w:iCs/>
        </w:rPr>
        <w:t>PCoA</w:t>
      </w:r>
      <w:proofErr w:type="spellEnd"/>
      <w:r w:rsidRPr="00606E0E">
        <w:rPr>
          <w:rFonts w:ascii="Calisto MT" w:hAnsi="Calisto MT"/>
          <w:iCs/>
        </w:rPr>
        <w:t xml:space="preserve"> axis 1 (eigenvalue = 0.312) accounted for 79.03% of total variability, </w:t>
      </w:r>
      <w:proofErr w:type="spellStart"/>
      <w:r w:rsidRPr="00606E0E">
        <w:rPr>
          <w:rFonts w:ascii="Calisto MT" w:hAnsi="Calisto MT"/>
          <w:iCs/>
        </w:rPr>
        <w:t>PCoA</w:t>
      </w:r>
      <w:proofErr w:type="spellEnd"/>
      <w:r w:rsidRPr="00606E0E">
        <w:rPr>
          <w:rFonts w:ascii="Calisto MT" w:hAnsi="Calisto MT"/>
          <w:iCs/>
        </w:rPr>
        <w:t xml:space="preserve"> axis 2 (eigenvalue = 0.040) accounted for 10.12% of total variation.</w:t>
      </w:r>
    </w:p>
    <w:p w14:paraId="34429BB5" w14:textId="77777777" w:rsidR="002459BA" w:rsidRDefault="002459BA" w:rsidP="002459BA">
      <w:pPr>
        <w:jc w:val="both"/>
        <w:rPr>
          <w:rFonts w:ascii="Calisto MT" w:hAnsi="Calisto MT"/>
          <w:iCs/>
          <w:sz w:val="28"/>
          <w:szCs w:val="28"/>
        </w:rPr>
      </w:pPr>
    </w:p>
    <w:p w14:paraId="7A5C3123" w14:textId="77777777" w:rsidR="002459BA" w:rsidRDefault="002459BA" w:rsidP="002459BA">
      <w:pPr>
        <w:rPr>
          <w:rFonts w:ascii="Calisto MT" w:hAnsi="Calisto MT"/>
          <w:iCs/>
          <w:sz w:val="28"/>
          <w:szCs w:val="28"/>
        </w:rPr>
      </w:pPr>
      <w:r>
        <w:rPr>
          <w:rFonts w:ascii="Calisto MT" w:hAnsi="Calisto MT"/>
          <w:iCs/>
          <w:sz w:val="28"/>
          <w:szCs w:val="28"/>
        </w:rPr>
        <w:br w:type="page"/>
      </w:r>
    </w:p>
    <w:p w14:paraId="3DD6095F" w14:textId="77777777" w:rsidR="002459BA" w:rsidRDefault="002459BA" w:rsidP="002459BA">
      <w:pPr>
        <w:jc w:val="both"/>
        <w:rPr>
          <w:rFonts w:ascii="Calisto MT" w:hAnsi="Calisto MT"/>
        </w:rPr>
      </w:pPr>
      <w:r>
        <w:rPr>
          <w:rFonts w:ascii="Calisto MT" w:hAnsi="Calisto MT"/>
          <w:noProof/>
        </w:rPr>
        <w:lastRenderedPageBreak/>
        <w:drawing>
          <wp:inline distT="0" distB="0" distL="0" distR="0" wp14:anchorId="7D6F90AC" wp14:editId="3C0E0933">
            <wp:extent cx="5968365" cy="62852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8365" cy="6285230"/>
                    </a:xfrm>
                    <a:prstGeom prst="rect">
                      <a:avLst/>
                    </a:prstGeom>
                    <a:noFill/>
                  </pic:spPr>
                </pic:pic>
              </a:graphicData>
            </a:graphic>
          </wp:inline>
        </w:drawing>
      </w:r>
    </w:p>
    <w:p w14:paraId="57324C84" w14:textId="77777777" w:rsidR="002459BA" w:rsidRDefault="002459BA" w:rsidP="002459BA">
      <w:pPr>
        <w:jc w:val="both"/>
        <w:rPr>
          <w:rFonts w:ascii="Calisto MT" w:hAnsi="Calisto MT"/>
        </w:rPr>
      </w:pPr>
    </w:p>
    <w:p w14:paraId="3FAE36F9" w14:textId="77777777" w:rsidR="002459BA" w:rsidRPr="00606E0E" w:rsidRDefault="002459BA" w:rsidP="002459BA">
      <w:pPr>
        <w:jc w:val="both"/>
        <w:rPr>
          <w:rFonts w:ascii="Calisto MT" w:hAnsi="Calisto MT"/>
        </w:rPr>
      </w:pPr>
      <w:r w:rsidRPr="00606E0E">
        <w:rPr>
          <w:rFonts w:ascii="Calisto MT" w:hAnsi="Calisto MT"/>
          <w:b/>
          <w:bCs/>
          <w:iCs/>
        </w:rPr>
        <w:t xml:space="preserve">Supplementary Figure 3. </w:t>
      </w:r>
      <w:r w:rsidRPr="00606E0E">
        <w:rPr>
          <w:rFonts w:ascii="Calisto MT" w:hAnsi="Calisto MT"/>
          <w:b/>
          <w:bCs/>
        </w:rPr>
        <w:t xml:space="preserve"> Genes associated with protein secretion in bacteria are more abundant in bare fallow soil.</w:t>
      </w:r>
      <w:r w:rsidRPr="00606E0E">
        <w:rPr>
          <w:rFonts w:ascii="Calisto MT" w:hAnsi="Calisto MT"/>
        </w:rPr>
        <w:t xml:space="preserve"> Box plot of abundance for genes associated with the Type II Secretion System (</w:t>
      </w:r>
      <w:proofErr w:type="spellStart"/>
      <w:r w:rsidRPr="00606E0E">
        <w:rPr>
          <w:rFonts w:ascii="Calisto MT" w:hAnsi="Calisto MT"/>
          <w:i/>
        </w:rPr>
        <w:t>gspB</w:t>
      </w:r>
      <w:proofErr w:type="spellEnd"/>
      <w:r w:rsidRPr="00606E0E">
        <w:rPr>
          <w:rFonts w:ascii="Calisto MT" w:hAnsi="Calisto MT"/>
        </w:rPr>
        <w:t xml:space="preserve"> – </w:t>
      </w:r>
      <w:r w:rsidRPr="00606E0E">
        <w:rPr>
          <w:rFonts w:ascii="Calisto MT" w:hAnsi="Calisto MT"/>
          <w:i/>
        </w:rPr>
        <w:t>N</w:t>
      </w:r>
      <w:r w:rsidRPr="00606E0E">
        <w:rPr>
          <w:rFonts w:ascii="Calisto MT" w:hAnsi="Calisto MT"/>
        </w:rPr>
        <w:t>), the Type VI Secretion System (</w:t>
      </w:r>
      <w:proofErr w:type="spellStart"/>
      <w:r w:rsidRPr="00606E0E">
        <w:rPr>
          <w:rFonts w:ascii="Calisto MT" w:hAnsi="Calisto MT"/>
          <w:i/>
        </w:rPr>
        <w:t>impDEB</w:t>
      </w:r>
      <w:proofErr w:type="spellEnd"/>
      <w:r w:rsidRPr="00606E0E">
        <w:rPr>
          <w:rFonts w:ascii="Calisto MT" w:hAnsi="Calisto MT"/>
        </w:rPr>
        <w:t xml:space="preserve"> and </w:t>
      </w:r>
      <w:proofErr w:type="spellStart"/>
      <w:r w:rsidRPr="00606E0E">
        <w:rPr>
          <w:rFonts w:ascii="Calisto MT" w:hAnsi="Calisto MT"/>
          <w:i/>
        </w:rPr>
        <w:t>vgrG</w:t>
      </w:r>
      <w:proofErr w:type="spellEnd"/>
      <w:r w:rsidRPr="00606E0E">
        <w:rPr>
          <w:rFonts w:ascii="Calisto MT" w:hAnsi="Calisto MT"/>
        </w:rPr>
        <w:t>), the Type I Secretion System (</w:t>
      </w:r>
      <w:proofErr w:type="spellStart"/>
      <w:r w:rsidRPr="00606E0E">
        <w:rPr>
          <w:rFonts w:ascii="Calisto MT" w:hAnsi="Calisto MT"/>
          <w:i/>
        </w:rPr>
        <w:t>hlyD</w:t>
      </w:r>
      <w:proofErr w:type="spellEnd"/>
      <w:r w:rsidRPr="00606E0E">
        <w:rPr>
          <w:rFonts w:ascii="Calisto MT" w:hAnsi="Calisto MT"/>
        </w:rPr>
        <w:t xml:space="preserve">, </w:t>
      </w:r>
      <w:proofErr w:type="spellStart"/>
      <w:r w:rsidRPr="00606E0E">
        <w:rPr>
          <w:rFonts w:ascii="Calisto MT" w:hAnsi="Calisto MT"/>
          <w:i/>
        </w:rPr>
        <w:t>hlyB</w:t>
      </w:r>
      <w:proofErr w:type="spellEnd"/>
      <w:r w:rsidRPr="00606E0E">
        <w:rPr>
          <w:rFonts w:ascii="Calisto MT" w:hAnsi="Calisto MT"/>
        </w:rPr>
        <w:t>) and the Type V Secretion System (</w:t>
      </w:r>
      <w:proofErr w:type="spellStart"/>
      <w:r w:rsidRPr="00606E0E">
        <w:rPr>
          <w:rFonts w:ascii="Calisto MT" w:hAnsi="Calisto MT"/>
          <w:i/>
        </w:rPr>
        <w:t>misL</w:t>
      </w:r>
      <w:proofErr w:type="spellEnd"/>
      <w:r w:rsidRPr="00606E0E">
        <w:rPr>
          <w:rFonts w:ascii="Calisto MT" w:hAnsi="Calisto MT"/>
        </w:rPr>
        <w:t>) under different land managements. Box plot shows the mean (bold line) and median (light line) abundance together with the 5</w:t>
      </w:r>
      <w:r w:rsidRPr="00606E0E">
        <w:rPr>
          <w:rFonts w:ascii="Calisto MT" w:hAnsi="Calisto MT"/>
          <w:vertAlign w:val="superscript"/>
        </w:rPr>
        <w:t>th</w:t>
      </w:r>
      <w:r w:rsidRPr="00606E0E">
        <w:rPr>
          <w:rFonts w:ascii="Calisto MT" w:hAnsi="Calisto MT"/>
        </w:rPr>
        <w:t xml:space="preserve"> and 95</w:t>
      </w:r>
      <w:r w:rsidRPr="00606E0E">
        <w:rPr>
          <w:rFonts w:ascii="Calisto MT" w:hAnsi="Calisto MT"/>
          <w:vertAlign w:val="superscript"/>
        </w:rPr>
        <w:t>th</w:t>
      </w:r>
      <w:r w:rsidRPr="00606E0E">
        <w:rPr>
          <w:rFonts w:ascii="Calisto MT" w:hAnsi="Calisto MT"/>
        </w:rPr>
        <w:t xml:space="preserve"> percentiles.  The significance (</w:t>
      </w:r>
      <w:r w:rsidRPr="00606E0E">
        <w:rPr>
          <w:rFonts w:ascii="Calisto MT" w:hAnsi="Calisto MT"/>
          <w:i/>
        </w:rPr>
        <w:t>p</w:t>
      </w:r>
      <w:r w:rsidRPr="00606E0E">
        <w:rPr>
          <w:rFonts w:ascii="Calisto MT" w:hAnsi="Calisto MT"/>
        </w:rPr>
        <w:t>) and positive false discovery rate (</w:t>
      </w:r>
      <w:r w:rsidRPr="00606E0E">
        <w:rPr>
          <w:rFonts w:ascii="Calisto MT" w:hAnsi="Calisto MT"/>
          <w:i/>
        </w:rPr>
        <w:t>q</w:t>
      </w:r>
      <w:r w:rsidRPr="00606E0E">
        <w:rPr>
          <w:rFonts w:ascii="Calisto MT" w:hAnsi="Calisto MT"/>
        </w:rPr>
        <w:t>) of the difference in abundance between the three treatments are shown.</w:t>
      </w:r>
    </w:p>
    <w:p w14:paraId="197FD230" w14:textId="77777777" w:rsidR="002459BA" w:rsidRDefault="002459BA" w:rsidP="002459BA">
      <w:pPr>
        <w:jc w:val="both"/>
        <w:rPr>
          <w:rFonts w:ascii="Calisto MT" w:hAnsi="Calisto MT"/>
          <w:sz w:val="28"/>
          <w:szCs w:val="28"/>
        </w:rPr>
      </w:pPr>
      <w:r>
        <w:rPr>
          <w:noProof/>
        </w:rPr>
        <w:lastRenderedPageBreak/>
        <w:drawing>
          <wp:inline distT="0" distB="0" distL="0" distR="0" wp14:anchorId="0183C6F8" wp14:editId="3774B89D">
            <wp:extent cx="5731510" cy="3859833"/>
            <wp:effectExtent l="0" t="0" r="254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2.TIF"/>
                    <pic:cNvPicPr/>
                  </pic:nvPicPr>
                  <pic:blipFill rotWithShape="1">
                    <a:blip r:embed="rId7">
                      <a:extLst>
                        <a:ext uri="{28A0092B-C50C-407E-A947-70E740481C1C}">
                          <a14:useLocalDpi xmlns:a14="http://schemas.microsoft.com/office/drawing/2010/main" val="0"/>
                        </a:ext>
                      </a:extLst>
                    </a:blip>
                    <a:srcRect l="16483"/>
                    <a:stretch/>
                  </pic:blipFill>
                  <pic:spPr bwMode="auto">
                    <a:xfrm>
                      <a:off x="0" y="0"/>
                      <a:ext cx="5731510" cy="3859833"/>
                    </a:xfrm>
                    <a:prstGeom prst="rect">
                      <a:avLst/>
                    </a:prstGeom>
                    <a:ln>
                      <a:noFill/>
                    </a:ln>
                    <a:extLst>
                      <a:ext uri="{53640926-AAD7-44D8-BBD7-CCE9431645EC}">
                        <a14:shadowObscured xmlns:a14="http://schemas.microsoft.com/office/drawing/2010/main"/>
                      </a:ext>
                    </a:extLst>
                  </pic:spPr>
                </pic:pic>
              </a:graphicData>
            </a:graphic>
          </wp:inline>
        </w:drawing>
      </w:r>
    </w:p>
    <w:p w14:paraId="57AF4C36" w14:textId="77777777" w:rsidR="002459BA" w:rsidRDefault="002459BA" w:rsidP="002459BA">
      <w:pPr>
        <w:jc w:val="both"/>
        <w:rPr>
          <w:rFonts w:ascii="Calisto MT" w:hAnsi="Calisto MT"/>
          <w:sz w:val="28"/>
          <w:szCs w:val="28"/>
        </w:rPr>
      </w:pPr>
    </w:p>
    <w:p w14:paraId="7B0B861C" w14:textId="77777777" w:rsidR="002459BA" w:rsidRPr="00606E0E" w:rsidRDefault="002459BA" w:rsidP="002459BA">
      <w:pPr>
        <w:jc w:val="both"/>
        <w:rPr>
          <w:rFonts w:ascii="Calisto MT" w:hAnsi="Calisto MT"/>
        </w:rPr>
      </w:pPr>
      <w:r w:rsidRPr="00606E0E">
        <w:rPr>
          <w:rFonts w:ascii="Calisto MT" w:hAnsi="Calisto MT"/>
          <w:b/>
          <w:bCs/>
          <w:iCs/>
        </w:rPr>
        <w:t xml:space="preserve">Supplementary Figure 4. </w:t>
      </w:r>
      <w:r w:rsidRPr="00606E0E">
        <w:rPr>
          <w:rFonts w:ascii="Calisto MT" w:hAnsi="Calisto MT"/>
          <w:b/>
          <w:bCs/>
        </w:rPr>
        <w:t xml:space="preserve"> Genes associated with chemotaxis and motility in bacteria are more abundant in Bare fallow soil.</w:t>
      </w:r>
      <w:r w:rsidRPr="00606E0E">
        <w:rPr>
          <w:rFonts w:ascii="Calisto MT" w:hAnsi="Calisto MT"/>
        </w:rPr>
        <w:t xml:space="preserve"> Box plot of abundance for genes associated with chemotaxis (</w:t>
      </w:r>
      <w:proofErr w:type="spellStart"/>
      <w:r w:rsidRPr="00606E0E">
        <w:rPr>
          <w:rFonts w:ascii="Calisto MT" w:hAnsi="Calisto MT"/>
          <w:i/>
        </w:rPr>
        <w:t>cheA</w:t>
      </w:r>
      <w:proofErr w:type="spellEnd"/>
      <w:r w:rsidRPr="00606E0E">
        <w:rPr>
          <w:rFonts w:ascii="Calisto MT" w:hAnsi="Calisto MT"/>
        </w:rPr>
        <w:t xml:space="preserve"> – </w:t>
      </w:r>
      <w:r w:rsidRPr="00606E0E">
        <w:rPr>
          <w:rFonts w:ascii="Calisto MT" w:hAnsi="Calisto MT"/>
          <w:i/>
        </w:rPr>
        <w:t>Z</w:t>
      </w:r>
      <w:r w:rsidRPr="00606E0E">
        <w:rPr>
          <w:rFonts w:ascii="Calisto MT" w:hAnsi="Calisto MT"/>
        </w:rPr>
        <w:t>), type IV pili synthesis (</w:t>
      </w:r>
      <w:proofErr w:type="spellStart"/>
      <w:r w:rsidRPr="00606E0E">
        <w:rPr>
          <w:rFonts w:ascii="Calisto MT" w:hAnsi="Calisto MT"/>
          <w:i/>
        </w:rPr>
        <w:t>pilG</w:t>
      </w:r>
      <w:proofErr w:type="spellEnd"/>
      <w:r w:rsidRPr="00606E0E">
        <w:rPr>
          <w:rFonts w:ascii="Calisto MT" w:hAnsi="Calisto MT"/>
        </w:rPr>
        <w:t xml:space="preserve"> – </w:t>
      </w:r>
      <w:r w:rsidRPr="00606E0E">
        <w:rPr>
          <w:rFonts w:ascii="Calisto MT" w:hAnsi="Calisto MT"/>
          <w:i/>
        </w:rPr>
        <w:t>J</w:t>
      </w:r>
      <w:r w:rsidRPr="00606E0E">
        <w:rPr>
          <w:rFonts w:ascii="Calisto MT" w:hAnsi="Calisto MT"/>
        </w:rPr>
        <w:t>) under different land managements. Box plot shows the mean (bold line) and median (light line) abundance together with the 5</w:t>
      </w:r>
      <w:r w:rsidRPr="00606E0E">
        <w:rPr>
          <w:rFonts w:ascii="Calisto MT" w:hAnsi="Calisto MT"/>
          <w:vertAlign w:val="superscript"/>
        </w:rPr>
        <w:t>th</w:t>
      </w:r>
      <w:r w:rsidRPr="00606E0E">
        <w:rPr>
          <w:rFonts w:ascii="Calisto MT" w:hAnsi="Calisto MT"/>
        </w:rPr>
        <w:t xml:space="preserve"> and 95</w:t>
      </w:r>
      <w:r w:rsidRPr="00606E0E">
        <w:rPr>
          <w:rFonts w:ascii="Calisto MT" w:hAnsi="Calisto MT"/>
          <w:vertAlign w:val="superscript"/>
        </w:rPr>
        <w:t>th</w:t>
      </w:r>
      <w:r w:rsidRPr="00606E0E">
        <w:rPr>
          <w:rFonts w:ascii="Calisto MT" w:hAnsi="Calisto MT"/>
        </w:rPr>
        <w:t xml:space="preserve"> percentiles.  The significance (</w:t>
      </w:r>
      <w:r w:rsidRPr="00606E0E">
        <w:rPr>
          <w:rFonts w:ascii="Calisto MT" w:hAnsi="Calisto MT"/>
          <w:i/>
        </w:rPr>
        <w:t>p</w:t>
      </w:r>
      <w:r w:rsidRPr="00606E0E">
        <w:rPr>
          <w:rFonts w:ascii="Calisto MT" w:hAnsi="Calisto MT"/>
        </w:rPr>
        <w:t>) and positive false discovery rate (</w:t>
      </w:r>
      <w:r w:rsidRPr="00606E0E">
        <w:rPr>
          <w:rFonts w:ascii="Calisto MT" w:hAnsi="Calisto MT"/>
          <w:i/>
        </w:rPr>
        <w:t>q</w:t>
      </w:r>
      <w:r w:rsidRPr="00606E0E">
        <w:rPr>
          <w:rFonts w:ascii="Calisto MT" w:hAnsi="Calisto MT"/>
        </w:rPr>
        <w:t>) of the difference in abundance between the three treatments are shown.</w:t>
      </w:r>
    </w:p>
    <w:p w14:paraId="0424DFDB" w14:textId="77777777" w:rsidR="002459BA" w:rsidRDefault="002459BA" w:rsidP="002459BA">
      <w:pPr>
        <w:jc w:val="both"/>
        <w:rPr>
          <w:rFonts w:ascii="Calisto MT" w:hAnsi="Calisto MT"/>
          <w:sz w:val="28"/>
          <w:szCs w:val="28"/>
        </w:rPr>
      </w:pPr>
    </w:p>
    <w:p w14:paraId="15AC7574" w14:textId="77777777" w:rsidR="002459BA" w:rsidRDefault="002459BA" w:rsidP="002459BA">
      <w:pPr>
        <w:rPr>
          <w:rFonts w:ascii="Calisto MT" w:hAnsi="Calisto MT"/>
          <w:sz w:val="28"/>
          <w:szCs w:val="28"/>
        </w:rPr>
      </w:pPr>
      <w:r>
        <w:rPr>
          <w:rFonts w:ascii="Calisto MT" w:hAnsi="Calisto MT"/>
          <w:sz w:val="28"/>
          <w:szCs w:val="28"/>
        </w:rPr>
        <w:br w:type="page"/>
      </w:r>
    </w:p>
    <w:p w14:paraId="1422B304" w14:textId="77777777" w:rsidR="002459BA" w:rsidRPr="00A6743E" w:rsidRDefault="002459BA" w:rsidP="002459BA">
      <w:pPr>
        <w:jc w:val="both"/>
        <w:rPr>
          <w:rFonts w:ascii="Calisto MT" w:hAnsi="Calisto MT"/>
          <w:sz w:val="28"/>
          <w:szCs w:val="28"/>
        </w:rPr>
      </w:pPr>
    </w:p>
    <w:p w14:paraId="123A6C0F" w14:textId="77777777" w:rsidR="002459BA" w:rsidRPr="00626809" w:rsidRDefault="002459BA" w:rsidP="002459BA">
      <w:pPr>
        <w:jc w:val="both"/>
        <w:rPr>
          <w:rFonts w:ascii="Calisto MT" w:hAnsi="Calisto MT"/>
          <w:sz w:val="28"/>
          <w:szCs w:val="28"/>
        </w:rPr>
      </w:pPr>
    </w:p>
    <w:p w14:paraId="6650397D" w14:textId="77777777" w:rsidR="002459BA" w:rsidRDefault="002459BA" w:rsidP="002459BA">
      <w:pPr>
        <w:jc w:val="both"/>
        <w:rPr>
          <w:rFonts w:ascii="Calisto MT" w:hAnsi="Calisto MT"/>
        </w:rPr>
      </w:pPr>
      <w:r>
        <w:rPr>
          <w:rFonts w:ascii="Calisto MT" w:hAnsi="Calisto MT"/>
          <w:noProof/>
        </w:rPr>
        <w:drawing>
          <wp:inline distT="0" distB="0" distL="0" distR="0" wp14:anchorId="13DB326F" wp14:editId="5B2A91A2">
            <wp:extent cx="5705770" cy="318951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8849" cy="3202415"/>
                    </a:xfrm>
                    <a:prstGeom prst="rect">
                      <a:avLst/>
                    </a:prstGeom>
                    <a:noFill/>
                  </pic:spPr>
                </pic:pic>
              </a:graphicData>
            </a:graphic>
          </wp:inline>
        </w:drawing>
      </w:r>
    </w:p>
    <w:p w14:paraId="2EBA5989" w14:textId="77777777" w:rsidR="002459BA" w:rsidRDefault="002459BA" w:rsidP="002459BA">
      <w:pPr>
        <w:jc w:val="both"/>
        <w:rPr>
          <w:rFonts w:ascii="Calisto MT" w:hAnsi="Calisto MT"/>
        </w:rPr>
      </w:pPr>
    </w:p>
    <w:p w14:paraId="3E09B08A" w14:textId="77777777" w:rsidR="002459BA" w:rsidRPr="00606E0E" w:rsidRDefault="002459BA" w:rsidP="002459BA">
      <w:pPr>
        <w:jc w:val="both"/>
        <w:rPr>
          <w:rFonts w:ascii="Calisto MT" w:hAnsi="Calisto MT"/>
        </w:rPr>
      </w:pPr>
      <w:r w:rsidRPr="00606E0E">
        <w:rPr>
          <w:rFonts w:ascii="Calisto MT" w:hAnsi="Calisto MT"/>
          <w:b/>
          <w:bCs/>
          <w:iCs/>
        </w:rPr>
        <w:t xml:space="preserve">Supplementary Figure 5. </w:t>
      </w:r>
      <w:r w:rsidRPr="00606E0E">
        <w:rPr>
          <w:rFonts w:ascii="Calisto MT" w:hAnsi="Calisto MT"/>
          <w:b/>
          <w:bCs/>
        </w:rPr>
        <w:t xml:space="preserve">  Genes associated with nitrogen metabolism show land-use specific responses.</w:t>
      </w:r>
      <w:r w:rsidRPr="00606E0E">
        <w:rPr>
          <w:rFonts w:ascii="Calisto MT" w:hAnsi="Calisto MT"/>
        </w:rPr>
        <w:t xml:space="preserve"> Box plot of abundance for genes associated with cyanate lyase (</w:t>
      </w:r>
      <w:proofErr w:type="spellStart"/>
      <w:r w:rsidRPr="00606E0E">
        <w:rPr>
          <w:rFonts w:ascii="Calisto MT" w:hAnsi="Calisto MT"/>
          <w:i/>
        </w:rPr>
        <w:t>cynS</w:t>
      </w:r>
      <w:proofErr w:type="spellEnd"/>
      <w:r w:rsidRPr="00606E0E">
        <w:rPr>
          <w:rFonts w:ascii="Calisto MT" w:hAnsi="Calisto MT"/>
        </w:rPr>
        <w:t>), glutamate dehydrogenase (</w:t>
      </w:r>
      <w:proofErr w:type="spellStart"/>
      <w:r w:rsidRPr="00606E0E">
        <w:rPr>
          <w:rFonts w:ascii="Calisto MT" w:hAnsi="Calisto MT"/>
          <w:i/>
        </w:rPr>
        <w:t>gdhA</w:t>
      </w:r>
      <w:proofErr w:type="spellEnd"/>
      <w:r w:rsidRPr="00606E0E">
        <w:rPr>
          <w:rFonts w:ascii="Calisto MT" w:hAnsi="Calisto MT"/>
        </w:rPr>
        <w:t>), the oligopeptide ABC transporter, ATP-binding protein (</w:t>
      </w:r>
      <w:proofErr w:type="spellStart"/>
      <w:r w:rsidRPr="00606E0E">
        <w:rPr>
          <w:rFonts w:ascii="Calisto MT" w:hAnsi="Calisto MT"/>
          <w:i/>
        </w:rPr>
        <w:t>amiF</w:t>
      </w:r>
      <w:proofErr w:type="spellEnd"/>
      <w:r w:rsidRPr="00606E0E">
        <w:rPr>
          <w:rFonts w:ascii="Calisto MT" w:hAnsi="Calisto MT"/>
        </w:rPr>
        <w:t>), hydroxylamine dehydrogenase (</w:t>
      </w:r>
      <w:proofErr w:type="spellStart"/>
      <w:r w:rsidRPr="00606E0E">
        <w:rPr>
          <w:rFonts w:ascii="Calisto MT" w:hAnsi="Calisto MT"/>
          <w:i/>
        </w:rPr>
        <w:t>hao</w:t>
      </w:r>
      <w:proofErr w:type="spellEnd"/>
      <w:r w:rsidRPr="00606E0E">
        <w:rPr>
          <w:rFonts w:ascii="Calisto MT" w:hAnsi="Calisto MT"/>
        </w:rPr>
        <w:t>), hydroxylamine reductase (</w:t>
      </w:r>
      <w:r w:rsidRPr="00606E0E">
        <w:rPr>
          <w:rFonts w:ascii="Calisto MT" w:hAnsi="Calisto MT"/>
          <w:i/>
        </w:rPr>
        <w:t>hcp</w:t>
      </w:r>
      <w:r w:rsidRPr="00606E0E">
        <w:rPr>
          <w:rFonts w:ascii="Calisto MT" w:hAnsi="Calisto MT"/>
        </w:rPr>
        <w:t>), the methane/ammonia monooxygenase subunits B and C (</w:t>
      </w:r>
      <w:proofErr w:type="spellStart"/>
      <w:r w:rsidRPr="00606E0E">
        <w:rPr>
          <w:rFonts w:ascii="Calisto MT" w:hAnsi="Calisto MT"/>
          <w:i/>
        </w:rPr>
        <w:t>amoB</w:t>
      </w:r>
      <w:proofErr w:type="spellEnd"/>
      <w:r w:rsidRPr="00606E0E">
        <w:rPr>
          <w:rFonts w:ascii="Calisto MT" w:hAnsi="Calisto MT"/>
        </w:rPr>
        <w:t xml:space="preserve">, </w:t>
      </w:r>
      <w:proofErr w:type="spellStart"/>
      <w:r w:rsidRPr="00606E0E">
        <w:rPr>
          <w:rFonts w:ascii="Calisto MT" w:hAnsi="Calisto MT"/>
          <w:i/>
        </w:rPr>
        <w:t>amoC</w:t>
      </w:r>
      <w:proofErr w:type="spellEnd"/>
      <w:r w:rsidRPr="00606E0E">
        <w:rPr>
          <w:rFonts w:ascii="Calisto MT" w:hAnsi="Calisto MT"/>
        </w:rPr>
        <w:t>), nitrate reductase/nitrite oxidoreductase alpha- beta- and gamma-subunits (</w:t>
      </w:r>
      <w:proofErr w:type="spellStart"/>
      <w:r w:rsidRPr="00606E0E">
        <w:rPr>
          <w:rFonts w:ascii="Calisto MT" w:hAnsi="Calisto MT"/>
          <w:i/>
        </w:rPr>
        <w:t>narGHI</w:t>
      </w:r>
      <w:proofErr w:type="spellEnd"/>
      <w:r w:rsidRPr="00606E0E">
        <w:rPr>
          <w:rFonts w:ascii="Calisto MT" w:hAnsi="Calisto MT"/>
        </w:rPr>
        <w:t>), and nitrite reductase (</w:t>
      </w:r>
      <w:proofErr w:type="spellStart"/>
      <w:r w:rsidRPr="00606E0E">
        <w:rPr>
          <w:rFonts w:ascii="Calisto MT" w:hAnsi="Calisto MT"/>
          <w:i/>
        </w:rPr>
        <w:t>nirK</w:t>
      </w:r>
      <w:proofErr w:type="spellEnd"/>
      <w:r w:rsidRPr="00606E0E">
        <w:rPr>
          <w:rFonts w:ascii="Calisto MT" w:hAnsi="Calisto MT"/>
        </w:rPr>
        <w:t xml:space="preserve"> and </w:t>
      </w:r>
      <w:proofErr w:type="spellStart"/>
      <w:r w:rsidRPr="00606E0E">
        <w:rPr>
          <w:rFonts w:ascii="Calisto MT" w:hAnsi="Calisto MT"/>
          <w:i/>
        </w:rPr>
        <w:t>nirS</w:t>
      </w:r>
      <w:proofErr w:type="spellEnd"/>
      <w:r w:rsidRPr="00606E0E">
        <w:rPr>
          <w:rFonts w:ascii="Calisto MT" w:hAnsi="Calisto MT"/>
        </w:rPr>
        <w:t>). Box plot shows the mean (bold line) and median (light line) abundance together with the 5</w:t>
      </w:r>
      <w:r w:rsidRPr="00606E0E">
        <w:rPr>
          <w:rFonts w:ascii="Calisto MT" w:hAnsi="Calisto MT"/>
          <w:vertAlign w:val="superscript"/>
        </w:rPr>
        <w:t>th</w:t>
      </w:r>
      <w:r w:rsidRPr="00606E0E">
        <w:rPr>
          <w:rFonts w:ascii="Calisto MT" w:hAnsi="Calisto MT"/>
        </w:rPr>
        <w:t xml:space="preserve"> and 95</w:t>
      </w:r>
      <w:r w:rsidRPr="00606E0E">
        <w:rPr>
          <w:rFonts w:ascii="Calisto MT" w:hAnsi="Calisto MT"/>
          <w:vertAlign w:val="superscript"/>
        </w:rPr>
        <w:t>th</w:t>
      </w:r>
      <w:r w:rsidRPr="00606E0E">
        <w:rPr>
          <w:rFonts w:ascii="Calisto MT" w:hAnsi="Calisto MT"/>
        </w:rPr>
        <w:t xml:space="preserve"> percentiles.  The significance (</w:t>
      </w:r>
      <w:r w:rsidRPr="00606E0E">
        <w:rPr>
          <w:rFonts w:ascii="Calisto MT" w:hAnsi="Calisto MT"/>
          <w:i/>
        </w:rPr>
        <w:t>p</w:t>
      </w:r>
      <w:r w:rsidRPr="00606E0E">
        <w:rPr>
          <w:rFonts w:ascii="Calisto MT" w:hAnsi="Calisto MT"/>
        </w:rPr>
        <w:t>) and positive false discovery rate (</w:t>
      </w:r>
      <w:r w:rsidRPr="00606E0E">
        <w:rPr>
          <w:rFonts w:ascii="Calisto MT" w:hAnsi="Calisto MT"/>
          <w:i/>
        </w:rPr>
        <w:t>q</w:t>
      </w:r>
      <w:r w:rsidRPr="00606E0E">
        <w:rPr>
          <w:rFonts w:ascii="Calisto MT" w:hAnsi="Calisto MT"/>
        </w:rPr>
        <w:t>) of the difference in abundance between the three treatments are shown.</w:t>
      </w:r>
    </w:p>
    <w:p w14:paraId="14C67AD2" w14:textId="77777777" w:rsidR="002459BA" w:rsidRDefault="002459BA" w:rsidP="002459BA">
      <w:pPr>
        <w:jc w:val="both"/>
        <w:rPr>
          <w:rFonts w:ascii="Calisto MT" w:hAnsi="Calisto MT"/>
          <w:sz w:val="28"/>
          <w:szCs w:val="28"/>
        </w:rPr>
      </w:pPr>
    </w:p>
    <w:p w14:paraId="1D629838" w14:textId="77777777" w:rsidR="002459BA" w:rsidRDefault="002459BA" w:rsidP="002459BA">
      <w:pPr>
        <w:rPr>
          <w:rFonts w:ascii="Calisto MT" w:hAnsi="Calisto MT"/>
          <w:sz w:val="28"/>
          <w:szCs w:val="28"/>
        </w:rPr>
      </w:pPr>
      <w:r>
        <w:rPr>
          <w:rFonts w:ascii="Calisto MT" w:hAnsi="Calisto MT"/>
          <w:sz w:val="28"/>
          <w:szCs w:val="28"/>
        </w:rPr>
        <w:br w:type="page"/>
      </w:r>
    </w:p>
    <w:p w14:paraId="6A764C38" w14:textId="77777777" w:rsidR="002459BA" w:rsidRPr="002037ED" w:rsidRDefault="002459BA" w:rsidP="002459BA">
      <w:pPr>
        <w:jc w:val="both"/>
        <w:rPr>
          <w:rFonts w:ascii="Calisto MT" w:hAnsi="Calisto MT"/>
          <w:sz w:val="28"/>
          <w:szCs w:val="28"/>
        </w:rPr>
      </w:pPr>
    </w:p>
    <w:p w14:paraId="5757032B" w14:textId="77777777" w:rsidR="002459BA" w:rsidRDefault="002459BA" w:rsidP="002459BA">
      <w:pPr>
        <w:jc w:val="both"/>
        <w:rPr>
          <w:rFonts w:ascii="Calisto MT" w:hAnsi="Calisto MT"/>
        </w:rPr>
      </w:pPr>
      <w:r>
        <w:rPr>
          <w:rFonts w:ascii="Calisto MT" w:hAnsi="Calisto MT"/>
          <w:noProof/>
        </w:rPr>
        <mc:AlternateContent>
          <mc:Choice Requires="wps">
            <w:drawing>
              <wp:anchor distT="0" distB="0" distL="114300" distR="114300" simplePos="0" relativeHeight="251659264" behindDoc="0" locked="0" layoutInCell="1" allowOverlap="1" wp14:anchorId="0B21CE5E" wp14:editId="2AF6AFCF">
                <wp:simplePos x="0" y="0"/>
                <wp:positionH relativeFrom="column">
                  <wp:posOffset>5176157</wp:posOffset>
                </wp:positionH>
                <wp:positionV relativeFrom="paragraph">
                  <wp:posOffset>123099</wp:posOffset>
                </wp:positionV>
                <wp:extent cx="778329" cy="342900"/>
                <wp:effectExtent l="0" t="0" r="22225" b="19050"/>
                <wp:wrapNone/>
                <wp:docPr id="33" name="Rectangle 33"/>
                <wp:cNvGraphicFramePr/>
                <a:graphic xmlns:a="http://schemas.openxmlformats.org/drawingml/2006/main">
                  <a:graphicData uri="http://schemas.microsoft.com/office/word/2010/wordprocessingShape">
                    <wps:wsp>
                      <wps:cNvSpPr/>
                      <wps:spPr>
                        <a:xfrm>
                          <a:off x="0" y="0"/>
                          <a:ext cx="778329"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D3B9BE" id="Rectangle 33" o:spid="_x0000_s1026" style="position:absolute;margin-left:407.55pt;margin-top:9.7pt;width:61.3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5lAIAAK0FAAAOAAAAZHJzL2Uyb0RvYy54bWysVEtv2zAMvg/YfxB0X+08ujZBnCJo0WFA&#10;0QZth54VWYoFyKImKXGyXz9KfqTrih2K5aCIIvmR/ExycXWoNdkL5xWYgo7OckqE4VAqsy3oj+fb&#10;L5eU+MBMyTQYUdCj8PRq+fnTorFzMYYKdCkcQRDj540taBWCnWeZ55WomT8DKwwqJbiaBRTdNisd&#10;axC91tk4z79mDbjSOuDCe3y9aZV0mfClFDw8SOlFILqgmFtIp0vnJp7ZcsHmW8dspXiXBvtAFjVT&#10;BoMOUDcsMLJz6i+oWnEHHmQ441BnIKXiItWA1YzyN9U8VcyKVAuS4+1Ak/9/sPx+v3ZElQWdTCgx&#10;rMZv9IisMbPVguAbEtRYP0e7J7t2neTxGqs9SFfHf6yDHBKpx4FUcQiE4+PFxeVkPKOEo2oyHc/y&#10;RHp2crbOh28CahIvBXUYPVHJ9nc+YEA07U1iLA9albdK6yTEPhHX2pE9wy+82Y5iwujxh5U2H3JE&#10;mOiZxfrbitMtHLWIeNo8ConUYY3jlHBq2lMyjHNhwqhVVawUbY7nOf76LPv0U84JMCJLrG7A7gB6&#10;yxakx26L7eyjq0g9Pzjn/0qsdR48UmQwYXCulQH3HoDGqrrIrX1PUktNZGkD5REby0E7cd7yW4Wf&#10;9475sGYORwyHEddGeMBDamgKCt2Nkgrcr/feoz12PmopaXBkC+p/7pgTlOjvBmdiNppO44wnYXp+&#10;MUbBvdZsXmvMrr4G7JkRLijL0zXaB91fpYP6BbfLKkZFFTMcYxeUB9cL16FdJbifuFitkhnOtWXh&#10;zjxZHsEjq7F9nw8vzNmuxwMOxz30483mb1q9tY2eBla7AFKlOTjx2vGNOyE1Tre/4tJ5LSer05Zd&#10;/gYAAP//AwBQSwMEFAAGAAgAAAAhAFzxwi7gAAAACQEAAA8AAABkcnMvZG93bnJldi54bWxMj0FP&#10;g0AQhe8m/ofNmHizC22VQlkaYzTGxIO2JvY4hVkgsrOEXSj+e9eTHifvy3vf5LvZdGKiwbWWFcSL&#10;CARxaauWawUfh6ebDQjnkSvsLJOCb3KwKy4vcswqe+Z3mva+FqGEXYYKGu/7TEpXNmTQLWxPHDJt&#10;B4M+nEMtqwHPodx0chlFd9Jgy2GhwZ4eGiq/9qNRcNT4fHh8ca9SLyedtm/jp05Gpa6v5vstCE+z&#10;/4PhVz+oQxGcTnbkyolOwSa+jQMagnQNIgDpKklAnBQkqzXIIpf/Pyh+AAAA//8DAFBLAQItABQA&#10;BgAIAAAAIQC2gziS/gAAAOEBAAATAAAAAAAAAAAAAAAAAAAAAABbQ29udGVudF9UeXBlc10ueG1s&#10;UEsBAi0AFAAGAAgAAAAhADj9If/WAAAAlAEAAAsAAAAAAAAAAAAAAAAALwEAAF9yZWxzLy5yZWxz&#10;UEsBAi0AFAAGAAgAAAAhAAz++TmUAgAArQUAAA4AAAAAAAAAAAAAAAAALgIAAGRycy9lMm9Eb2Mu&#10;eG1sUEsBAi0AFAAGAAgAAAAhAFzxwi7gAAAACQEAAA8AAAAAAAAAAAAAAAAA7gQAAGRycy9kb3du&#10;cmV2LnhtbFBLBQYAAAAABAAEAPMAAAD7BQAAAAA=&#10;" fillcolor="white [3212]" strokecolor="white [3212]" strokeweight="1pt"/>
            </w:pict>
          </mc:Fallback>
        </mc:AlternateContent>
      </w:r>
      <w:r>
        <w:rPr>
          <w:rFonts w:ascii="Calisto MT" w:hAnsi="Calisto MT"/>
          <w:noProof/>
        </w:rPr>
        <w:drawing>
          <wp:inline distT="0" distB="0" distL="0" distR="0" wp14:anchorId="54C372DD" wp14:editId="691A59E1">
            <wp:extent cx="5944235" cy="35845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3584575"/>
                    </a:xfrm>
                    <a:prstGeom prst="rect">
                      <a:avLst/>
                    </a:prstGeom>
                    <a:noFill/>
                  </pic:spPr>
                </pic:pic>
              </a:graphicData>
            </a:graphic>
          </wp:inline>
        </w:drawing>
      </w:r>
    </w:p>
    <w:p w14:paraId="40216801" w14:textId="77777777" w:rsidR="002459BA" w:rsidRDefault="002459BA" w:rsidP="002459BA">
      <w:pPr>
        <w:jc w:val="both"/>
        <w:rPr>
          <w:rFonts w:ascii="Calisto MT" w:hAnsi="Calisto MT"/>
        </w:rPr>
      </w:pPr>
    </w:p>
    <w:p w14:paraId="5C9FD0F8" w14:textId="77777777" w:rsidR="002459BA" w:rsidRPr="00606E0E" w:rsidRDefault="002459BA" w:rsidP="002459BA">
      <w:pPr>
        <w:jc w:val="both"/>
        <w:rPr>
          <w:rFonts w:ascii="Calisto MT" w:hAnsi="Calisto MT"/>
        </w:rPr>
      </w:pPr>
      <w:r w:rsidRPr="00606E0E">
        <w:rPr>
          <w:rFonts w:ascii="Calisto MT" w:hAnsi="Calisto MT"/>
          <w:b/>
          <w:bCs/>
          <w:iCs/>
        </w:rPr>
        <w:t xml:space="preserve">Supplementary Figure 6.  </w:t>
      </w:r>
      <w:r w:rsidRPr="00606E0E">
        <w:rPr>
          <w:rFonts w:ascii="Calisto MT" w:hAnsi="Calisto MT"/>
          <w:b/>
          <w:bCs/>
        </w:rPr>
        <w:t>Genes associated with carbohydrate metabolism show land-use specific responses.</w:t>
      </w:r>
      <w:r w:rsidRPr="00606E0E">
        <w:rPr>
          <w:rFonts w:ascii="Calisto MT" w:hAnsi="Calisto MT"/>
        </w:rPr>
        <w:t xml:space="preserve"> Box plot of abundance for genes associated with cellulose 1,4-</w:t>
      </w:r>
      <w:r w:rsidRPr="00606E0E">
        <w:rPr>
          <w:rFonts w:ascii="Cambria" w:hAnsi="Cambria" w:cs="Cambria"/>
        </w:rPr>
        <w:t>β</w:t>
      </w:r>
      <w:r w:rsidRPr="00606E0E">
        <w:rPr>
          <w:rFonts w:ascii="Calisto MT" w:hAnsi="Calisto MT"/>
        </w:rPr>
        <w:t>-</w:t>
      </w:r>
      <w:proofErr w:type="spellStart"/>
      <w:r w:rsidRPr="00606E0E">
        <w:rPr>
          <w:rFonts w:ascii="Calisto MT" w:hAnsi="Calisto MT"/>
        </w:rPr>
        <w:t>cellobiosidase</w:t>
      </w:r>
      <w:proofErr w:type="spellEnd"/>
      <w:r w:rsidRPr="00606E0E">
        <w:rPr>
          <w:rFonts w:ascii="Calisto MT" w:hAnsi="Calisto MT"/>
        </w:rPr>
        <w:t xml:space="preserve"> (</w:t>
      </w:r>
      <w:proofErr w:type="spellStart"/>
      <w:r w:rsidRPr="00606E0E">
        <w:rPr>
          <w:rFonts w:ascii="Calisto MT" w:hAnsi="Calisto MT"/>
          <w:i/>
        </w:rPr>
        <w:t>cbhA</w:t>
      </w:r>
      <w:proofErr w:type="spellEnd"/>
      <w:r w:rsidRPr="00606E0E">
        <w:rPr>
          <w:rFonts w:ascii="Calisto MT" w:hAnsi="Calisto MT"/>
        </w:rPr>
        <w:t>), catechol 1,2-dioxygenase (</w:t>
      </w:r>
      <w:proofErr w:type="spellStart"/>
      <w:r w:rsidRPr="00606E0E">
        <w:rPr>
          <w:rFonts w:ascii="Calisto MT" w:hAnsi="Calisto MT"/>
          <w:i/>
        </w:rPr>
        <w:t>catA</w:t>
      </w:r>
      <w:proofErr w:type="spellEnd"/>
      <w:r w:rsidRPr="00606E0E">
        <w:rPr>
          <w:rFonts w:ascii="Calisto MT" w:hAnsi="Calisto MT"/>
        </w:rPr>
        <w:t xml:space="preserve">), </w:t>
      </w:r>
      <w:proofErr w:type="spellStart"/>
      <w:r w:rsidRPr="00606E0E">
        <w:rPr>
          <w:rFonts w:ascii="Calisto MT" w:hAnsi="Calisto MT"/>
        </w:rPr>
        <w:t>muconate</w:t>
      </w:r>
      <w:proofErr w:type="spellEnd"/>
      <w:r w:rsidRPr="00606E0E">
        <w:rPr>
          <w:rFonts w:ascii="Calisto MT" w:hAnsi="Calisto MT"/>
        </w:rPr>
        <w:t xml:space="preserve"> </w:t>
      </w:r>
      <w:proofErr w:type="spellStart"/>
      <w:r w:rsidRPr="00606E0E">
        <w:rPr>
          <w:rFonts w:ascii="Calisto MT" w:hAnsi="Calisto MT"/>
        </w:rPr>
        <w:t>cycloisomerase</w:t>
      </w:r>
      <w:proofErr w:type="spellEnd"/>
      <w:r w:rsidRPr="00606E0E">
        <w:rPr>
          <w:rFonts w:ascii="Calisto MT" w:hAnsi="Calisto MT"/>
        </w:rPr>
        <w:t xml:space="preserve"> (</w:t>
      </w:r>
      <w:proofErr w:type="spellStart"/>
      <w:r w:rsidRPr="00606E0E">
        <w:rPr>
          <w:rFonts w:ascii="Calisto MT" w:hAnsi="Calisto MT"/>
          <w:i/>
        </w:rPr>
        <w:t>catB</w:t>
      </w:r>
      <w:proofErr w:type="spellEnd"/>
      <w:r w:rsidRPr="00606E0E">
        <w:rPr>
          <w:rFonts w:ascii="Calisto MT" w:hAnsi="Calisto MT"/>
        </w:rPr>
        <w:t>), 2,3-dihydroxy-</w:t>
      </w:r>
      <w:r w:rsidRPr="00606E0E">
        <w:rPr>
          <w:rFonts w:ascii="Calisto MT" w:hAnsi="Calisto MT"/>
          <w:i/>
        </w:rPr>
        <w:t>p</w:t>
      </w:r>
      <w:r w:rsidRPr="00606E0E">
        <w:rPr>
          <w:rFonts w:ascii="Calisto MT" w:hAnsi="Calisto MT"/>
        </w:rPr>
        <w:t>-cumate/2,3-dihydroxybenzoate-3,4-dioxygenase (</w:t>
      </w:r>
      <w:proofErr w:type="spellStart"/>
      <w:r w:rsidRPr="00606E0E">
        <w:rPr>
          <w:rFonts w:ascii="Calisto MT" w:hAnsi="Calisto MT"/>
          <w:i/>
        </w:rPr>
        <w:t>cmtC</w:t>
      </w:r>
      <w:proofErr w:type="spellEnd"/>
      <w:r w:rsidRPr="00606E0E">
        <w:rPr>
          <w:rFonts w:ascii="Calisto MT" w:hAnsi="Calisto MT"/>
        </w:rPr>
        <w:t>), 4-hydroxy-2-oxovalerate aldolase (</w:t>
      </w:r>
      <w:proofErr w:type="spellStart"/>
      <w:r w:rsidRPr="00606E0E">
        <w:rPr>
          <w:rFonts w:ascii="Calisto MT" w:hAnsi="Calisto MT"/>
          <w:i/>
        </w:rPr>
        <w:t>mhpE</w:t>
      </w:r>
      <w:proofErr w:type="spellEnd"/>
      <w:r w:rsidRPr="00606E0E">
        <w:rPr>
          <w:rFonts w:ascii="Calisto MT" w:hAnsi="Calisto MT"/>
        </w:rPr>
        <w:t>), protocatechuate 4,5-dioxygenase (</w:t>
      </w:r>
      <w:proofErr w:type="spellStart"/>
      <w:r w:rsidRPr="00606E0E">
        <w:rPr>
          <w:rFonts w:ascii="Calisto MT" w:hAnsi="Calisto MT"/>
          <w:i/>
        </w:rPr>
        <w:t>ligB</w:t>
      </w:r>
      <w:proofErr w:type="spellEnd"/>
      <w:r w:rsidRPr="00606E0E">
        <w:rPr>
          <w:rFonts w:ascii="Calisto MT" w:hAnsi="Calisto MT"/>
        </w:rPr>
        <w:t xml:space="preserve">), 5,5'-dehydrodivanillate </w:t>
      </w:r>
      <w:r w:rsidRPr="00606E0E">
        <w:rPr>
          <w:rFonts w:ascii="Calisto MT" w:hAnsi="Calisto MT"/>
          <w:i/>
        </w:rPr>
        <w:t>O</w:t>
      </w:r>
      <w:r w:rsidRPr="00606E0E">
        <w:rPr>
          <w:rFonts w:ascii="Calisto MT" w:hAnsi="Calisto MT"/>
        </w:rPr>
        <w:t>-demethylase (</w:t>
      </w:r>
      <w:proofErr w:type="spellStart"/>
      <w:r w:rsidRPr="00606E0E">
        <w:rPr>
          <w:rFonts w:ascii="Calisto MT" w:hAnsi="Calisto MT"/>
          <w:i/>
        </w:rPr>
        <w:t>ligX</w:t>
      </w:r>
      <w:proofErr w:type="spellEnd"/>
      <w:r w:rsidRPr="00606E0E">
        <w:rPr>
          <w:rFonts w:ascii="Calisto MT" w:hAnsi="Calisto MT"/>
        </w:rPr>
        <w:t>), arabinan endo-1,5-</w:t>
      </w:r>
      <w:r w:rsidRPr="00606E0E">
        <w:rPr>
          <w:rFonts w:ascii="Cambria" w:hAnsi="Cambria" w:cs="Cambria"/>
        </w:rPr>
        <w:t>α</w:t>
      </w:r>
      <w:r w:rsidRPr="00606E0E">
        <w:rPr>
          <w:rFonts w:ascii="Calisto MT" w:hAnsi="Calisto MT"/>
        </w:rPr>
        <w:t>-</w:t>
      </w:r>
      <w:r w:rsidRPr="00606E0E">
        <w:rPr>
          <w:rFonts w:ascii="Calisto MT" w:hAnsi="Calisto MT"/>
          <w:i/>
        </w:rPr>
        <w:t>L</w:t>
      </w:r>
      <w:r w:rsidRPr="00606E0E">
        <w:rPr>
          <w:rFonts w:ascii="Calisto MT" w:hAnsi="Calisto MT"/>
        </w:rPr>
        <w:t>-</w:t>
      </w:r>
      <w:proofErr w:type="spellStart"/>
      <w:r w:rsidRPr="00606E0E">
        <w:rPr>
          <w:rFonts w:ascii="Calisto MT" w:hAnsi="Calisto MT"/>
        </w:rPr>
        <w:t>arabinosidase</w:t>
      </w:r>
      <w:proofErr w:type="spellEnd"/>
      <w:r w:rsidRPr="00606E0E">
        <w:rPr>
          <w:rFonts w:ascii="Calisto MT" w:hAnsi="Calisto MT"/>
        </w:rPr>
        <w:t xml:space="preserve"> (</w:t>
      </w:r>
      <w:proofErr w:type="spellStart"/>
      <w:r w:rsidRPr="00606E0E">
        <w:rPr>
          <w:rFonts w:ascii="Calisto MT" w:hAnsi="Calisto MT"/>
          <w:i/>
        </w:rPr>
        <w:t>abnA</w:t>
      </w:r>
      <w:proofErr w:type="spellEnd"/>
      <w:r w:rsidRPr="00606E0E">
        <w:rPr>
          <w:rFonts w:ascii="Calisto MT" w:hAnsi="Calisto MT"/>
        </w:rPr>
        <w:t>), terephthalate 1,2-dioxygenase reductase (</w:t>
      </w:r>
      <w:r w:rsidRPr="00606E0E">
        <w:rPr>
          <w:rFonts w:ascii="Calisto MT" w:hAnsi="Calisto MT"/>
          <w:i/>
        </w:rPr>
        <w:t>tphA1</w:t>
      </w:r>
      <w:r w:rsidRPr="00606E0E">
        <w:rPr>
          <w:rFonts w:ascii="Calisto MT" w:hAnsi="Calisto MT"/>
        </w:rPr>
        <w:t>), 1,2-dihydroxy-3,5-cyclohexadiene-1,4-dicarboxylate dehydrogenase (</w:t>
      </w:r>
      <w:proofErr w:type="spellStart"/>
      <w:r w:rsidRPr="00606E0E">
        <w:rPr>
          <w:rFonts w:ascii="Calisto MT" w:hAnsi="Calisto MT"/>
          <w:i/>
        </w:rPr>
        <w:t>tphB</w:t>
      </w:r>
      <w:proofErr w:type="spellEnd"/>
      <w:r w:rsidRPr="00606E0E">
        <w:rPr>
          <w:rFonts w:ascii="Calisto MT" w:hAnsi="Calisto MT"/>
        </w:rPr>
        <w:t xml:space="preserve">), GH family 18 chitinase </w:t>
      </w:r>
      <w:proofErr w:type="spellStart"/>
      <w:r w:rsidRPr="00606E0E">
        <w:rPr>
          <w:rFonts w:ascii="Calisto MT" w:hAnsi="Calisto MT"/>
          <w:i/>
        </w:rPr>
        <w:t>chiE</w:t>
      </w:r>
      <w:proofErr w:type="spellEnd"/>
      <w:r w:rsidRPr="00606E0E">
        <w:rPr>
          <w:rFonts w:ascii="Calisto MT" w:hAnsi="Calisto MT"/>
        </w:rPr>
        <w:t xml:space="preserve">, and GH family 19 chitinases </w:t>
      </w:r>
      <w:proofErr w:type="spellStart"/>
      <w:r w:rsidRPr="00606E0E">
        <w:rPr>
          <w:rFonts w:ascii="Calisto MT" w:hAnsi="Calisto MT"/>
          <w:i/>
        </w:rPr>
        <w:t>chiF</w:t>
      </w:r>
      <w:proofErr w:type="spellEnd"/>
      <w:r w:rsidRPr="00606E0E">
        <w:rPr>
          <w:rFonts w:ascii="Calisto MT" w:hAnsi="Calisto MT"/>
        </w:rPr>
        <w:t xml:space="preserve"> and </w:t>
      </w:r>
      <w:proofErr w:type="spellStart"/>
      <w:r w:rsidRPr="00606E0E">
        <w:rPr>
          <w:rFonts w:ascii="Calisto MT" w:hAnsi="Calisto MT"/>
          <w:i/>
        </w:rPr>
        <w:t>chiG</w:t>
      </w:r>
      <w:proofErr w:type="spellEnd"/>
      <w:r w:rsidRPr="00606E0E">
        <w:rPr>
          <w:rFonts w:ascii="Calisto MT" w:hAnsi="Calisto MT"/>
        </w:rPr>
        <w:t>, benzoyl-CoA reductase subunits A, B, C and D (</w:t>
      </w:r>
      <w:proofErr w:type="spellStart"/>
      <w:r w:rsidRPr="00606E0E">
        <w:rPr>
          <w:rFonts w:ascii="Calisto MT" w:hAnsi="Calisto MT"/>
          <w:i/>
        </w:rPr>
        <w:t>badFEDG</w:t>
      </w:r>
      <w:proofErr w:type="spellEnd"/>
      <w:r w:rsidRPr="00606E0E">
        <w:rPr>
          <w:rFonts w:ascii="Calisto MT" w:hAnsi="Calisto MT"/>
        </w:rPr>
        <w:t>)  and benzoyl-CoA reductase subunit (</w:t>
      </w:r>
      <w:proofErr w:type="spellStart"/>
      <w:r w:rsidRPr="00606E0E">
        <w:rPr>
          <w:rFonts w:ascii="Calisto MT" w:hAnsi="Calisto MT"/>
          <w:i/>
        </w:rPr>
        <w:t>bamB</w:t>
      </w:r>
      <w:proofErr w:type="spellEnd"/>
      <w:r w:rsidRPr="00606E0E">
        <w:rPr>
          <w:rFonts w:ascii="Calisto MT" w:hAnsi="Calisto MT"/>
        </w:rPr>
        <w:t>).   Box plot shows the mean (bold line) and median (light line) abundance together with the 5</w:t>
      </w:r>
      <w:r w:rsidRPr="00606E0E">
        <w:rPr>
          <w:rFonts w:ascii="Calisto MT" w:hAnsi="Calisto MT"/>
          <w:vertAlign w:val="superscript"/>
        </w:rPr>
        <w:t>th</w:t>
      </w:r>
      <w:r w:rsidRPr="00606E0E">
        <w:rPr>
          <w:rFonts w:ascii="Calisto MT" w:hAnsi="Calisto MT"/>
        </w:rPr>
        <w:t xml:space="preserve"> and 95</w:t>
      </w:r>
      <w:r w:rsidRPr="00606E0E">
        <w:rPr>
          <w:rFonts w:ascii="Calisto MT" w:hAnsi="Calisto MT"/>
          <w:vertAlign w:val="superscript"/>
        </w:rPr>
        <w:t>th</w:t>
      </w:r>
      <w:r w:rsidRPr="00606E0E">
        <w:rPr>
          <w:rFonts w:ascii="Calisto MT" w:hAnsi="Calisto MT"/>
        </w:rPr>
        <w:t xml:space="preserve"> percentiles.  The significance (</w:t>
      </w:r>
      <w:r w:rsidRPr="00606E0E">
        <w:rPr>
          <w:rFonts w:ascii="Calisto MT" w:hAnsi="Calisto MT"/>
          <w:i/>
        </w:rPr>
        <w:t>p</w:t>
      </w:r>
      <w:r w:rsidRPr="00606E0E">
        <w:rPr>
          <w:rFonts w:ascii="Calisto MT" w:hAnsi="Calisto MT"/>
        </w:rPr>
        <w:t>) and positive false discovery rate (</w:t>
      </w:r>
      <w:r w:rsidRPr="00606E0E">
        <w:rPr>
          <w:rFonts w:ascii="Calisto MT" w:hAnsi="Calisto MT"/>
          <w:i/>
        </w:rPr>
        <w:t>q</w:t>
      </w:r>
      <w:r w:rsidRPr="00606E0E">
        <w:rPr>
          <w:rFonts w:ascii="Calisto MT" w:hAnsi="Calisto MT"/>
        </w:rPr>
        <w:t>) of the difference in abundance between the three treatments are shown.</w:t>
      </w:r>
    </w:p>
    <w:p w14:paraId="7A20956E" w14:textId="77777777" w:rsidR="002459BA" w:rsidRDefault="002459BA" w:rsidP="002459BA">
      <w:pPr>
        <w:jc w:val="both"/>
        <w:rPr>
          <w:rFonts w:ascii="Calisto MT" w:hAnsi="Calisto MT"/>
          <w:sz w:val="28"/>
          <w:szCs w:val="28"/>
        </w:rPr>
      </w:pPr>
    </w:p>
    <w:p w14:paraId="4F1186E9" w14:textId="77777777" w:rsidR="002459BA" w:rsidRDefault="002459BA" w:rsidP="002459BA">
      <w:pPr>
        <w:rPr>
          <w:rFonts w:ascii="Calisto MT" w:hAnsi="Calisto MT"/>
          <w:sz w:val="28"/>
          <w:szCs w:val="28"/>
        </w:rPr>
      </w:pPr>
      <w:r>
        <w:rPr>
          <w:rFonts w:ascii="Calisto MT" w:hAnsi="Calisto MT"/>
          <w:sz w:val="28"/>
          <w:szCs w:val="28"/>
        </w:rPr>
        <w:br w:type="page"/>
      </w:r>
    </w:p>
    <w:p w14:paraId="6E716C7D" w14:textId="77777777" w:rsidR="002459BA" w:rsidRDefault="002459BA" w:rsidP="002459BA">
      <w:pPr>
        <w:jc w:val="both"/>
        <w:rPr>
          <w:rFonts w:ascii="Calisto MT" w:hAnsi="Calisto MT"/>
          <w:sz w:val="28"/>
          <w:szCs w:val="28"/>
        </w:rPr>
      </w:pPr>
      <w:r>
        <w:rPr>
          <w:rFonts w:ascii="Calisto MT" w:hAnsi="Calisto MT"/>
          <w:noProof/>
          <w:sz w:val="28"/>
          <w:szCs w:val="28"/>
        </w:rPr>
        <w:lastRenderedPageBreak/>
        <w:drawing>
          <wp:inline distT="0" distB="0" distL="0" distR="0" wp14:anchorId="32F70586" wp14:editId="499BB807">
            <wp:extent cx="5786888" cy="3963126"/>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01813" cy="3973347"/>
                    </a:xfrm>
                    <a:prstGeom prst="rect">
                      <a:avLst/>
                    </a:prstGeom>
                    <a:noFill/>
                  </pic:spPr>
                </pic:pic>
              </a:graphicData>
            </a:graphic>
          </wp:inline>
        </w:drawing>
      </w:r>
    </w:p>
    <w:p w14:paraId="105BDB11" w14:textId="77777777" w:rsidR="002459BA" w:rsidRPr="00606E0E" w:rsidRDefault="002459BA" w:rsidP="002459BA">
      <w:pPr>
        <w:jc w:val="both"/>
        <w:rPr>
          <w:rFonts w:ascii="Calisto MT" w:hAnsi="Calisto MT"/>
        </w:rPr>
      </w:pPr>
      <w:r w:rsidRPr="00606E0E">
        <w:rPr>
          <w:rFonts w:ascii="Calisto MT" w:hAnsi="Calisto MT"/>
          <w:b/>
          <w:bCs/>
          <w:iCs/>
        </w:rPr>
        <w:t>Supplementary Figure 7.</w:t>
      </w:r>
      <w:r w:rsidRPr="00606E0E">
        <w:rPr>
          <w:rFonts w:ascii="Calisto MT" w:hAnsi="Calisto MT"/>
          <w:b/>
          <w:bCs/>
        </w:rPr>
        <w:t xml:space="preserve"> Genes associated with solute transport show land-use specific responses.</w:t>
      </w:r>
      <w:r w:rsidRPr="00606E0E">
        <w:rPr>
          <w:rFonts w:ascii="Calisto MT" w:hAnsi="Calisto MT"/>
        </w:rPr>
        <w:t xml:space="preserve"> Box plot of abundance for genes associated with transport of glycerol (</w:t>
      </w:r>
      <w:proofErr w:type="spellStart"/>
      <w:r w:rsidRPr="00606E0E">
        <w:rPr>
          <w:rFonts w:ascii="Calisto MT" w:hAnsi="Calisto MT"/>
          <w:i/>
        </w:rPr>
        <w:t>glpVPQST</w:t>
      </w:r>
      <w:proofErr w:type="spellEnd"/>
      <w:r w:rsidRPr="00606E0E">
        <w:rPr>
          <w:rFonts w:ascii="Calisto MT" w:hAnsi="Calisto MT"/>
        </w:rPr>
        <w:t>), urea (</w:t>
      </w:r>
      <w:proofErr w:type="spellStart"/>
      <w:r w:rsidRPr="00606E0E">
        <w:rPr>
          <w:rFonts w:ascii="Calisto MT" w:hAnsi="Calisto MT"/>
          <w:i/>
        </w:rPr>
        <w:t>urtACDE</w:t>
      </w:r>
      <w:proofErr w:type="spellEnd"/>
      <w:r w:rsidRPr="00606E0E">
        <w:rPr>
          <w:rFonts w:ascii="Calisto MT" w:hAnsi="Calisto MT"/>
        </w:rPr>
        <w:t>), glutathione (</w:t>
      </w:r>
      <w:proofErr w:type="spellStart"/>
      <w:r w:rsidRPr="00606E0E">
        <w:rPr>
          <w:rFonts w:ascii="Calisto MT" w:hAnsi="Calisto MT"/>
          <w:i/>
        </w:rPr>
        <w:t>gsiABCD</w:t>
      </w:r>
      <w:proofErr w:type="spellEnd"/>
      <w:r w:rsidRPr="00606E0E">
        <w:rPr>
          <w:rFonts w:ascii="Calisto MT" w:hAnsi="Calisto MT"/>
        </w:rPr>
        <w:t xml:space="preserve">) and glucose, mannose, glucosamine and </w:t>
      </w:r>
      <w:r w:rsidRPr="00606E0E">
        <w:rPr>
          <w:rFonts w:ascii="Calisto MT" w:hAnsi="Calisto MT"/>
          <w:i/>
        </w:rPr>
        <w:t>N</w:t>
      </w:r>
      <w:r w:rsidRPr="00606E0E">
        <w:rPr>
          <w:rFonts w:ascii="Calisto MT" w:hAnsi="Calisto MT"/>
        </w:rPr>
        <w:t>-acetylglucosamine transport (</w:t>
      </w:r>
      <w:proofErr w:type="spellStart"/>
      <w:r w:rsidRPr="00606E0E">
        <w:rPr>
          <w:rFonts w:ascii="Calisto MT" w:hAnsi="Calisto MT"/>
          <w:i/>
        </w:rPr>
        <w:t>manXYZ</w:t>
      </w:r>
      <w:proofErr w:type="spellEnd"/>
      <w:r w:rsidRPr="00606E0E">
        <w:rPr>
          <w:rFonts w:ascii="Calisto MT" w:hAnsi="Calisto MT"/>
        </w:rPr>
        <w:t>).  Box plot shows the mean (bold line) and median (light line) abundance together with the 5</w:t>
      </w:r>
      <w:r w:rsidRPr="00606E0E">
        <w:rPr>
          <w:rFonts w:ascii="Calisto MT" w:hAnsi="Calisto MT"/>
          <w:vertAlign w:val="superscript"/>
        </w:rPr>
        <w:t>th</w:t>
      </w:r>
      <w:r w:rsidRPr="00606E0E">
        <w:rPr>
          <w:rFonts w:ascii="Calisto MT" w:hAnsi="Calisto MT"/>
        </w:rPr>
        <w:t xml:space="preserve"> and 95</w:t>
      </w:r>
      <w:r w:rsidRPr="00606E0E">
        <w:rPr>
          <w:rFonts w:ascii="Calisto MT" w:hAnsi="Calisto MT"/>
          <w:vertAlign w:val="superscript"/>
        </w:rPr>
        <w:t>th</w:t>
      </w:r>
      <w:r w:rsidRPr="00606E0E">
        <w:rPr>
          <w:rFonts w:ascii="Calisto MT" w:hAnsi="Calisto MT"/>
        </w:rPr>
        <w:t xml:space="preserve"> percentiles.  The significance (</w:t>
      </w:r>
      <w:r w:rsidRPr="00606E0E">
        <w:rPr>
          <w:rFonts w:ascii="Calisto MT" w:hAnsi="Calisto MT"/>
          <w:i/>
        </w:rPr>
        <w:t>p</w:t>
      </w:r>
      <w:r w:rsidRPr="00606E0E">
        <w:rPr>
          <w:rFonts w:ascii="Calisto MT" w:hAnsi="Calisto MT"/>
        </w:rPr>
        <w:t>) and positive false discovery rate (</w:t>
      </w:r>
      <w:r w:rsidRPr="00606E0E">
        <w:rPr>
          <w:rFonts w:ascii="Calisto MT" w:hAnsi="Calisto MT"/>
          <w:i/>
        </w:rPr>
        <w:t>q</w:t>
      </w:r>
      <w:r w:rsidRPr="00606E0E">
        <w:rPr>
          <w:rFonts w:ascii="Calisto MT" w:hAnsi="Calisto MT"/>
        </w:rPr>
        <w:t>) of the difference in abundance between the three treatments are shown.</w:t>
      </w:r>
    </w:p>
    <w:p w14:paraId="2EEFE522" w14:textId="77777777" w:rsidR="002459BA" w:rsidRDefault="002459BA" w:rsidP="002459BA">
      <w:pPr>
        <w:jc w:val="both"/>
        <w:rPr>
          <w:rFonts w:ascii="Calisto MT" w:hAnsi="Calisto MT"/>
          <w:sz w:val="28"/>
          <w:szCs w:val="28"/>
        </w:rPr>
      </w:pPr>
    </w:p>
    <w:p w14:paraId="4436078B" w14:textId="77777777" w:rsidR="002459BA" w:rsidRDefault="002459BA" w:rsidP="002459BA">
      <w:pPr>
        <w:rPr>
          <w:rFonts w:ascii="Calisto MT" w:hAnsi="Calisto MT"/>
          <w:sz w:val="28"/>
          <w:szCs w:val="28"/>
        </w:rPr>
      </w:pPr>
      <w:r>
        <w:rPr>
          <w:rFonts w:ascii="Calisto MT" w:hAnsi="Calisto MT"/>
          <w:sz w:val="28"/>
          <w:szCs w:val="28"/>
        </w:rPr>
        <w:br w:type="page"/>
      </w:r>
    </w:p>
    <w:p w14:paraId="67CC3031" w14:textId="77777777" w:rsidR="002459BA" w:rsidRDefault="002459BA" w:rsidP="002459BA">
      <w:pPr>
        <w:jc w:val="center"/>
        <w:rPr>
          <w:rFonts w:ascii="Calisto MT" w:hAnsi="Calisto MT"/>
          <w:sz w:val="28"/>
          <w:szCs w:val="28"/>
        </w:rPr>
      </w:pPr>
      <w:r>
        <w:rPr>
          <w:rFonts w:ascii="Calisto MT" w:hAnsi="Calisto MT"/>
          <w:noProof/>
          <w:sz w:val="28"/>
          <w:szCs w:val="28"/>
        </w:rPr>
        <w:lastRenderedPageBreak/>
        <w:drawing>
          <wp:inline distT="0" distB="0" distL="0" distR="0" wp14:anchorId="75EFAFEB" wp14:editId="073CC03D">
            <wp:extent cx="5651500" cy="3158076"/>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1959" cy="3169509"/>
                    </a:xfrm>
                    <a:prstGeom prst="rect">
                      <a:avLst/>
                    </a:prstGeom>
                    <a:noFill/>
                  </pic:spPr>
                </pic:pic>
              </a:graphicData>
            </a:graphic>
          </wp:inline>
        </w:drawing>
      </w:r>
    </w:p>
    <w:p w14:paraId="1F61B9B2" w14:textId="77777777" w:rsidR="002459BA" w:rsidRPr="00606E0E" w:rsidRDefault="002459BA" w:rsidP="002459BA">
      <w:pPr>
        <w:jc w:val="both"/>
        <w:rPr>
          <w:rFonts w:ascii="Calisto MT" w:hAnsi="Calisto MT"/>
          <w:iCs/>
        </w:rPr>
      </w:pPr>
      <w:r w:rsidRPr="00606E0E">
        <w:rPr>
          <w:rFonts w:ascii="Calisto MT" w:hAnsi="Calisto MT"/>
          <w:b/>
          <w:bCs/>
          <w:iCs/>
        </w:rPr>
        <w:t>Supplementary Figure 8. Unconstrained management-conditional principal coordinate analysis of gene assemblages associated with consistently managed plots of the Highfield Ley-Arable long-term field experiment.</w:t>
      </w:r>
      <w:r w:rsidRPr="00606E0E">
        <w:rPr>
          <w:rFonts w:ascii="Calisto MT" w:hAnsi="Calisto MT"/>
          <w:iCs/>
        </w:rPr>
        <w:t xml:space="preserve">   Ordination is based on Hellinger distances calculated from square root transformed gene abundance data. Data points represent individual replicate plots of grassland (green), arable (yellow) and bare fallow (brown) soils.  </w:t>
      </w:r>
      <w:proofErr w:type="spellStart"/>
      <w:r w:rsidRPr="00606E0E">
        <w:rPr>
          <w:rFonts w:ascii="Calisto MT" w:hAnsi="Calisto MT"/>
          <w:iCs/>
        </w:rPr>
        <w:t>PCoA</w:t>
      </w:r>
      <w:proofErr w:type="spellEnd"/>
      <w:r w:rsidRPr="00606E0E">
        <w:rPr>
          <w:rFonts w:ascii="Calisto MT" w:hAnsi="Calisto MT"/>
          <w:iCs/>
        </w:rPr>
        <w:t xml:space="preserve"> axis 1 (eigenvalue = 0.032) accounted for 84.48% of total variability, </w:t>
      </w:r>
      <w:proofErr w:type="spellStart"/>
      <w:r w:rsidRPr="00606E0E">
        <w:rPr>
          <w:rFonts w:ascii="Calisto MT" w:hAnsi="Calisto MT"/>
          <w:iCs/>
        </w:rPr>
        <w:t>PCoA</w:t>
      </w:r>
      <w:proofErr w:type="spellEnd"/>
      <w:r w:rsidRPr="00606E0E">
        <w:rPr>
          <w:rFonts w:ascii="Calisto MT" w:hAnsi="Calisto MT"/>
          <w:iCs/>
        </w:rPr>
        <w:t xml:space="preserve"> axis 2 (eigenvalue = 0.0027) accounted for 6.94% of total variation.</w:t>
      </w:r>
    </w:p>
    <w:p w14:paraId="031D98BE" w14:textId="77777777" w:rsidR="002459BA" w:rsidRDefault="002459BA" w:rsidP="002459BA">
      <w:pPr>
        <w:rPr>
          <w:rFonts w:ascii="Calisto MT" w:hAnsi="Calisto MT"/>
          <w:sz w:val="28"/>
          <w:szCs w:val="28"/>
        </w:rPr>
      </w:pPr>
      <w:r>
        <w:rPr>
          <w:rFonts w:ascii="Calisto MT" w:hAnsi="Calisto MT"/>
          <w:sz w:val="28"/>
          <w:szCs w:val="28"/>
        </w:rPr>
        <w:br w:type="page"/>
      </w:r>
    </w:p>
    <w:p w14:paraId="2179518B" w14:textId="77777777" w:rsidR="002459BA" w:rsidRDefault="002459BA" w:rsidP="002459BA">
      <w:pPr>
        <w:rPr>
          <w:rFonts w:ascii="Calisto MT" w:hAnsi="Calisto MT"/>
          <w:sz w:val="28"/>
          <w:szCs w:val="28"/>
        </w:rPr>
      </w:pPr>
      <w:r>
        <w:rPr>
          <w:rFonts w:ascii="Calisto MT" w:hAnsi="Calisto MT"/>
          <w:noProof/>
          <w:sz w:val="28"/>
          <w:szCs w:val="28"/>
        </w:rPr>
        <w:lastRenderedPageBreak/>
        <w:drawing>
          <wp:inline distT="0" distB="0" distL="0" distR="0" wp14:anchorId="40A78CFF" wp14:editId="76D8EC3F">
            <wp:extent cx="5713712" cy="4468091"/>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9427" cy="4472560"/>
                    </a:xfrm>
                    <a:prstGeom prst="rect">
                      <a:avLst/>
                    </a:prstGeom>
                    <a:noFill/>
                  </pic:spPr>
                </pic:pic>
              </a:graphicData>
            </a:graphic>
          </wp:inline>
        </w:drawing>
      </w:r>
    </w:p>
    <w:p w14:paraId="463A14E5" w14:textId="77777777" w:rsidR="002459BA" w:rsidRPr="00606E0E" w:rsidRDefault="002459BA" w:rsidP="002459BA">
      <w:pPr>
        <w:jc w:val="both"/>
        <w:rPr>
          <w:rFonts w:ascii="Calisto MT" w:hAnsi="Calisto MT"/>
        </w:rPr>
      </w:pPr>
      <w:r w:rsidRPr="00606E0E">
        <w:rPr>
          <w:rFonts w:ascii="Calisto MT" w:hAnsi="Calisto MT"/>
          <w:b/>
          <w:bCs/>
          <w:iCs/>
        </w:rPr>
        <w:t xml:space="preserve">Supplementary Figure 9. Three-dimensional representation of soil porosity in Highfield soils. </w:t>
      </w:r>
      <w:r w:rsidRPr="00606E0E">
        <w:rPr>
          <w:rFonts w:ascii="Calisto MT" w:hAnsi="Calisto MT"/>
          <w:iCs/>
        </w:rPr>
        <w:t>Soil structures were determined from high-resolution (1.5 µm) X-ray Computed Tomography of aggregates (&lt;2 mm) collected from long-term grassland, arable and bare fallowed soils.  The images are pseudo-coloured to reflect the ranges of pore throat diameters present in each soil (scale shown below images) and are shown at increasingly larger pore throat diameter cut-offs for ease of discrimination.  Each representation is of a typical aggregate structure collected from each soil.</w:t>
      </w:r>
      <w:r w:rsidRPr="00606E0E">
        <w:rPr>
          <w:rFonts w:ascii="Calisto MT" w:hAnsi="Calisto MT"/>
        </w:rPr>
        <w:br w:type="page"/>
      </w:r>
    </w:p>
    <w:p w14:paraId="3D40660A" w14:textId="77777777" w:rsidR="002459BA" w:rsidRDefault="002459BA" w:rsidP="002459BA">
      <w:pPr>
        <w:jc w:val="both"/>
        <w:rPr>
          <w:rFonts w:ascii="Calisto MT" w:hAnsi="Calisto MT"/>
          <w:sz w:val="28"/>
          <w:szCs w:val="28"/>
        </w:rPr>
      </w:pPr>
    </w:p>
    <w:p w14:paraId="6A976718" w14:textId="77777777" w:rsidR="002459BA" w:rsidRDefault="002459BA" w:rsidP="002459BA">
      <w:pPr>
        <w:jc w:val="both"/>
        <w:rPr>
          <w:rFonts w:ascii="Calisto MT" w:hAnsi="Calisto MT"/>
          <w:sz w:val="28"/>
          <w:szCs w:val="28"/>
        </w:rPr>
      </w:pPr>
      <w:r>
        <w:rPr>
          <w:noProof/>
        </w:rPr>
        <w:drawing>
          <wp:inline distT="0" distB="0" distL="0" distR="0" wp14:anchorId="7AEC3660" wp14:editId="52EF0D11">
            <wp:extent cx="5731510" cy="2434402"/>
            <wp:effectExtent l="0" t="0" r="254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7.TIF"/>
                    <pic:cNvPicPr/>
                  </pic:nvPicPr>
                  <pic:blipFill rotWithShape="1">
                    <a:blip r:embed="rId13">
                      <a:extLst>
                        <a:ext uri="{28A0092B-C50C-407E-A947-70E740481C1C}">
                          <a14:useLocalDpi xmlns:a14="http://schemas.microsoft.com/office/drawing/2010/main" val="0"/>
                        </a:ext>
                      </a:extLst>
                    </a:blip>
                    <a:srcRect l="9544" t="17982" r="6268" b="18452"/>
                    <a:stretch/>
                  </pic:blipFill>
                  <pic:spPr bwMode="auto">
                    <a:xfrm>
                      <a:off x="0" y="0"/>
                      <a:ext cx="5731510" cy="2434402"/>
                    </a:xfrm>
                    <a:prstGeom prst="rect">
                      <a:avLst/>
                    </a:prstGeom>
                    <a:ln>
                      <a:noFill/>
                    </a:ln>
                    <a:extLst>
                      <a:ext uri="{53640926-AAD7-44D8-BBD7-CCE9431645EC}">
                        <a14:shadowObscured xmlns:a14="http://schemas.microsoft.com/office/drawing/2010/main"/>
                      </a:ext>
                    </a:extLst>
                  </pic:spPr>
                </pic:pic>
              </a:graphicData>
            </a:graphic>
          </wp:inline>
        </w:drawing>
      </w:r>
    </w:p>
    <w:p w14:paraId="4D5AFF46" w14:textId="77777777" w:rsidR="002459BA" w:rsidRDefault="002459BA" w:rsidP="002459BA">
      <w:pPr>
        <w:jc w:val="both"/>
        <w:rPr>
          <w:rFonts w:ascii="Calisto MT" w:hAnsi="Calisto MT"/>
          <w:sz w:val="28"/>
          <w:szCs w:val="28"/>
        </w:rPr>
      </w:pPr>
    </w:p>
    <w:p w14:paraId="37000E6D" w14:textId="77777777" w:rsidR="002459BA" w:rsidRPr="00606E0E" w:rsidRDefault="002459BA" w:rsidP="002459BA">
      <w:pPr>
        <w:jc w:val="both"/>
        <w:rPr>
          <w:rFonts w:ascii="Calisto MT" w:hAnsi="Calisto MT"/>
        </w:rPr>
      </w:pPr>
      <w:r w:rsidRPr="00606E0E">
        <w:rPr>
          <w:rFonts w:ascii="Calisto MT" w:hAnsi="Calisto MT"/>
          <w:b/>
          <w:bCs/>
          <w:iCs/>
        </w:rPr>
        <w:t>Supplementary Figure 10.</w:t>
      </w:r>
      <w:r w:rsidRPr="00606E0E">
        <w:rPr>
          <w:rFonts w:ascii="Calisto MT" w:hAnsi="Calisto MT"/>
        </w:rPr>
        <w:t xml:space="preserve"> Water distribution and anoxic pore space within soils. A - An illustrative example showing the distribution of water (blue), air (yellow) and soil particles (brown) at saturation of 55%, calculated using the described method. B - Location of anoxic (green) and aerobic (red) areas calculated from the pore-scale simulation after the system reaches steady state for </w:t>
      </w:r>
      <w:r w:rsidRPr="00606E0E">
        <w:rPr>
          <w:rFonts w:ascii="Calisto MT" w:hAnsi="Calisto MT"/>
          <w:i/>
        </w:rPr>
        <w:t>k</w:t>
      </w:r>
      <w:r w:rsidRPr="00606E0E">
        <w:rPr>
          <w:rFonts w:ascii="Calisto MT" w:hAnsi="Calisto MT"/>
        </w:rPr>
        <w:t>’ = 5x10</w:t>
      </w:r>
      <w:r w:rsidRPr="00606E0E">
        <w:rPr>
          <w:rFonts w:ascii="Calisto MT" w:hAnsi="Calisto MT"/>
          <w:vertAlign w:val="superscript"/>
        </w:rPr>
        <w:t>-3</w:t>
      </w:r>
      <w:r w:rsidRPr="00606E0E">
        <w:rPr>
          <w:rFonts w:ascii="Calisto MT" w:hAnsi="Calisto MT"/>
        </w:rPr>
        <w:t xml:space="preserve">.   </w:t>
      </w:r>
    </w:p>
    <w:p w14:paraId="183637F4" w14:textId="77777777" w:rsidR="002459BA" w:rsidRPr="00734BB7" w:rsidRDefault="002459BA" w:rsidP="002459BA">
      <w:pPr>
        <w:jc w:val="both"/>
        <w:rPr>
          <w:rFonts w:ascii="Calisto MT" w:hAnsi="Calisto MT"/>
          <w:sz w:val="28"/>
          <w:szCs w:val="28"/>
        </w:rPr>
      </w:pPr>
    </w:p>
    <w:p w14:paraId="730D42A3" w14:textId="77777777" w:rsidR="002459BA" w:rsidRPr="002037ED" w:rsidRDefault="002459BA" w:rsidP="002459BA">
      <w:pPr>
        <w:jc w:val="both"/>
        <w:rPr>
          <w:rFonts w:ascii="Calisto MT" w:hAnsi="Calisto MT"/>
          <w:sz w:val="28"/>
          <w:szCs w:val="28"/>
        </w:rPr>
      </w:pPr>
    </w:p>
    <w:p w14:paraId="5EC24D7E" w14:textId="77777777" w:rsidR="002459BA" w:rsidRPr="00A061E1" w:rsidRDefault="002459BA" w:rsidP="002459BA">
      <w:pPr>
        <w:jc w:val="both"/>
        <w:rPr>
          <w:rFonts w:ascii="Calisto MT" w:hAnsi="Calisto MT"/>
        </w:rPr>
      </w:pPr>
    </w:p>
    <w:p w14:paraId="6BFCEEFD" w14:textId="77777777" w:rsidR="00721A7E" w:rsidRDefault="007647D4"/>
    <w:sectPr w:rsidR="00721A7E" w:rsidSect="002459BA">
      <w:pgSz w:w="11906" w:h="16838" w:code="9"/>
      <w:pgMar w:top="1440" w:right="1440" w:bottom="1440" w:left="1440" w:header="709" w:footer="709"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9BA"/>
    <w:rsid w:val="00177DC1"/>
    <w:rsid w:val="001E4AE2"/>
    <w:rsid w:val="002459BA"/>
    <w:rsid w:val="003C44B7"/>
    <w:rsid w:val="007647D4"/>
    <w:rsid w:val="00D06BE2"/>
    <w:rsid w:val="00FA7B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08BB4"/>
  <w15:chartTrackingRefBased/>
  <w15:docId w15:val="{097C37FB-E524-4F8C-9E55-9711B78A5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459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2459BA"/>
  </w:style>
  <w:style w:type="paragraph" w:styleId="NoSpacing">
    <w:name w:val="No Spacing"/>
    <w:link w:val="NoSpacingChar"/>
    <w:uiPriority w:val="1"/>
    <w:qFormat/>
    <w:rsid w:val="002459B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459BA"/>
    <w:rPr>
      <w:rFonts w:eastAsiaTheme="minorEastAsia"/>
      <w:lang w:val="en-US"/>
    </w:rPr>
  </w:style>
  <w:style w:type="paragraph" w:customStyle="1" w:styleId="Authors">
    <w:name w:val="Authors"/>
    <w:basedOn w:val="Normal"/>
    <w:rsid w:val="002459BA"/>
    <w:pPr>
      <w:spacing w:before="120" w:after="360" w:line="240" w:lineRule="auto"/>
      <w:jc w:val="center"/>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7647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7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TIF"/><Relationship Id="rId3" Type="http://schemas.openxmlformats.org/officeDocument/2006/relationships/webSettings" Target="webSettings.xml"/><Relationship Id="rId7" Type="http://schemas.openxmlformats.org/officeDocument/2006/relationships/image" Target="media/image4.TIF"/><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glossaryDocument" Target="glossary/document.xml"/><Relationship Id="rId10" Type="http://schemas.openxmlformats.org/officeDocument/2006/relationships/image" Target="media/image7.png"/><Relationship Id="rId4" Type="http://schemas.openxmlformats.org/officeDocument/2006/relationships/image" Target="media/image1.TIF"/><Relationship Id="rId9" Type="http://schemas.openxmlformats.org/officeDocument/2006/relationships/image" Target="media/image6.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D50CABF77C947828086AD0E9F09E9C2"/>
        <w:category>
          <w:name w:val="General"/>
          <w:gallery w:val="placeholder"/>
        </w:category>
        <w:types>
          <w:type w:val="bbPlcHdr"/>
        </w:types>
        <w:behaviors>
          <w:behavior w:val="content"/>
        </w:behaviors>
        <w:guid w:val="{83859E6A-6694-4B48-AFA7-DEC3EB7C75D0}"/>
      </w:docPartPr>
      <w:docPartBody>
        <w:p w:rsidR="00000000" w:rsidRDefault="00CA7648" w:rsidP="00CA7648">
          <w:pPr>
            <w:pStyle w:val="AD50CABF77C947828086AD0E9F09E9C2"/>
          </w:pPr>
          <w:r>
            <w:rPr>
              <w:color w:val="2F5496" w:themeColor="accent1" w:themeShade="BF"/>
              <w:sz w:val="24"/>
              <w:szCs w:val="24"/>
            </w:rPr>
            <w:t>[Company name]</w:t>
          </w:r>
        </w:p>
      </w:docPartBody>
    </w:docPart>
    <w:docPart>
      <w:docPartPr>
        <w:name w:val="CD86E5E25F2D4A3AA9C97062C3807381"/>
        <w:category>
          <w:name w:val="General"/>
          <w:gallery w:val="placeholder"/>
        </w:category>
        <w:types>
          <w:type w:val="bbPlcHdr"/>
        </w:types>
        <w:behaviors>
          <w:behavior w:val="content"/>
        </w:behaviors>
        <w:guid w:val="{FFBF3A4B-5FBD-4B27-A183-E5A3C2C129EE}"/>
      </w:docPartPr>
      <w:docPartBody>
        <w:p w:rsidR="00000000" w:rsidRDefault="00CA7648" w:rsidP="00CA7648">
          <w:pPr>
            <w:pStyle w:val="CD86E5E25F2D4A3AA9C97062C3807381"/>
          </w:pPr>
          <w:r>
            <w:rPr>
              <w:rFonts w:asciiTheme="majorHAnsi" w:eastAsiaTheme="majorEastAsia" w:hAnsiTheme="majorHAnsi" w:cstheme="majorBidi"/>
              <w:color w:val="4472C4" w:themeColor="accent1"/>
              <w:sz w:val="88"/>
              <w:szCs w:val="88"/>
            </w:rPr>
            <w:t>[Document title]</w:t>
          </w:r>
        </w:p>
      </w:docPartBody>
    </w:docPart>
    <w:docPart>
      <w:docPartPr>
        <w:name w:val="1C8652BD94F749F0B495F5DD513A4F89"/>
        <w:category>
          <w:name w:val="General"/>
          <w:gallery w:val="placeholder"/>
        </w:category>
        <w:types>
          <w:type w:val="bbPlcHdr"/>
        </w:types>
        <w:behaviors>
          <w:behavior w:val="content"/>
        </w:behaviors>
        <w:guid w:val="{E425FE57-593A-4854-95CB-7D0FE7A2E479}"/>
      </w:docPartPr>
      <w:docPartBody>
        <w:p w:rsidR="00000000" w:rsidRDefault="00CA7648" w:rsidP="00CA7648">
          <w:pPr>
            <w:pStyle w:val="1C8652BD94F749F0B495F5DD513A4F89"/>
          </w:pPr>
          <w:r>
            <w:rPr>
              <w:color w:val="2F5496"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648"/>
    <w:rsid w:val="00CA76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50CABF77C947828086AD0E9F09E9C2">
    <w:name w:val="AD50CABF77C947828086AD0E9F09E9C2"/>
    <w:rsid w:val="00CA7648"/>
  </w:style>
  <w:style w:type="paragraph" w:customStyle="1" w:styleId="CD86E5E25F2D4A3AA9C97062C3807381">
    <w:name w:val="CD86E5E25F2D4A3AA9C97062C3807381"/>
    <w:rsid w:val="00CA7648"/>
  </w:style>
  <w:style w:type="paragraph" w:customStyle="1" w:styleId="1C8652BD94F749F0B495F5DD513A4F89">
    <w:name w:val="1C8652BD94F749F0B495F5DD513A4F89"/>
    <w:rsid w:val="00CA7648"/>
  </w:style>
  <w:style w:type="paragraph" w:customStyle="1" w:styleId="E9A6A92598A0485BA33C80E47185E9C5">
    <w:name w:val="E9A6A92598A0485BA33C80E47185E9C5"/>
    <w:rsid w:val="00CA7648"/>
  </w:style>
  <w:style w:type="paragraph" w:customStyle="1" w:styleId="42BC0C31044B45ECACFF968BEB2707EF">
    <w:name w:val="42BC0C31044B45ECACFF968BEB2707EF"/>
    <w:rsid w:val="00CA76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11</Pages>
  <Words>1020</Words>
  <Characters>5820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Soil as an Extended Composite Phenotype of the Microbial Metagenome.</vt:lpstr>
    </vt:vector>
  </TitlesOfParts>
  <Company>Scientific Reports</Company>
  <LinksUpToDate>false</LinksUpToDate>
  <CharactersWithSpaces>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Soil as an Extended Composite Phenotype of the Microbial Metagenome.</dc:title>
  <dc:subject>Supplementary Figures</dc:subject>
  <dc:creator>Andy Neal</dc:creator>
  <cp:keywords/>
  <dc:description/>
  <cp:lastModifiedBy>Andy Neal</cp:lastModifiedBy>
  <cp:revision>2</cp:revision>
  <dcterms:created xsi:type="dcterms:W3CDTF">2020-05-17T10:57:00Z</dcterms:created>
  <dcterms:modified xsi:type="dcterms:W3CDTF">2020-05-17T18:16:00Z</dcterms:modified>
</cp:coreProperties>
</file>