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580" w:rsidRDefault="001B6580"/>
    <w:p w:rsidR="001B6580" w:rsidRPr="001B6580" w:rsidRDefault="001B6580" w:rsidP="001B6580"/>
    <w:p w:rsidR="001B6580" w:rsidRPr="001B6580" w:rsidRDefault="001B6580" w:rsidP="001B6580"/>
    <w:p w:rsidR="001B6580" w:rsidRPr="001B6580" w:rsidRDefault="001B6580" w:rsidP="001B6580"/>
    <w:p w:rsidR="001B6580" w:rsidRPr="001B6580" w:rsidRDefault="001B6580" w:rsidP="001B6580"/>
    <w:p w:rsidR="001B6580" w:rsidRDefault="001B6580" w:rsidP="001B6580"/>
    <w:p w:rsidR="001B6580" w:rsidRDefault="001B6580" w:rsidP="001B6580">
      <w:pPr>
        <w:pStyle w:val="NormalWeb"/>
        <w:ind w:left="180" w:right="180"/>
        <w:rPr>
          <w:color w:val="000000"/>
          <w:sz w:val="27"/>
          <w:szCs w:val="27"/>
        </w:rPr>
      </w:pPr>
      <w:r>
        <w:tab/>
      </w:r>
      <w:r>
        <w:rPr>
          <w:rFonts w:ascii="Verdana" w:hAnsi="Verdana"/>
          <w:b/>
          <w:bCs/>
          <w:color w:val="898116"/>
          <w:sz w:val="20"/>
          <w:szCs w:val="20"/>
        </w:rPr>
        <w:t>Poster Session:</w:t>
      </w:r>
      <w:r>
        <w:rPr>
          <w:rFonts w:ascii="Verdana" w:hAnsi="Verdana"/>
          <w:b/>
          <w:bCs/>
          <w:color w:val="000000"/>
          <w:sz w:val="20"/>
          <w:szCs w:val="20"/>
        </w:rPr>
        <w:t> </w:t>
      </w:r>
      <w:r>
        <w:rPr>
          <w:rFonts w:ascii="Verdana" w:hAnsi="Verdana"/>
          <w:b/>
          <w:bCs/>
          <w:color w:val="006F37"/>
          <w:sz w:val="20"/>
          <w:szCs w:val="20"/>
        </w:rPr>
        <w:t>Disease Control and Pest Management - Chemical Control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6F37"/>
          <w:sz w:val="20"/>
          <w:szCs w:val="20"/>
        </w:rPr>
        <w:t>206-P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Use of loop-mediated isothermal amplification assays to detect azole-insensitive </w:t>
      </w:r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CYP51</w:t>
      </w:r>
      <w:r>
        <w:rPr>
          <w:rFonts w:ascii="Verdana" w:hAnsi="Verdana"/>
          <w:b/>
          <w:bCs/>
          <w:color w:val="000000"/>
          <w:sz w:val="20"/>
          <w:szCs w:val="20"/>
        </w:rPr>
        <w:t>-overexpressing strains of </w:t>
      </w:r>
      <w:proofErr w:type="spellStart"/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Zymoseptoria</w:t>
      </w:r>
      <w:proofErr w:type="spellEnd"/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bCs/>
          <w:i/>
          <w:iCs/>
          <w:color w:val="000000"/>
          <w:sz w:val="20"/>
          <w:szCs w:val="20"/>
        </w:rPr>
        <w:t>tritici</w:t>
      </w:r>
      <w:proofErr w:type="spellEnd"/>
      <w:r>
        <w:rPr>
          <w:rFonts w:ascii="Verdana" w:hAnsi="Verdana"/>
          <w:b/>
          <w:bCs/>
          <w:color w:val="000000"/>
          <w:sz w:val="20"/>
          <w:szCs w:val="20"/>
        </w:rPr>
        <w:t>.</w:t>
      </w:r>
      <w:r>
        <w:rPr>
          <w:rFonts w:ascii="Verdana" w:hAnsi="Verdana"/>
          <w:color w:val="000000"/>
          <w:sz w:val="20"/>
          <w:szCs w:val="20"/>
        </w:rPr>
        <w:br/>
        <w:t>B. A. FRAAIJE (1)</w:t>
      </w:r>
      <w:r>
        <w:rPr>
          <w:rFonts w:ascii="Verdana" w:hAnsi="Verdana"/>
          <w:color w:val="000000"/>
          <w:sz w:val="20"/>
          <w:szCs w:val="20"/>
        </w:rPr>
        <w:br/>
        <w:t>(1) Rothamsted Research, Harpenden, United Kingdom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Septoria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leaf blotch is currently controlled by programmed applications of multisite inhibitors (e.g. chlorothalonil), azoles (e.g. epoxiconazole and </w:t>
      </w:r>
      <w:proofErr w:type="spellStart"/>
      <w:r>
        <w:rPr>
          <w:rFonts w:ascii="Verdana" w:hAnsi="Verdana"/>
          <w:color w:val="000000"/>
          <w:sz w:val="20"/>
          <w:szCs w:val="20"/>
        </w:rPr>
        <w:t>prothioconazole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) and a new generation of Succinate Dehydrogenase Inhibitors (e.g. bixafen, </w:t>
      </w:r>
      <w:proofErr w:type="spellStart"/>
      <w:r>
        <w:rPr>
          <w:rFonts w:ascii="Verdana" w:hAnsi="Verdana"/>
          <w:color w:val="000000"/>
          <w:sz w:val="20"/>
          <w:szCs w:val="20"/>
        </w:rPr>
        <w:t>isopyrazam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and fluxapyroxad). Azole fungicides have been used for three </w:t>
      </w:r>
      <w:proofErr w:type="gramStart"/>
      <w:r>
        <w:rPr>
          <w:rFonts w:ascii="Verdana" w:hAnsi="Verdana"/>
          <w:color w:val="000000"/>
          <w:sz w:val="20"/>
          <w:szCs w:val="20"/>
        </w:rPr>
        <w:t>decades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but their efficacy has eroded over time due to the evolution of azole insensitive strains carrying alterations in the sterol 14α-demethylase (CYP51) target protein. Because of the importance of azoles as a mixing partner of SDHIs continued monitoring of azole sensitivity shifts is paramount. Recently, we have reported a new mechanism, a 120 </w:t>
      </w:r>
      <w:proofErr w:type="spellStart"/>
      <w:r>
        <w:rPr>
          <w:rFonts w:ascii="Verdana" w:hAnsi="Verdana"/>
          <w:color w:val="000000"/>
          <w:sz w:val="20"/>
          <w:szCs w:val="20"/>
        </w:rPr>
        <w:t>bp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insertion in the </w:t>
      </w:r>
      <w:r>
        <w:rPr>
          <w:rFonts w:ascii="Verdana" w:hAnsi="Verdana"/>
          <w:i/>
          <w:iCs/>
          <w:color w:val="000000"/>
          <w:sz w:val="20"/>
          <w:szCs w:val="20"/>
        </w:rPr>
        <w:t>CYP51</w:t>
      </w:r>
      <w:r>
        <w:rPr>
          <w:rFonts w:ascii="Verdana" w:hAnsi="Verdana"/>
          <w:color w:val="000000"/>
          <w:sz w:val="20"/>
          <w:szCs w:val="20"/>
        </w:rPr>
        <w:t> promoter which is linked with 10- to 40-fold </w:t>
      </w:r>
      <w:r>
        <w:rPr>
          <w:rFonts w:ascii="Verdana" w:hAnsi="Verdana"/>
          <w:i/>
          <w:iCs/>
          <w:color w:val="000000"/>
          <w:sz w:val="20"/>
          <w:szCs w:val="20"/>
        </w:rPr>
        <w:t>CYP51</w:t>
      </w:r>
      <w:r>
        <w:rPr>
          <w:rFonts w:ascii="Verdana" w:hAnsi="Verdana"/>
          <w:color w:val="000000"/>
          <w:sz w:val="20"/>
          <w:szCs w:val="20"/>
        </w:rPr>
        <w:t xml:space="preserve"> overexpression. Other isolates carry promoter variants based on a larger insert of 868 </w:t>
      </w:r>
      <w:proofErr w:type="spellStart"/>
      <w:r>
        <w:rPr>
          <w:rFonts w:ascii="Verdana" w:hAnsi="Verdana"/>
          <w:color w:val="000000"/>
          <w:sz w:val="20"/>
          <w:szCs w:val="20"/>
        </w:rPr>
        <w:t>bp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but the impact of this insert on the regulation of </w:t>
      </w:r>
      <w:r>
        <w:rPr>
          <w:rFonts w:ascii="Verdana" w:hAnsi="Verdana"/>
          <w:i/>
          <w:iCs/>
          <w:color w:val="000000"/>
          <w:sz w:val="20"/>
          <w:szCs w:val="20"/>
        </w:rPr>
        <w:t>CYP51 </w:t>
      </w:r>
      <w:r>
        <w:rPr>
          <w:rFonts w:ascii="Verdana" w:hAnsi="Verdana"/>
          <w:color w:val="000000"/>
          <w:sz w:val="20"/>
          <w:szCs w:val="20"/>
        </w:rPr>
        <w:t>expression remains unclear. Here we present the development and application of loop-mediated isothermal amplification (LAMP) assays for rapid, on the spot detection of </w:t>
      </w:r>
      <w:r>
        <w:rPr>
          <w:rFonts w:ascii="Verdana" w:hAnsi="Verdana"/>
          <w:i/>
          <w:iCs/>
          <w:color w:val="000000"/>
          <w:sz w:val="20"/>
          <w:szCs w:val="20"/>
        </w:rPr>
        <w:t>CYP51</w:t>
      </w:r>
      <w:r>
        <w:rPr>
          <w:rFonts w:ascii="Verdana" w:hAnsi="Verdana"/>
          <w:color w:val="000000"/>
          <w:sz w:val="20"/>
          <w:szCs w:val="20"/>
        </w:rPr>
        <w:t> promoter inserts in </w:t>
      </w:r>
      <w:proofErr w:type="spellStart"/>
      <w:r>
        <w:rPr>
          <w:rFonts w:ascii="Verdana" w:hAnsi="Verdana"/>
          <w:i/>
          <w:iCs/>
          <w:color w:val="000000"/>
          <w:sz w:val="20"/>
          <w:szCs w:val="20"/>
        </w:rPr>
        <w:t>Zymoseptoria</w:t>
      </w:r>
      <w:proofErr w:type="spellEnd"/>
      <w:r>
        <w:rPr>
          <w:rFonts w:ascii="Verdana" w:hAnsi="Verdana"/>
          <w:i/>
          <w:iCs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hAnsi="Verdana"/>
          <w:i/>
          <w:iCs/>
          <w:color w:val="000000"/>
          <w:sz w:val="20"/>
          <w:szCs w:val="20"/>
        </w:rPr>
        <w:t>tritici</w:t>
      </w:r>
      <w:proofErr w:type="spellEnd"/>
      <w:r>
        <w:rPr>
          <w:rFonts w:ascii="Verdana" w:hAnsi="Verdana"/>
          <w:color w:val="000000"/>
          <w:sz w:val="20"/>
          <w:szCs w:val="20"/>
        </w:rPr>
        <w:t>(</w:t>
      </w:r>
      <w:proofErr w:type="spellStart"/>
      <w:proofErr w:type="gramEnd"/>
      <w:r>
        <w:rPr>
          <w:rFonts w:ascii="Verdana" w:hAnsi="Verdana"/>
          <w:i/>
          <w:iCs/>
          <w:color w:val="000000"/>
          <w:sz w:val="20"/>
          <w:szCs w:val="20"/>
        </w:rPr>
        <w:t>Mycosphaerella</w:t>
      </w:r>
      <w:proofErr w:type="spellEnd"/>
      <w:r>
        <w:rPr>
          <w:rFonts w:ascii="Verdana" w:hAnsi="Verdana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20"/>
          <w:szCs w:val="20"/>
        </w:rPr>
        <w:t>graminicola</w:t>
      </w:r>
      <w:proofErr w:type="spellEnd"/>
      <w:r>
        <w:rPr>
          <w:rFonts w:ascii="Verdana" w:hAnsi="Verdana"/>
          <w:color w:val="000000"/>
          <w:sz w:val="20"/>
          <w:szCs w:val="20"/>
        </w:rPr>
        <w:t>) isolates carrying CYP51 variants [L50S, S188N, I381V, ΔY459/G460 &amp; N513K] and [L50S, S188N, A379G, I381V, ΔY459/G460 &amp; N513K].</w:t>
      </w:r>
    </w:p>
    <w:p w:rsidR="001B6580" w:rsidRDefault="001B6580" w:rsidP="001B6580">
      <w:pPr>
        <w:pStyle w:val="NormalWeb"/>
        <w:ind w:left="180" w:right="18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15"/>
          <w:szCs w:val="15"/>
        </w:rPr>
        <w:t xml:space="preserve">© 2014 by The American </w:t>
      </w:r>
      <w:proofErr w:type="spellStart"/>
      <w:r>
        <w:rPr>
          <w:rFonts w:ascii="Verdana" w:hAnsi="Verdana"/>
          <w:color w:val="000000"/>
          <w:sz w:val="15"/>
          <w:szCs w:val="15"/>
        </w:rPr>
        <w:t>Phytopathological</w:t>
      </w:r>
      <w:proofErr w:type="spellEnd"/>
      <w:r>
        <w:rPr>
          <w:rFonts w:ascii="Verdana" w:hAnsi="Verdana"/>
          <w:color w:val="000000"/>
          <w:sz w:val="15"/>
          <w:szCs w:val="15"/>
        </w:rPr>
        <w:t xml:space="preserve"> Society. All rights reserved.</w:t>
      </w:r>
    </w:p>
    <w:p w:rsidR="001B6580" w:rsidRPr="001B6580" w:rsidRDefault="001B6580" w:rsidP="001B6580">
      <w:pPr>
        <w:tabs>
          <w:tab w:val="left" w:pos="3497"/>
        </w:tabs>
      </w:pPr>
      <w:bookmarkStart w:id="0" w:name="_GoBack"/>
      <w:bookmarkEnd w:id="0"/>
    </w:p>
    <w:sectPr w:rsidR="001B6580" w:rsidRPr="001B65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80"/>
    <w:rsid w:val="001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A3A24-B96E-4D43-B93F-945362A11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4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Fearnhead</dc:creator>
  <cp:keywords/>
  <dc:description/>
  <cp:lastModifiedBy>Catherine Fearnhead</cp:lastModifiedBy>
  <cp:revision>1</cp:revision>
  <dcterms:created xsi:type="dcterms:W3CDTF">2019-09-12T10:20:00Z</dcterms:created>
  <dcterms:modified xsi:type="dcterms:W3CDTF">2019-09-12T10:20:00Z</dcterms:modified>
</cp:coreProperties>
</file>