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AD38D" w14:textId="77777777" w:rsidR="00C12E8F" w:rsidRPr="000C0633" w:rsidRDefault="00C12E8F" w:rsidP="00C12E8F">
      <w:pPr>
        <w:spacing w:line="360" w:lineRule="auto"/>
        <w:jc w:val="center"/>
        <w:rPr>
          <w:rFonts w:cs="Arial"/>
        </w:rPr>
      </w:pPr>
      <w:bookmarkStart w:id="0" w:name="_GoBack"/>
      <w:bookmarkEnd w:id="0"/>
      <w:r w:rsidRPr="000C0633">
        <w:rPr>
          <w:rFonts w:cs="Arial"/>
        </w:rPr>
        <w:t>Comparative prebiotic activity of</w:t>
      </w:r>
      <w:r>
        <w:rPr>
          <w:rFonts w:cs="Arial"/>
        </w:rPr>
        <w:t xml:space="preserve"> mixtures of</w:t>
      </w:r>
      <w:r w:rsidRPr="000C0633">
        <w:rPr>
          <w:rFonts w:cs="Arial"/>
        </w:rPr>
        <w:t xml:space="preserve"> cereal grain polysaccharides</w:t>
      </w:r>
    </w:p>
    <w:p w14:paraId="5142994B" w14:textId="77777777" w:rsidR="00C12E8F" w:rsidRPr="000C0633" w:rsidRDefault="00C12E8F" w:rsidP="00C12E8F">
      <w:pPr>
        <w:spacing w:after="0" w:line="360" w:lineRule="auto"/>
        <w:ind w:left="426" w:hanging="426"/>
        <w:jc w:val="center"/>
        <w:rPr>
          <w:rFonts w:cs="Arial"/>
          <w:sz w:val="22"/>
        </w:rPr>
      </w:pPr>
    </w:p>
    <w:p w14:paraId="02FFC09F" w14:textId="77777777" w:rsidR="00C12E8F" w:rsidRPr="00BD5658" w:rsidRDefault="00C12E8F" w:rsidP="00C12E8F">
      <w:pPr>
        <w:pStyle w:val="Heading1"/>
        <w:numPr>
          <w:ilvl w:val="0"/>
          <w:numId w:val="0"/>
        </w:numPr>
        <w:jc w:val="center"/>
      </w:pPr>
      <w:r w:rsidRPr="00283058">
        <w:t>Suzanne Harris</w:t>
      </w:r>
      <w:r w:rsidRPr="00A916CC">
        <w:rPr>
          <w:vertAlign w:val="superscript"/>
        </w:rPr>
        <w:t>1,2</w:t>
      </w:r>
      <w:r w:rsidRPr="003469B0">
        <w:t>,</w:t>
      </w:r>
      <w:r>
        <w:t xml:space="preserve"> </w:t>
      </w:r>
      <w:r w:rsidRPr="00A916CC">
        <w:t>Andrea Monteagudo-Mera</w:t>
      </w:r>
      <w:r w:rsidRPr="00A916CC">
        <w:rPr>
          <w:vertAlign w:val="superscript"/>
        </w:rPr>
        <w:t>1</w:t>
      </w:r>
      <w:r>
        <w:t xml:space="preserve">, </w:t>
      </w:r>
      <w:r w:rsidRPr="009F5BEA">
        <w:t>Ondrej Kosik</w:t>
      </w:r>
      <w:r w:rsidRPr="009F5BEA">
        <w:rPr>
          <w:vertAlign w:val="superscript"/>
        </w:rPr>
        <w:t>2</w:t>
      </w:r>
      <w:r>
        <w:t xml:space="preserve">, </w:t>
      </w:r>
      <w:r w:rsidRPr="009F5BEA">
        <w:t>Dimitris</w:t>
      </w:r>
      <w:r>
        <w:t xml:space="preserve"> Charalampopoulos</w:t>
      </w:r>
      <w:r w:rsidRPr="009F5BEA">
        <w:rPr>
          <w:vertAlign w:val="superscript"/>
        </w:rPr>
        <w:t>1</w:t>
      </w:r>
      <w:r>
        <w:t>, Peter Shewry</w:t>
      </w:r>
      <w:r w:rsidRPr="009F5BEA">
        <w:rPr>
          <w:vertAlign w:val="superscript"/>
        </w:rPr>
        <w:t>1,2</w:t>
      </w:r>
      <w:r>
        <w:t xml:space="preserve">, </w:t>
      </w:r>
      <w:r w:rsidRPr="009F5BEA">
        <w:t>Alison</w:t>
      </w:r>
      <w:r>
        <w:t xml:space="preserve"> Lovegrove</w:t>
      </w:r>
      <w:r w:rsidRPr="009F5BEA">
        <w:rPr>
          <w:vertAlign w:val="superscript"/>
        </w:rPr>
        <w:t>2</w:t>
      </w:r>
    </w:p>
    <w:p w14:paraId="288D363B" w14:textId="77777777" w:rsidR="00C12E8F" w:rsidRPr="00283058" w:rsidRDefault="00C12E8F" w:rsidP="00C12E8F">
      <w:pPr>
        <w:spacing w:line="360" w:lineRule="auto"/>
        <w:jc w:val="center"/>
        <w:rPr>
          <w:rFonts w:cstheme="minorHAnsi"/>
        </w:rPr>
      </w:pPr>
      <w:r w:rsidRPr="00283058">
        <w:rPr>
          <w:rFonts w:cstheme="minorHAnsi"/>
          <w:vertAlign w:val="superscript"/>
        </w:rPr>
        <w:t>1</w:t>
      </w:r>
      <w:r w:rsidRPr="00283058">
        <w:rPr>
          <w:rFonts w:cstheme="minorHAnsi"/>
        </w:rPr>
        <w:t>Department of Food and Nutritional Sciences, University of Reading, Whiteknights, PO Box 226, Reading RG6 6AP, UK</w:t>
      </w:r>
    </w:p>
    <w:p w14:paraId="4C663E31" w14:textId="77777777" w:rsidR="00C12E8F" w:rsidRDefault="00C12E8F" w:rsidP="00C12E8F">
      <w:pPr>
        <w:spacing w:line="360" w:lineRule="auto"/>
        <w:jc w:val="center"/>
        <w:rPr>
          <w:rFonts w:cstheme="minorHAnsi"/>
        </w:rPr>
      </w:pPr>
      <w:r w:rsidRPr="00283058">
        <w:rPr>
          <w:rFonts w:cstheme="minorHAnsi"/>
          <w:vertAlign w:val="superscript"/>
        </w:rPr>
        <w:t>2</w:t>
      </w:r>
      <w:r>
        <w:rPr>
          <w:rFonts w:cstheme="minorHAnsi"/>
        </w:rPr>
        <w:t xml:space="preserve">Department of Plant Science, </w:t>
      </w:r>
      <w:r w:rsidRPr="00283058">
        <w:rPr>
          <w:rFonts w:cstheme="minorHAnsi"/>
        </w:rPr>
        <w:t>Rothamsted Research, Harpen</w:t>
      </w:r>
      <w:r>
        <w:rPr>
          <w:rFonts w:cstheme="minorHAnsi"/>
        </w:rPr>
        <w:t>den, AL5 2JQ, Hertfordshire, UK</w:t>
      </w:r>
    </w:p>
    <w:p w14:paraId="096CB698" w14:textId="4303FA8D" w:rsidR="003E6F94" w:rsidRDefault="003E6F94" w:rsidP="003E6F94">
      <w:pPr>
        <w:jc w:val="center"/>
        <w:rPr>
          <w:rFonts w:cstheme="minorHAnsi"/>
        </w:rPr>
      </w:pPr>
      <w:r>
        <w:rPr>
          <w:rFonts w:cstheme="minorHAnsi"/>
        </w:rPr>
        <w:t xml:space="preserve">Corresponding author: </w:t>
      </w:r>
      <w:hyperlink r:id="rId8" w:history="1">
        <w:r w:rsidRPr="00472F0E">
          <w:rPr>
            <w:rStyle w:val="Hyperlink"/>
            <w:rFonts w:cstheme="minorHAnsi"/>
          </w:rPr>
          <w:t>Suzanne.harris@crick.ac.uk</w:t>
        </w:r>
      </w:hyperlink>
    </w:p>
    <w:p w14:paraId="4BBA0C3F" w14:textId="77777777" w:rsidR="0077519D" w:rsidRDefault="0077519D">
      <w:pPr>
        <w:rPr>
          <w:rFonts w:cstheme="minorHAnsi"/>
        </w:rPr>
        <w:sectPr w:rsidR="0077519D" w:rsidSect="001D3322">
          <w:footerReference w:type="default" r:id="rId9"/>
          <w:pgSz w:w="11906" w:h="16838"/>
          <w:pgMar w:top="1440" w:right="1440" w:bottom="1440" w:left="1440" w:header="709" w:footer="709" w:gutter="0"/>
          <w:lnNumType w:countBy="1" w:restart="continuous"/>
          <w:cols w:space="708"/>
          <w:docGrid w:linePitch="360"/>
        </w:sectPr>
      </w:pPr>
    </w:p>
    <w:p w14:paraId="2AA5A210" w14:textId="77777777" w:rsidR="00C12E8F" w:rsidRPr="000C0633" w:rsidRDefault="00C12E8F" w:rsidP="001D6D4B">
      <w:pPr>
        <w:pStyle w:val="Heading2"/>
        <w:numPr>
          <w:ilvl w:val="0"/>
          <w:numId w:val="0"/>
        </w:numPr>
        <w:spacing w:line="480" w:lineRule="auto"/>
        <w:jc w:val="center"/>
        <w:rPr>
          <w:b/>
        </w:rPr>
      </w:pPr>
      <w:r w:rsidRPr="000C0633">
        <w:rPr>
          <w:b/>
        </w:rPr>
        <w:lastRenderedPageBreak/>
        <w:t>Abstract</w:t>
      </w:r>
    </w:p>
    <w:p w14:paraId="2F47062C" w14:textId="77777777" w:rsidR="00C12E8F" w:rsidRPr="000C0633" w:rsidRDefault="00C12E8F" w:rsidP="001D6D4B">
      <w:pPr>
        <w:spacing w:line="480" w:lineRule="auto"/>
        <w:jc w:val="both"/>
      </w:pPr>
    </w:p>
    <w:p w14:paraId="52C48EF7" w14:textId="6921E213" w:rsidR="00C12E8F" w:rsidRDefault="00C12E8F" w:rsidP="001D6D4B">
      <w:pPr>
        <w:spacing w:after="0" w:line="480" w:lineRule="auto"/>
        <w:jc w:val="both"/>
        <w:rPr>
          <w:rFonts w:cstheme="minorHAnsi"/>
        </w:rPr>
      </w:pPr>
      <w:r w:rsidRPr="000C0633">
        <w:t>The main components of the non-starch polysaccharide (</w:t>
      </w:r>
      <w:r>
        <w:t>NSP) fraction of wheat flour are</w:t>
      </w:r>
      <w:r w:rsidRPr="000C0633">
        <w:t xml:space="preserve"> </w:t>
      </w:r>
      <w:r>
        <w:t>arabinoxylan (</w:t>
      </w:r>
      <w:r w:rsidRPr="000C0633">
        <w:t>AX</w:t>
      </w:r>
      <w:r>
        <w:t>) and</w:t>
      </w:r>
      <w:r w:rsidRPr="000C0633">
        <w:t xml:space="preserve"> β-glucan</w:t>
      </w:r>
      <w:r>
        <w:t xml:space="preserve">. These are also present in other cereal grains, but their proportions vary with AX being the major component in wheat and rye and </w:t>
      </w:r>
      <w:r w:rsidRPr="000C0633">
        <w:t>β-glucan</w:t>
      </w:r>
      <w:r>
        <w:t xml:space="preserve"> in barley and oats</w:t>
      </w:r>
      <w:r w:rsidRPr="000C0633">
        <w:t>. Therefore, it was hypothesised that these NSPs could act synergistically</w:t>
      </w:r>
      <w:r>
        <w:t xml:space="preserve"> </w:t>
      </w:r>
      <w:r w:rsidRPr="000C0633">
        <w:t xml:space="preserve">when fermented </w:t>
      </w:r>
      <w:r w:rsidRPr="000C0633">
        <w:rPr>
          <w:i/>
        </w:rPr>
        <w:t>in vitro</w:t>
      </w:r>
      <w:r w:rsidRPr="000C0633">
        <w:t xml:space="preserve"> at </w:t>
      </w:r>
      <w:r>
        <w:t xml:space="preserve">the ratios present in the major foods consumed, </w:t>
      </w:r>
      <w:r w:rsidRPr="000C0633">
        <w:t xml:space="preserve">resulting in </w:t>
      </w:r>
      <w:r>
        <w:t>increased prebiotic activity</w:t>
      </w:r>
      <w:r w:rsidRPr="000C0633">
        <w:t xml:space="preserve">. </w:t>
      </w:r>
      <w:r>
        <w:t>AX and β-glucan were</w:t>
      </w:r>
      <w:r w:rsidRPr="000C0633">
        <w:t xml:space="preserve"> </w:t>
      </w:r>
      <w:r>
        <w:t xml:space="preserve">therefore </w:t>
      </w:r>
      <w:r w:rsidRPr="000C0633">
        <w:t xml:space="preserve">tested in </w:t>
      </w:r>
      <w:r w:rsidRPr="000C0633">
        <w:rPr>
          <w:i/>
        </w:rPr>
        <w:t>in vitro</w:t>
      </w:r>
      <w:r w:rsidRPr="000C0633">
        <w:t xml:space="preserve"> fermentation studies to assess their prebiotic acti</w:t>
      </w:r>
      <w:r>
        <w:t>vity when used individually and/</w:t>
      </w:r>
      <w:r w:rsidRPr="000C0633">
        <w:t>or in dif</w:t>
      </w:r>
      <w:r>
        <w:t xml:space="preserve">ferent ratios. </w:t>
      </w:r>
      <w:r w:rsidRPr="000C0633">
        <w:t>S</w:t>
      </w:r>
      <w:r w:rsidR="000C0FA1">
        <w:t>hort-chain fatty-acids (S</w:t>
      </w:r>
      <w:r w:rsidRPr="000C0633">
        <w:t>CFAs</w:t>
      </w:r>
      <w:r w:rsidR="000C0FA1">
        <w:t>)</w:t>
      </w:r>
      <w:r w:rsidRPr="000C0633">
        <w:t xml:space="preserve"> produced from </w:t>
      </w:r>
      <w:r w:rsidRPr="000C0633">
        <w:rPr>
          <w:i/>
        </w:rPr>
        <w:t>in vitro</w:t>
      </w:r>
      <w:r w:rsidRPr="000C0633">
        <w:t xml:space="preserve"> fermentation were measured using HPLC</w:t>
      </w:r>
      <w:r>
        <w:t xml:space="preserve"> and bacterial populations were measured using</w:t>
      </w:r>
      <w:r w:rsidR="000C0FA1">
        <w:t xml:space="preserve"> flow cytometry with fluorescence in-situ hybridisation (Flow-</w:t>
      </w:r>
      <w:r w:rsidRPr="000C0633">
        <w:t>FISH</w:t>
      </w:r>
      <w:r w:rsidR="000C0FA1">
        <w:t>)</w:t>
      </w:r>
      <w:r w:rsidRPr="000C0633">
        <w:t>.</w:t>
      </w:r>
      <w:r>
        <w:t xml:space="preserve"> </w:t>
      </w:r>
      <w:r w:rsidRPr="00283058">
        <w:rPr>
          <w:rFonts w:cstheme="minorHAnsi"/>
        </w:rPr>
        <w:t xml:space="preserve">Fermentation </w:t>
      </w:r>
      <w:r>
        <w:rPr>
          <w:rFonts w:cstheme="minorHAnsi"/>
        </w:rPr>
        <w:t>of AX alone resulted in</w:t>
      </w:r>
      <w:r w:rsidRPr="00283058">
        <w:rPr>
          <w:rFonts w:cstheme="minorHAnsi"/>
        </w:rPr>
        <w:t xml:space="preserve"> </w:t>
      </w:r>
      <w:r>
        <w:rPr>
          <w:rFonts w:cstheme="minorHAnsi"/>
        </w:rPr>
        <w:t xml:space="preserve">a significant bifidogenic activity and </w:t>
      </w:r>
      <w:r w:rsidRPr="00283058">
        <w:rPr>
          <w:rFonts w:cstheme="minorHAnsi"/>
        </w:rPr>
        <w:t xml:space="preserve">increased concentrations of </w:t>
      </w:r>
      <w:r>
        <w:rPr>
          <w:rFonts w:cstheme="minorHAnsi"/>
        </w:rPr>
        <w:t xml:space="preserve">SCFAs, mainly acetate, after 8-24h of fermentation, however β-glucan alone did not show prebiotic activity. </w:t>
      </w:r>
      <w:r>
        <w:t>T</w:t>
      </w:r>
      <w:r w:rsidRPr="000C0633">
        <w:t xml:space="preserve">he greatest </w:t>
      </w:r>
      <w:r>
        <w:t xml:space="preserve">prebiotic activity, based on concentration of </w:t>
      </w:r>
      <w:r w:rsidRPr="000C0633">
        <w:t>total SCFAs</w:t>
      </w:r>
      <w:r>
        <w:t xml:space="preserve"> and increases in total bacteria as well as beneficial </w:t>
      </w:r>
      <w:r w:rsidRPr="00936DF0">
        <w:rPr>
          <w:i/>
        </w:rPr>
        <w:t>Bifidobacterium</w:t>
      </w:r>
      <w:r w:rsidRPr="000C0633">
        <w:t xml:space="preserve"> and </w:t>
      </w:r>
      <w:r>
        <w:rPr>
          <w:rFonts w:ascii="Calibri" w:eastAsia="Times New Roman" w:hAnsi="Calibri" w:cs="Calibri"/>
          <w:i/>
          <w:iCs/>
          <w:color w:val="000000"/>
          <w:sz w:val="22"/>
          <w:szCs w:val="22"/>
        </w:rPr>
        <w:t>Clostridium coccoides/</w:t>
      </w:r>
      <w:r w:rsidRPr="00AA1069">
        <w:rPr>
          <w:rFonts w:ascii="Calibri" w:eastAsia="Times New Roman" w:hAnsi="Calibri" w:cs="Calibri"/>
          <w:i/>
          <w:iCs/>
          <w:color w:val="000000"/>
          <w:sz w:val="22"/>
          <w:szCs w:val="22"/>
        </w:rPr>
        <w:t xml:space="preserve"> Eubacterium</w:t>
      </w:r>
      <w:r>
        <w:rPr>
          <w:rFonts w:ascii="Calibri" w:eastAsia="Times New Roman" w:hAnsi="Calibri" w:cs="Calibri"/>
          <w:i/>
          <w:iCs/>
          <w:color w:val="000000"/>
          <w:sz w:val="22"/>
          <w:szCs w:val="22"/>
        </w:rPr>
        <w:t xml:space="preserve"> </w:t>
      </w:r>
      <w:r>
        <w:rPr>
          <w:rFonts w:ascii="Calibri" w:eastAsia="Times New Roman" w:hAnsi="Calibri" w:cs="Calibri"/>
          <w:iCs/>
          <w:color w:val="000000"/>
          <w:sz w:val="22"/>
          <w:szCs w:val="22"/>
        </w:rPr>
        <w:t>groups,</w:t>
      </w:r>
      <w:r>
        <w:rPr>
          <w:rFonts w:cstheme="minorHAnsi"/>
        </w:rPr>
        <w:t xml:space="preserve"> </w:t>
      </w:r>
      <w:r>
        <w:t>was observed when</w:t>
      </w:r>
      <w:r w:rsidRPr="000C0633">
        <w:t xml:space="preserve"> </w:t>
      </w:r>
      <w:r>
        <w:t>AX and</w:t>
      </w:r>
      <w:r w:rsidRPr="000C0633">
        <w:t xml:space="preserve"> β-glucan were combined at a 3:1 ratio</w:t>
      </w:r>
      <w:r>
        <w:t xml:space="preserve">, which corresponds to their ratios in wheat flour which is major source of cereal fibre in the diet. </w:t>
      </w:r>
      <w:r>
        <w:rPr>
          <w:rFonts w:cstheme="minorHAnsi"/>
        </w:rPr>
        <w:t xml:space="preserve"> This indicates that the population of bacteria in the human GI tract may be modulated by the composition of the fibre in the diet, to maximise the prebiotic potential.</w:t>
      </w:r>
    </w:p>
    <w:p w14:paraId="59AD706C" w14:textId="77777777" w:rsidR="00C12E8F" w:rsidRDefault="00C12E8F" w:rsidP="001D6D4B">
      <w:pPr>
        <w:spacing w:line="480" w:lineRule="auto"/>
        <w:jc w:val="both"/>
      </w:pPr>
    </w:p>
    <w:p w14:paraId="6DBEBF24" w14:textId="77777777" w:rsidR="00C12E8F" w:rsidRDefault="00C12E8F" w:rsidP="001D6D4B">
      <w:pPr>
        <w:spacing w:line="480" w:lineRule="auto"/>
        <w:jc w:val="both"/>
        <w:rPr>
          <w:rFonts w:cstheme="minorHAnsi"/>
        </w:rPr>
      </w:pPr>
      <w:r w:rsidRPr="00283058">
        <w:rPr>
          <w:rFonts w:cstheme="minorHAnsi"/>
          <w:b/>
        </w:rPr>
        <w:t>Keywords</w:t>
      </w:r>
      <w:r>
        <w:rPr>
          <w:rFonts w:cstheme="minorHAnsi"/>
        </w:rPr>
        <w:t xml:space="preserve"> P</w:t>
      </w:r>
      <w:r w:rsidRPr="00283058">
        <w:rPr>
          <w:rFonts w:cstheme="minorHAnsi"/>
        </w:rPr>
        <w:t>rebiotic, batch culture, Fluorescence in-situ hybridisation (FISH)</w:t>
      </w:r>
      <w:r>
        <w:rPr>
          <w:rFonts w:cstheme="minorHAnsi"/>
        </w:rPr>
        <w:t>, Short chain fatty acids (SCFA), β-glucan, arabinoxylan</w:t>
      </w:r>
    </w:p>
    <w:p w14:paraId="1CE60EEE" w14:textId="77777777" w:rsidR="00C12E8F" w:rsidRPr="000C0633" w:rsidRDefault="00C12E8F" w:rsidP="001D6D4B">
      <w:pPr>
        <w:spacing w:line="480" w:lineRule="auto"/>
      </w:pPr>
    </w:p>
    <w:p w14:paraId="40D77C67" w14:textId="77777777" w:rsidR="00C12E8F" w:rsidRPr="000C0633" w:rsidRDefault="00C12E8F" w:rsidP="001D6D4B">
      <w:pPr>
        <w:pStyle w:val="Heading2"/>
        <w:numPr>
          <w:ilvl w:val="0"/>
          <w:numId w:val="0"/>
        </w:numPr>
        <w:spacing w:line="480" w:lineRule="auto"/>
        <w:ind w:left="720"/>
        <w:jc w:val="center"/>
        <w:rPr>
          <w:b/>
        </w:rPr>
      </w:pPr>
      <w:r w:rsidRPr="000C0633">
        <w:rPr>
          <w:b/>
        </w:rPr>
        <w:t>Introduction</w:t>
      </w:r>
    </w:p>
    <w:p w14:paraId="25CC613F" w14:textId="4912F7B4" w:rsidR="00C12E8F" w:rsidRPr="00323DB6" w:rsidRDefault="00C12E8F" w:rsidP="001D6D4B">
      <w:pPr>
        <w:autoSpaceDE w:val="0"/>
        <w:autoSpaceDN w:val="0"/>
        <w:adjustRightInd w:val="0"/>
        <w:spacing w:after="0" w:line="480" w:lineRule="auto"/>
        <w:jc w:val="both"/>
        <w:rPr>
          <w:rFonts w:cs="Arial"/>
          <w:szCs w:val="22"/>
        </w:rPr>
      </w:pPr>
      <w:r>
        <w:rPr>
          <w:rFonts w:cs="Arial"/>
          <w:szCs w:val="22"/>
        </w:rPr>
        <w:t>Wheat is</w:t>
      </w:r>
      <w:r w:rsidRPr="00323DB6">
        <w:rPr>
          <w:rFonts w:cs="Arial"/>
          <w:szCs w:val="22"/>
        </w:rPr>
        <w:t xml:space="preserve"> most important cereal in terms of global consumption, </w:t>
      </w:r>
      <w:r>
        <w:rPr>
          <w:rFonts w:cs="Arial"/>
          <w:szCs w:val="22"/>
        </w:rPr>
        <w:t>being</w:t>
      </w:r>
      <w:r w:rsidRPr="00323DB6">
        <w:rPr>
          <w:rFonts w:cs="Arial"/>
          <w:szCs w:val="22"/>
        </w:rPr>
        <w:t xml:space="preserve"> the staple food crop in temperate countries and increasingly replacing traditional crops in Sub-Saharan Africa and Asia. Wheat is usually consumed after processing into two types of food: as bread and other baked goods and as noodles or pasta. In most cases these are produced from white flour which</w:t>
      </w:r>
      <w:r>
        <w:rPr>
          <w:rFonts w:cs="Arial"/>
          <w:szCs w:val="22"/>
        </w:rPr>
        <w:t xml:space="preserve"> is made from the endosperm and</w:t>
      </w:r>
      <w:r w:rsidRPr="00323DB6">
        <w:rPr>
          <w:rFonts w:cs="Arial"/>
          <w:szCs w:val="22"/>
        </w:rPr>
        <w:t xml:space="preserve"> contains </w:t>
      </w:r>
      <w:r>
        <w:rPr>
          <w:rFonts w:cs="Arial"/>
          <w:szCs w:val="22"/>
        </w:rPr>
        <w:t>around</w:t>
      </w:r>
      <w:r w:rsidRPr="00323DB6">
        <w:rPr>
          <w:rFonts w:cs="Arial"/>
          <w:szCs w:val="22"/>
        </w:rPr>
        <w:t xml:space="preserve"> 2-3% total dietary fibre (TDF) compared with wholemeal which </w:t>
      </w:r>
      <w:r>
        <w:rPr>
          <w:rFonts w:cs="Arial"/>
          <w:szCs w:val="22"/>
        </w:rPr>
        <w:t xml:space="preserve">also contains the outer bran layers and </w:t>
      </w:r>
      <w:r w:rsidRPr="00323DB6">
        <w:rPr>
          <w:rFonts w:cs="Arial"/>
          <w:szCs w:val="22"/>
        </w:rPr>
        <w:t>contains about 11.5 to 15.5% TDF</w:t>
      </w:r>
      <w:r w:rsidR="00B616C7">
        <w:rPr>
          <w:rFonts w:cs="Arial"/>
          <w:szCs w:val="22"/>
        </w:rPr>
        <w:fldChar w:fldCharType="begin"/>
      </w:r>
      <w:r w:rsidR="0089195C">
        <w:rPr>
          <w:rFonts w:cs="Arial"/>
          <w:szCs w:val="22"/>
        </w:rPr>
        <w:instrText xml:space="preserve"> ADDIN ZOTERO_ITEM CSL_CITATION {"citationID":"fjVsZjiL","properties":{"formattedCitation":"(Shewry and Hey, 2015)","plainCitation":"(Shewry and Hey, 2015)","noteIndex":0},"citationItems":[{"id":276,"uris":["http://zotero.org/users/local/FP9beGI8/items/Y5XKSMRB"],"uri":["http://zotero.org/users/local/FP9beGI8/items/Y5XKSMRB"],"itemData":{"id":276,"type":"article-journal","title":"The contribution of wheat to human diet and health","container-title":"Food and Energy Security","page":"178-202","volume":"4","issue":"3","source":"Crossref","abstract":"Wheat is the most important staple crop in temperate zones and is in i­ncreasing demand in countries undergoing urbanization and industrialization. In addition to being a major source of starch and energy, wheat also provides substantial amounts of a number of components which are essential or beneficial for health, notably protein, vitamins (notably B vitamins), dietary fiber, and phytochemicals. Of these, wheat is a particularly important source of dietary fiber, with bread alone providing 20% of the daily intake in the UK, and well-e­stablished relationships between the consumption of cereal dietary fiber and reduced risk of cardio-­vascular disease, type 2 diabetes, and forms of cancer (notably colo-r­ectal cancer). Wheat shows high variability in the contents and compositions of beneficial components, with some (including dietary fiber) showing high heritability. Hence, plant breeders should be able to select for enhanced health benefits in addition to increased crop yield.","DOI":"10.1002/fes3.64","ISSN":"20483694","language":"en","author":[{"family":"Shewry","given":"Peter R."},{"family":"Hey","given":"Sandra J."}],"issued":{"date-parts":[["2015",10]]}}}],"schema":"https://github.com/citation-style-language/schema/raw/master/csl-citation.json"} </w:instrText>
      </w:r>
      <w:r w:rsidR="00B616C7">
        <w:rPr>
          <w:rFonts w:cs="Arial"/>
          <w:szCs w:val="22"/>
        </w:rPr>
        <w:fldChar w:fldCharType="separate"/>
      </w:r>
      <w:r w:rsidR="0089195C" w:rsidRPr="0089195C">
        <w:rPr>
          <w:rFonts w:ascii="Calibri" w:hAnsi="Calibri"/>
        </w:rPr>
        <w:t>(Shewry and Hey, 2015)</w:t>
      </w:r>
      <w:r w:rsidR="00B616C7">
        <w:rPr>
          <w:rFonts w:cs="Arial"/>
          <w:szCs w:val="22"/>
        </w:rPr>
        <w:fldChar w:fldCharType="end"/>
      </w:r>
      <w:r w:rsidRPr="00323DB6">
        <w:rPr>
          <w:rFonts w:cs="Arial"/>
          <w:szCs w:val="22"/>
        </w:rPr>
        <w:t>. Nevertheless, white bread contributes about 10% of the TDF in the adult UK diet</w:t>
      </w:r>
      <w:r w:rsidR="00B616C7">
        <w:rPr>
          <w:rFonts w:cs="Arial"/>
          <w:szCs w:val="22"/>
        </w:rPr>
        <w:fldChar w:fldCharType="begin"/>
      </w:r>
      <w:r w:rsidR="0089195C">
        <w:rPr>
          <w:rFonts w:cs="Arial"/>
          <w:szCs w:val="22"/>
        </w:rPr>
        <w:instrText xml:space="preserve"> ADDIN ZOTERO_ITEM CSL_CITATION {"citationID":"69tpgEvp","properties":{"formattedCitation":"(Steer et al., 2008)","plainCitation":"(Steer et al., 2008)","noteIndex":0},"citationItems":[{"id":253,"uris":["http://zotero.org/users/local/FP9beGI8/items/MP53IDAE"],"uri":["http://zotero.org/users/local/FP9beGI8/items/MP53IDAE"],"itemData":{"id":253,"type":"article-journal","title":"Bread in the diet: consumption and contribution to nutrient intakes of British adults","container-title":"Proceedings of the Nutrition Society","volume":"67","issue":"OCE8","source":"Cambridge Core","abstract":"//static.cambridge.org/content/id/urn%3Acambridge.org%3Aid%3Aarticle%3AS0029665108000372/resource/name/firstPage-S0029665108000372a.jpg","URL":"https://www.cambridge.org/core/journals/proceedings-of-the-nutrition-society/article/bread-in-the-diet-consumption-and-contribution-to-nutrient-intakes-of-british-adults/BEBF892211D827F55F5402408AACAB46","DOI":"10.1017/S0029665108000372","ISSN":"1475-2719, 0029-6651","title-short":"Bread in the diet","language":"en","author":[{"family":"Steer","given":"Toni"},{"family":"Thane","given":"Chris"},{"family":"Stephen","given":"Alison"},{"family":"Jebb","given":"Susan"}],"issued":{"date-parts":[["2008",5]]},"accessed":{"date-parts":[["2019",1,22]]}}}],"schema":"https://github.com/citation-style-language/schema/raw/master/csl-citation.json"} </w:instrText>
      </w:r>
      <w:r w:rsidR="00B616C7">
        <w:rPr>
          <w:rFonts w:cs="Arial"/>
          <w:szCs w:val="22"/>
        </w:rPr>
        <w:fldChar w:fldCharType="separate"/>
      </w:r>
      <w:r w:rsidR="0089195C" w:rsidRPr="0089195C">
        <w:rPr>
          <w:rFonts w:ascii="Calibri" w:hAnsi="Calibri"/>
        </w:rPr>
        <w:t>(Steer et al., 2008)</w:t>
      </w:r>
      <w:r w:rsidR="00B616C7">
        <w:rPr>
          <w:rFonts w:cs="Arial"/>
          <w:szCs w:val="22"/>
        </w:rPr>
        <w:fldChar w:fldCharType="end"/>
      </w:r>
      <w:r w:rsidRPr="00323DB6">
        <w:rPr>
          <w:rFonts w:cs="Arial"/>
          <w:szCs w:val="22"/>
        </w:rPr>
        <w:t xml:space="preserve">, and correspondingly more in regions such as North Africa and Central Asia where wheat can account for between 50% and 70% of the total energy intake. Hence, the biological activity of wheat flour fibre is of significant interest, including their properties as </w:t>
      </w:r>
      <w:r>
        <w:rPr>
          <w:rFonts w:cs="Arial"/>
          <w:szCs w:val="22"/>
        </w:rPr>
        <w:t xml:space="preserve">a </w:t>
      </w:r>
      <w:r w:rsidRPr="00323DB6">
        <w:rPr>
          <w:rFonts w:cs="Arial"/>
          <w:szCs w:val="22"/>
        </w:rPr>
        <w:t>prebiotic (which can be defined as ‘non</w:t>
      </w:r>
      <w:r>
        <w:rPr>
          <w:rFonts w:cs="Arial"/>
          <w:szCs w:val="22"/>
        </w:rPr>
        <w:t>-</w:t>
      </w:r>
      <w:r w:rsidRPr="00323DB6">
        <w:rPr>
          <w:rFonts w:cs="Arial"/>
          <w:szCs w:val="22"/>
        </w:rPr>
        <w:t>digestible (by the host) food ingredients that have a beneficial effect through their selective metabolism in the intesti</w:t>
      </w:r>
      <w:r>
        <w:rPr>
          <w:rFonts w:cs="Arial"/>
          <w:szCs w:val="22"/>
        </w:rPr>
        <w:t>nal tract’</w:t>
      </w:r>
      <w:r w:rsidR="00B616C7">
        <w:rPr>
          <w:rFonts w:cs="Arial"/>
          <w:szCs w:val="22"/>
        </w:rPr>
        <w:fldChar w:fldCharType="begin"/>
      </w:r>
      <w:r w:rsidR="0089195C">
        <w:rPr>
          <w:rFonts w:cs="Arial"/>
          <w:szCs w:val="22"/>
        </w:rPr>
        <w:instrText xml:space="preserve"> ADDIN ZOTERO_ITEM CSL_CITATION {"citationID":"t08ctXCn","properties":{"formattedCitation":"(Gibson et al., 2017)","plainCitation":"(Gibson et al., 2017)","noteIndex":0},"citationItems":[{"id":196,"uris":["http://zotero.org/users/local/FP9beGI8/items/5GJFLYDQ"],"uri":["http://zotero.org/users/local/FP9beGI8/items/5GJFLYDQ"],"itemData":{"id":196,"type":"article-journal","title":"Expert consensus document: The International Scientific Association for Probiotics and Prebiotics (ISAPP) consensus statement on the definition and scope of prebiotics","container-title":"Nature Reviews Gastroenterology &amp; Hepatology","page":"491-502","volume":"14","issue":"8","source":"www.nature.com","abstract":"In December 2016, a panel of experts in microbiology, nutrition and clinical research was convened by the International Scientific Association for Probiotics and Prebiotics to review the definition and scope of prebiotics. Consistent with the original embodiment of prebiotics, but aware of the latest scientific and clinical developments, the panel updated the definition of a prebiotic: a substrate that is selectively utilized by host microorganisms conferring a health benefit. This definition expands the concept of prebiotics to possibly include non-carbohydrate substances, applications to body sites other than the gastrointestinal tract, and diverse categories other than food. The requirement for selective microbiota-mediated mechanisms was retained. Beneficial health effects must be documented for a substance to be considered a prebiotic. The consensus definition applies also to prebiotics for use by animals, in which microbiota-focused strategies to maintain health and prevent disease is as relevant as for humans. Ultimately, the goal of this Consensus Statement is to engender appropriate use of the term 'prebiotic' by relevant stakeholders so that consistency and clarity can be achieved in research reports, product marketing and regulatory oversight of the category. To this end, we have reviewed several aspects of prebiotic science including its development, health benefits and legislation.","DOI":"10.1038/nrgastro.2017.75","ISSN":"1759-5053","title-short":"Expert consensus document","language":"en","author":[{"family":"Gibson","given":"Glenn R."},{"family":"Hutkins","given":"Robert"},{"family":"Sanders","given":"Mary Ellen"},{"family":"Prescott","given":"Susan L."},{"family":"Reimer","given":"Raylene A."},{"family":"Salminen","given":"Seppo J."},{"family":"Scott","given":"Karen"},{"family":"Stanton","given":"Catherine"},{"family":"Swanson","given":"Kelly S."},{"family":"Cani","given":"Patrice D."},{"family":"Verbeke","given":"Kristin"},{"family":"Reid","given":"Gregor"}],"issued":{"date-parts":[["2017",8]]}}}],"schema":"https://github.com/citation-style-language/schema/raw/master/csl-citation.json"} </w:instrText>
      </w:r>
      <w:r w:rsidR="00B616C7">
        <w:rPr>
          <w:rFonts w:cs="Arial"/>
          <w:szCs w:val="22"/>
        </w:rPr>
        <w:fldChar w:fldCharType="separate"/>
      </w:r>
      <w:r w:rsidR="0089195C" w:rsidRPr="0089195C">
        <w:rPr>
          <w:rFonts w:ascii="Calibri" w:hAnsi="Calibri"/>
        </w:rPr>
        <w:t>(Gibson et al., 2017)</w:t>
      </w:r>
      <w:r w:rsidR="00B616C7">
        <w:rPr>
          <w:rFonts w:cs="Arial"/>
          <w:szCs w:val="22"/>
        </w:rPr>
        <w:fldChar w:fldCharType="end"/>
      </w:r>
      <w:r w:rsidRPr="00323DB6">
        <w:rPr>
          <w:rFonts w:cs="Arial"/>
          <w:szCs w:val="22"/>
        </w:rPr>
        <w:t>.</w:t>
      </w:r>
    </w:p>
    <w:p w14:paraId="2CBB81F5" w14:textId="0D31EA50" w:rsidR="00C12E8F" w:rsidRPr="00323DB6" w:rsidRDefault="00C12E8F" w:rsidP="001D6D4B">
      <w:pPr>
        <w:spacing w:line="480" w:lineRule="auto"/>
        <w:jc w:val="both"/>
        <w:rPr>
          <w:rFonts w:cs="Arial"/>
          <w:szCs w:val="22"/>
        </w:rPr>
      </w:pPr>
      <w:r w:rsidRPr="00323DB6">
        <w:rPr>
          <w:rFonts w:cs="Arial"/>
          <w:szCs w:val="22"/>
        </w:rPr>
        <w:t xml:space="preserve">The major </w:t>
      </w:r>
      <w:r>
        <w:rPr>
          <w:rFonts w:cs="Arial"/>
          <w:szCs w:val="22"/>
        </w:rPr>
        <w:t>dietary fibre (</w:t>
      </w:r>
      <w:r w:rsidRPr="00323DB6">
        <w:rPr>
          <w:rFonts w:cs="Arial"/>
          <w:szCs w:val="22"/>
        </w:rPr>
        <w:t>DF</w:t>
      </w:r>
      <w:r>
        <w:rPr>
          <w:rFonts w:cs="Arial"/>
          <w:szCs w:val="22"/>
        </w:rPr>
        <w:t>)</w:t>
      </w:r>
      <w:r w:rsidRPr="00323DB6">
        <w:rPr>
          <w:rFonts w:cs="Arial"/>
          <w:szCs w:val="22"/>
        </w:rPr>
        <w:t xml:space="preserve"> components in wheat flour are cell wall polysaccharides, fructans, resistant starch </w:t>
      </w:r>
      <w:r>
        <w:rPr>
          <w:rFonts w:cs="Arial"/>
          <w:szCs w:val="22"/>
        </w:rPr>
        <w:t>and the arabinogalactan peptide</w:t>
      </w:r>
      <w:r w:rsidRPr="00323DB6">
        <w:rPr>
          <w:rFonts w:cs="Arial"/>
          <w:szCs w:val="22"/>
        </w:rPr>
        <w:t>.  Fructans account for 1-2% of white flour</w:t>
      </w:r>
      <w:r w:rsidR="00B616C7">
        <w:rPr>
          <w:rFonts w:cs="Arial"/>
          <w:szCs w:val="22"/>
        </w:rPr>
        <w:fldChar w:fldCharType="begin"/>
      </w:r>
      <w:r w:rsidR="0089195C">
        <w:rPr>
          <w:rFonts w:cs="Arial"/>
          <w:szCs w:val="22"/>
        </w:rPr>
        <w:instrText xml:space="preserve"> ADDIN ZOTERO_ITEM CSL_CITATION {"citationID":"wXytgMbV","properties":{"formattedCitation":"(Hask\\uc0\\u229{} et al., 2008)","plainCitation":"(Haskå et al., 2008)","noteIndex":0},"citationItems":[{"id":204,"uris":["http://zotero.org/users/local/FP9beGI8/items/PKLXWUED"],"uri":["http://zotero.org/users/local/FP9beGI8/items/PKLXWUED"],"itemData":{"id":204,"type":"article-journal","title":"Distribution and characterisation of fructan in wheat milling fractions","container-title":"Journal of Cereal Science","page":"768-774","volume":"48","issue":"3","source":"Crossref","abstract":"Structure and health effects of inulin-type fructans have been extensively studied, while less is known about the properties of the graminan-type fructans in wheat. Arabinoxylan (AX) is another important indigestible component in cereal grains, which may have beneﬁcial health effects. In this study, the fructan content in milling fractions of two wheat cultivars was determined and related to ash, dietary ﬁbre and AX contents. The molecular weight distribution of the fructans was analysed with HPAEC-PAD and MALDI-TOF MS using 1H NMR and enzymatic hydrolysis for identiﬁcation of fructans. The fructan content (g/100 g) ranged from 1.5 Æ 0.2 in ﬂour to 3.6 Æ 0.5 in shorts and 3.7 Æ 0.3 in bran. A correlation was found between fructan content and dietary ﬁbre content (r ¼ 0.93, P &lt; 0.001), but with a smaller variation in fructan content between inner and outer parts of the grain. About 50% of the dietary ﬁbre consisted of AX in all fractions. The fructans were found to have a DP of up to 19 with a similar molecular weight distribution in the different fractions.","DOI":"10.1016/j.jcs.2008.05.002","ISSN":"07335210","language":"en","author":[{"family":"Haskå","given":"L."},{"family":"Nyman","given":"M."},{"family":"Andersson","given":"R."}],"issued":{"date-parts":[["2008",11]]}}}],"schema":"https://github.com/citation-style-language/schema/raw/master/csl-citation.json"} </w:instrText>
      </w:r>
      <w:r w:rsidR="00B616C7">
        <w:rPr>
          <w:rFonts w:cs="Arial"/>
          <w:szCs w:val="22"/>
        </w:rPr>
        <w:fldChar w:fldCharType="separate"/>
      </w:r>
      <w:r w:rsidR="0089195C" w:rsidRPr="0089195C">
        <w:rPr>
          <w:rFonts w:ascii="Calibri" w:hAnsi="Calibri" w:cs="Times New Roman"/>
        </w:rPr>
        <w:t>(Haskå et al., 2008)</w:t>
      </w:r>
      <w:r w:rsidR="00B616C7">
        <w:rPr>
          <w:rFonts w:cs="Arial"/>
          <w:szCs w:val="22"/>
        </w:rPr>
        <w:fldChar w:fldCharType="end"/>
      </w:r>
      <w:r w:rsidR="00B616C7">
        <w:rPr>
          <w:rFonts w:cs="Arial"/>
          <w:szCs w:val="22"/>
        </w:rPr>
        <w:t xml:space="preserve"> </w:t>
      </w:r>
      <w:r w:rsidRPr="00323DB6">
        <w:rPr>
          <w:rFonts w:cs="Arial"/>
          <w:szCs w:val="22"/>
        </w:rPr>
        <w:t xml:space="preserve">and have well-established prebiotic properties, while the level of resistant starch is low </w:t>
      </w:r>
      <w:r>
        <w:rPr>
          <w:rFonts w:cs="Arial"/>
          <w:szCs w:val="22"/>
        </w:rPr>
        <w:t xml:space="preserve">(&lt;0.1%) </w:t>
      </w:r>
      <w:r w:rsidRPr="00323DB6">
        <w:rPr>
          <w:rFonts w:cs="Arial"/>
          <w:szCs w:val="22"/>
        </w:rPr>
        <w:t>compared to non-starch</w:t>
      </w:r>
      <w:r w:rsidRPr="002E6CFA">
        <w:t xml:space="preserve"> </w:t>
      </w:r>
      <w:r>
        <w:rPr>
          <w:rFonts w:cs="Arial"/>
          <w:szCs w:val="22"/>
        </w:rPr>
        <w:t>polysaccharides</w:t>
      </w:r>
      <w:r w:rsidR="00B616C7">
        <w:rPr>
          <w:rFonts w:cs="Arial"/>
          <w:szCs w:val="22"/>
        </w:rPr>
        <w:fldChar w:fldCharType="begin"/>
      </w:r>
      <w:r w:rsidR="0089195C">
        <w:rPr>
          <w:rFonts w:cs="Arial"/>
          <w:szCs w:val="22"/>
        </w:rPr>
        <w:instrText xml:space="preserve"> ADDIN ZOTERO_ITEM CSL_CITATION {"citationID":"xDzIDmZq","properties":{"formattedCitation":"(Siljestr\\uc0\\u246{}m and Asp, 1985)","plainCitation":"(Siljeström and Asp, 1985)","noteIndex":0},"citationItems":[{"id":248,"uris":["http://zotero.org/users/local/FP9beGI8/items/9RY5CCKZ"],"uri":["http://zotero.org/users/local/FP9beGI8/items/9RY5CCKZ"],"itemData":{"id":248,"type":"article-journal","title":"Resistant starch formation during baking -effect of baking time and temperature and variations in the recipe","container-title":"Zeitschrift für Lebensmittel-Untersuchung und Forschung","page":"4-8","volume":"181","issue":"1","source":"Springer Link","abstract":"SummaryThe dietary fibre content in white wheat bread, measured with an enzymatic, gravimetric method, was almost 20% higher than in the corresponding flour. The increment was largely explained by the formation of resistant starch, i.e. starch available to amyloglucosidase only after solubilization with 2m-KOH. The resistant starch was formed in the oven or upon cooling of the finished bread. The water content in the dough seemed to influence the extent of the resistant starch formation, whereas changes in the fat content had no effect. The results indicate that the resistant starch might be hard retrograded starch, possibly amylose.","DOI":"10.1007/BF01124798","ISSN":"1438-2385","journalAbbreviation":"Z Lebensm Unters Forch","language":"en","author":[{"family":"Siljeström","given":"Monica"},{"family":"Asp","given":"Nils-Georg"}],"issued":{"date-parts":[["1985",7,1]]}}}],"schema":"https://github.com/citation-style-language/schema/raw/master/csl-citation.json"} </w:instrText>
      </w:r>
      <w:r w:rsidR="00B616C7">
        <w:rPr>
          <w:rFonts w:cs="Arial"/>
          <w:szCs w:val="22"/>
        </w:rPr>
        <w:fldChar w:fldCharType="separate"/>
      </w:r>
      <w:r w:rsidR="0089195C" w:rsidRPr="0089195C">
        <w:rPr>
          <w:rFonts w:ascii="Calibri" w:hAnsi="Calibri" w:cs="Times New Roman"/>
        </w:rPr>
        <w:t>(Siljeström and Asp, 1985)</w:t>
      </w:r>
      <w:r w:rsidR="00B616C7">
        <w:rPr>
          <w:rFonts w:cs="Arial"/>
          <w:szCs w:val="22"/>
        </w:rPr>
        <w:fldChar w:fldCharType="end"/>
      </w:r>
      <w:r w:rsidR="00B616C7">
        <w:rPr>
          <w:rFonts w:cs="Arial"/>
          <w:szCs w:val="22"/>
        </w:rPr>
        <w:t xml:space="preserve">. </w:t>
      </w:r>
      <w:r w:rsidRPr="00323DB6">
        <w:rPr>
          <w:rFonts w:cs="Arial"/>
          <w:szCs w:val="22"/>
        </w:rPr>
        <w:t>The cell wall polysaccharides of wheat flour comprise two major components, about 70% arabinoxylan (AX) and 20% (1→3,1→4)-β-D-glucan (β-glucan), with about 2% cellulose ((1→4)-β-D-glucan) and 7% glucomannan</w:t>
      </w:r>
      <w:r w:rsidR="00B616C7">
        <w:rPr>
          <w:rFonts w:cs="Arial"/>
          <w:szCs w:val="22"/>
        </w:rPr>
        <w:fldChar w:fldCharType="begin"/>
      </w:r>
      <w:r w:rsidR="0089195C">
        <w:rPr>
          <w:rFonts w:cs="Arial"/>
          <w:szCs w:val="22"/>
        </w:rPr>
        <w:instrText xml:space="preserve"> ADDIN ZOTERO_ITEM CSL_CITATION {"citationID":"ckGZz44K","properties":{"formattedCitation":"(JMares and Stone, 1973)","plainCitation":"(JMares and Stone, 1973)","noteIndex":0},"citationItems":[{"id":129,"uris":["http://zotero.org/users/local/FP9beGI8/items/7XDJHUBX"],"uri":["http://zotero.org/users/local/FP9beGI8/items/7XDJHUBX"],"itemData":{"id":129,"type":"article-journal","title":"Studies on Wheat Endosperm I. Chemical Composition and Ultrastructure of the Cell Walls","container-title":"Australian Journal of Biological Sciences","page":"793","volume":"26","issue":"4","source":"Crossref","abstract":"A method is described for the isolation of wheat endosperm cell walls free from non-endospermic cell walls in a 70 % ethanol medium which prevents the loss of watersoluble polymeric components. The isolated walls have been fractionated by successive extractions with water, 0-05M EDTA,4-27M KOH, and4·38MNaOH containingO·81M H 3B03 _ The cell walls, as isolated, contain 14-15% protein and 75% polysaccharide, 85 % of which is arabinoxylan, whilst the remainder consists of equal amounts of fJglucan and fJ-glucomannan. Walls prepared from Insignia, Olympic, and Wren wheat flours were very similar, both with respect to the proportions of the polymeric components and to the monosaccharide composition of the walls and wall fractions.","DOI":"10.1071/BI9730793","ISSN":"0004-9417","language":"en","author":[{"family":"JMares","given":"D"},{"family":"Stone","given":"Ba"}],"issued":{"date-parts":[["1973"]]}}}],"schema":"https://github.com/citation-style-language/schema/raw/master/csl-citation.json"} </w:instrText>
      </w:r>
      <w:r w:rsidR="00B616C7">
        <w:rPr>
          <w:rFonts w:cs="Arial"/>
          <w:szCs w:val="22"/>
        </w:rPr>
        <w:fldChar w:fldCharType="separate"/>
      </w:r>
      <w:r w:rsidR="0089195C" w:rsidRPr="0089195C">
        <w:rPr>
          <w:rFonts w:ascii="Calibri" w:hAnsi="Calibri"/>
        </w:rPr>
        <w:t>(JMares and Stone, 1973)</w:t>
      </w:r>
      <w:r w:rsidR="00B616C7">
        <w:rPr>
          <w:rFonts w:cs="Arial"/>
          <w:szCs w:val="22"/>
        </w:rPr>
        <w:fldChar w:fldCharType="end"/>
      </w:r>
      <w:r w:rsidRPr="00323DB6">
        <w:rPr>
          <w:rFonts w:cs="Arial"/>
          <w:szCs w:val="22"/>
        </w:rPr>
        <w:t>. AX comprises a backbone of β-D-xylopyranosyl residues linked through (1→4) glycosidic linkages with some residues being substituted with α-L-arabinofuranosyl residues at either position 3 or positions 2 and 3</w:t>
      </w:r>
      <w:r w:rsidR="00B616C7">
        <w:rPr>
          <w:rFonts w:cs="Arial"/>
          <w:szCs w:val="22"/>
        </w:rPr>
        <w:fldChar w:fldCharType="begin"/>
      </w:r>
      <w:r w:rsidR="0089195C">
        <w:rPr>
          <w:rFonts w:cs="Arial"/>
          <w:szCs w:val="22"/>
        </w:rPr>
        <w:instrText xml:space="preserve"> ADDIN ZOTERO_ITEM CSL_CITATION {"citationID":"ncNdglMJ","properties":{"formattedCitation":"(Fincher and Stone, 1974)","plainCitation":"(Fincher and Stone, 1974)","noteIndex":0},"citationItems":[{"id":158,"uris":["http://zotero.org/users/local/FP9beGI8/items/V6YKKGDG"],"uri":["http://zotero.org/users/local/FP9beGI8/items/V6YKKGDG"],"itemData":{"id":158,"type":"article-journal","title":"A Water-soluble Arabinogalactan-Peptide From Wheat Endosperm","container-title":"Australian Journal of Biological Sciences","page":"117-132","volume":"27","issue":"2","source":"www.publish.csiro.au","abstract":"The water-soluble polymeric components of wheat endosperm have been extracted by two different procedures and their chemical composition studied in detail. Water extracts of wheat flour that had first been treated with hot 80% ethanol contained only 2% protein, but if the ethanol treatment was omitted up to 20% of the extracted polymeric fraction was low-molecular-weight non-dialysable protein material. Density-gradient ultracentrifugation in caesium chloride solutions indicated that most of this protein was free, whereas the 2% protein in the water extract of ethanol-treated flottr was firmly bound to a polysaccharide. This bound protein (a peptide) was characterized by high levels of hydroxyproline (16-20% of the amino acids present).","DOI":"10.1071/bi9740117","journalAbbreviation":"Aust. Jnl. Of Bio. Sci.","language":"en","author":[{"family":"Fincher","given":"G. B."},{"family":"Stone","given":"B. A."}],"issued":{"date-parts":[["1974"]]}}}],"schema":"https://github.com/citation-style-language/schema/raw/master/csl-citation.json"} </w:instrText>
      </w:r>
      <w:r w:rsidR="00B616C7">
        <w:rPr>
          <w:rFonts w:cs="Arial"/>
          <w:szCs w:val="22"/>
        </w:rPr>
        <w:fldChar w:fldCharType="separate"/>
      </w:r>
      <w:r w:rsidR="0089195C" w:rsidRPr="0089195C">
        <w:rPr>
          <w:rFonts w:ascii="Calibri" w:hAnsi="Calibri"/>
        </w:rPr>
        <w:t>(Fincher and Stone, 1974)</w:t>
      </w:r>
      <w:r w:rsidR="00B616C7">
        <w:rPr>
          <w:rFonts w:cs="Arial"/>
          <w:szCs w:val="22"/>
        </w:rPr>
        <w:fldChar w:fldCharType="end"/>
      </w:r>
      <w:r w:rsidR="00B616C7">
        <w:rPr>
          <w:rFonts w:cs="Arial"/>
          <w:szCs w:val="22"/>
        </w:rPr>
        <w:t xml:space="preserve">. </w:t>
      </w:r>
      <w:r w:rsidRPr="00323DB6">
        <w:rPr>
          <w:rFonts w:cs="Arial"/>
          <w:szCs w:val="22"/>
        </w:rPr>
        <w:t>Some arabinofuranosyl residues at position 3 of the xylan residues may themselves be substituted with ferulic acid at the 5 position which allows the formation of cross-links, by oxidation of ferulate present on adjacent AX chains to give d</w:t>
      </w:r>
      <w:r>
        <w:rPr>
          <w:rFonts w:cs="Arial"/>
          <w:szCs w:val="22"/>
        </w:rPr>
        <w:t>e</w:t>
      </w:r>
      <w:r w:rsidRPr="00323DB6">
        <w:rPr>
          <w:rFonts w:cs="Arial"/>
          <w:szCs w:val="22"/>
        </w:rPr>
        <w:t>hydrodimers (diferulates). AX occurs in water-soluble and insoluble forms, which may differ in their molecular weight, degree of substitution, and extent of diferulate cross-linking. β-glucan has a simpler structure, comprising only glucose residues joined by (1→3) and (1→4) linkages. Single (1→3) linkages are usually separated by two or three (1→4) linkages but longer stretches of (1→4) linked glucan of up to 14 units have been reported for wheat bran β-glucan</w:t>
      </w:r>
      <w:r w:rsidR="00B616C7">
        <w:rPr>
          <w:rFonts w:cs="Arial"/>
          <w:szCs w:val="22"/>
        </w:rPr>
        <w:fldChar w:fldCharType="begin"/>
      </w:r>
      <w:r w:rsidR="0089195C">
        <w:rPr>
          <w:rFonts w:cs="Arial"/>
          <w:szCs w:val="22"/>
        </w:rPr>
        <w:instrText xml:space="preserve"> ADDIN ZOTERO_ITEM CSL_CITATION {"citationID":"hAPVlaww","properties":{"formattedCitation":"(Li et al., 2006)","plainCitation":"(Li et al., 2006)","noteIndex":0},"citationItems":[{"id":222,"uris":["http://zotero.org/users/local/FP9beGI8/items/XYCRGJS4"],"uri":["http://zotero.org/users/local/FP9beGI8/items/XYCRGJS4"],"itemData":{"id":222,"type":"article-journal","title":"Extraction, fractionation, structural and physical characterization of wheat β-d-glucans","container-title":"Carbohydrate Polymers","page":"408-416","volume":"63","issue":"3","source":"ScienceDirect","abstract":"A high purity wheat β-d-glucan (91.58%) was obtained from white wheat bran after alkali extraction and multi-precipitation with ammonium sulphate compared to previous reported purity of only 70%. The molecular weight (Mw) of the purified wheat β-d-glucan was 487,000g/mol with a broad Mw distribution (polydispersity is Mw/Mn =1.65). By applying an ammonium sulphate gradient precipitation method, the purified wheat β-d-glucan was fractionated into six fractions with Mw ranged from 43,000 to 758,000g/mol and much narrower Mw distribution (polydispersity is Mw/Mn=1.03 to 1.26). Structural analysis revealed that there were no significant differences between the six fractions and between the fractions and the original sample. This set of sample was used to investigate the effect of Mw on physical properties of wheat β-d-glucan. Dynamic rheometry and scanning calorimetric studies revealed that the gelation rate and the melting enthalpy (ΔH) of wheat β-d-glucan increased with the decrease of molecular weight indicating smaller wheat β-d-glucan molecules (must be above a minimum Mw) is easier to form junction zones and establish stronger three-dimensional network due to their high mobility and structural regularity (high ratio of tri/tetra). In contrast, the melting temperature of wheat β-d-glucan gels increased with the increase of molecular weight, suggesting a more extended structural network was formed for high Mw wheat β-d-glucans.","DOI":"10.1016/j.carbpol.2005.09.025","ISSN":"0144-8617","journalAbbreviation":"Carbohydrate Polymers","author":[{"family":"Li","given":"Wei"},{"family":"Cui","given":"Steve W."},{"family":"Kakuda","given":"Yukio"}],"issued":{"date-parts":[["2006",3,3]]}}}],"schema":"https://github.com/citation-style-language/schema/raw/master/csl-citation.json"} </w:instrText>
      </w:r>
      <w:r w:rsidR="00B616C7">
        <w:rPr>
          <w:rFonts w:cs="Arial"/>
          <w:szCs w:val="22"/>
        </w:rPr>
        <w:fldChar w:fldCharType="separate"/>
      </w:r>
      <w:r w:rsidR="0089195C" w:rsidRPr="0089195C">
        <w:rPr>
          <w:rFonts w:ascii="Calibri" w:hAnsi="Calibri"/>
        </w:rPr>
        <w:t>(Li et al., 2006)</w:t>
      </w:r>
      <w:r w:rsidR="00B616C7">
        <w:rPr>
          <w:rFonts w:cs="Arial"/>
          <w:szCs w:val="22"/>
        </w:rPr>
        <w:fldChar w:fldCharType="end"/>
      </w:r>
      <w:r w:rsidRPr="00323DB6">
        <w:rPr>
          <w:rFonts w:cs="Arial"/>
          <w:szCs w:val="22"/>
        </w:rPr>
        <w:t>. Such regions are sometimes referred to as “cellulose-like”, as cellulose is (1→4)-β-D-glucan without any (1→3) linkages. β-glucan occurs in soluble and insoluble forms, which may differ in their size and distribution of (1→3) and (1→4) linkages</w:t>
      </w:r>
      <w:r w:rsidR="004A4B39">
        <w:rPr>
          <w:rFonts w:cs="Arial"/>
          <w:szCs w:val="22"/>
        </w:rPr>
        <w:fldChar w:fldCharType="begin"/>
      </w:r>
      <w:r w:rsidR="0089195C">
        <w:rPr>
          <w:rFonts w:cs="Arial"/>
          <w:szCs w:val="22"/>
        </w:rPr>
        <w:instrText xml:space="preserve"> ADDIN ZOTERO_ITEM CSL_CITATION {"citationID":"feAFqKE2","properties":{"formattedCitation":"(Johansson et al., 2004)","plainCitation":"(Johansson et al., 2004)","noteIndex":0},"citationItems":[{"id":211,"uris":["http://zotero.org/users/local/FP9beGI8/items/P7XKA9MX"],"uri":["http://zotero.org/users/local/FP9beGI8/items/P7XKA9MX"],"itemData":{"id":211,"type":"article-journal","title":"Structural analysis of water-soluble and -insoluble β-glucans of whole-grain oats and barley","container-title":"Carbohydrate Polymers","page":"267-274","volume":"58","issue":"3","source":"ScienceDirect","abstract":"Water-soluble and water-insoluble (1→3),(1→4)-β-d-glucans were isolated from whole-grain oats and barley and digested with lichenase. The oligosaccharides thus produced were analysed using anion-exchange chromatography with pulse-amperometric detection (HPAEC-PAD). The FT-IR, 1H NMR and solid-state 13C CP-MAS NMR spectra of the β-glucans were also measured. Analyses of the ratio of oligosaccharides with degrees of polymerisation 3 and 4 (DP3:DP4) showed small structural differences between oats and barley and between the water-soluble and water-insoluble β-glucans. The molar masses analysed using the SEC-HPLC method were 500,000g/mol for the soluble β-glucans of both oats and barley and &lt;200,000g/mol for the insoluble β-glucans. No differences were found in the FT-IR and NMR spectra.","DOI":"10.1016/j.carbpol.2004.06.041","ISSN":"0144-8617","journalAbbreviation":"Carbohydrate Polymers","author":[{"family":"Johansson","given":"L."},{"family":"Tuomainen","given":"P."},{"family":"Ylinen","given":"M."},{"family":"Ekholm","given":"P."},{"family":"Virkki","given":"L."}],"issued":{"date-parts":[["2004",11,25]]}}}],"schema":"https://github.com/citation-style-language/schema/raw/master/csl-citation.json"} </w:instrText>
      </w:r>
      <w:r w:rsidR="004A4B39">
        <w:rPr>
          <w:rFonts w:cs="Arial"/>
          <w:szCs w:val="22"/>
        </w:rPr>
        <w:fldChar w:fldCharType="separate"/>
      </w:r>
      <w:r w:rsidR="0089195C" w:rsidRPr="0089195C">
        <w:rPr>
          <w:rFonts w:ascii="Calibri" w:hAnsi="Calibri"/>
        </w:rPr>
        <w:t>(Johansson et al., 2004)</w:t>
      </w:r>
      <w:r w:rsidR="004A4B39">
        <w:rPr>
          <w:rFonts w:cs="Arial"/>
          <w:szCs w:val="22"/>
        </w:rPr>
        <w:fldChar w:fldCharType="end"/>
      </w:r>
      <w:r w:rsidR="004A4B39">
        <w:rPr>
          <w:rFonts w:cs="Arial"/>
          <w:szCs w:val="22"/>
        </w:rPr>
        <w:t>.</w:t>
      </w:r>
      <w:r w:rsidRPr="00323DB6">
        <w:rPr>
          <w:rFonts w:cs="Arial"/>
          <w:szCs w:val="22"/>
        </w:rPr>
        <w:t xml:space="preserve"> </w:t>
      </w:r>
    </w:p>
    <w:p w14:paraId="30756634" w14:textId="679A4CDA" w:rsidR="00C12E8F" w:rsidRDefault="00C12E8F" w:rsidP="001D6D4B">
      <w:pPr>
        <w:spacing w:line="480" w:lineRule="auto"/>
      </w:pPr>
      <w:r>
        <w:rPr>
          <w:rFonts w:cs="Arial"/>
          <w:szCs w:val="22"/>
        </w:rPr>
        <w:t>S</w:t>
      </w:r>
      <w:r w:rsidRPr="00323DB6">
        <w:rPr>
          <w:rFonts w:cs="Arial"/>
          <w:szCs w:val="22"/>
        </w:rPr>
        <w:t xml:space="preserve">everal previous studies of the prebiotic effects of AX </w:t>
      </w:r>
      <w:r>
        <w:rPr>
          <w:rFonts w:cs="Arial"/>
          <w:szCs w:val="22"/>
        </w:rPr>
        <w:t xml:space="preserve">from wheat </w:t>
      </w:r>
      <w:r w:rsidRPr="00323DB6">
        <w:rPr>
          <w:rFonts w:cs="Arial"/>
          <w:szCs w:val="22"/>
        </w:rPr>
        <w:t xml:space="preserve">and β-glucan </w:t>
      </w:r>
      <w:r>
        <w:rPr>
          <w:rFonts w:cs="Arial"/>
          <w:szCs w:val="22"/>
        </w:rPr>
        <w:t xml:space="preserve">from barley </w:t>
      </w:r>
      <w:r w:rsidRPr="00323DB6">
        <w:rPr>
          <w:rFonts w:cs="Arial"/>
          <w:szCs w:val="22"/>
        </w:rPr>
        <w:t>have been reported</w:t>
      </w:r>
      <w:r w:rsidR="00222F38">
        <w:rPr>
          <w:rFonts w:cs="Arial"/>
          <w:szCs w:val="22"/>
        </w:rPr>
        <w:fldChar w:fldCharType="begin"/>
      </w:r>
      <w:r w:rsidR="0089195C">
        <w:rPr>
          <w:rFonts w:cs="Arial"/>
          <w:szCs w:val="22"/>
        </w:rPr>
        <w:instrText xml:space="preserve"> ADDIN ZOTERO_ITEM CSL_CITATION {"citationID":"Gbx0tBba","properties":{"formattedCitation":"(Hughes et al., 2007, 2008; Wang et al., 2016)","plainCitation":"(Hughes et al., 2007, 2008; Wang et al., 2016)","noteIndex":0},"citationItems":[{"id":210,"uris":["http://zotero.org/users/local/FP9beGI8/items/65IU2U69"],"uri":["http://zotero.org/users/local/FP9beGI8/items/65IU2U69"],"itemData":{"id":210,"type":"article-journal","title":"In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A."}],"issued":{"date-parts":[["2007",5]]}}},{"id":69,"uris":["http://zotero.org/users/local/FP9beGI8/items/JZYIYXNW"],"uri":["http://zotero.org/users/local/FP9beGI8/items/JZYIYXNW"],"itemData":{"id":69,"type":"article-journal","title":"In vitro fermentation of oat and barley derived β-glucans by human faecal microbiota: In vitro fermentation of cereal β-glucans","container-title":"FEMS Microbiology Ecology","page":"482-493","volume":"64","issue":"3","source":"Crossref","abstract":"Fermentation of b-glucan fractions from barley [average molecular mass (MM), of 243, 172, and 137 kDa] and oats (average MM of 230 and 150 kDa) by the human faecal microbiota was investigated. Fractions were supplemented to pH-controlled anaerobic batch culture fermenters inoculated with human faecal samples from three donors, in triplicate, for each substrate. Microbiota changes were monitored by ﬂuorescent in situ hybridization; groups enumerated were: Biﬁdobacterium genus, Bacteroides and Prevotella group, Clostridium histolyticum subgroup, Ruminococcus–Eubacterium–Clostridium (REC) cluster, Lactobacillus–Enterococcus group, Atopobium cluster, and clostridial cluster IX. Short-chain fatty acids and lactic acid were measured by HPLC. The C. histolyticum subgroup increased signiﬁcantly in all vessels and clostridial cluster IX maintained high populations with all fractions. The Bacteroides–Prevotella group increased with all but the 243kDa barley and 230-kDa oat substrates. In general b-glucans displayed no apparent prebiotic potential. The SCFA proﬁle (51 : 32 : 17; acetate : propionate : butyrate) was considered propionate-rich. In a further study a b-glucan oligosaccharide fraction was produced with a degree of polymerization of 3–4. This fraction was supplemented to small-scale faecal batch cultures and gave signiﬁcant increases in the Lactobacillus–Enterococcus group; however, the prebiotic potential of this fraction was marginal compared with that of inulin.","DOI":"10.1111/j.1574-6941.2008.00478.x","ISSN":"01686496, 15746941","title-short":"In vitro fermentation of oat and barley derived β-glucans by human faecal microbiota","language":"en","author":[{"family":"Hughes","given":"Simon A."},{"family":"Shewry","given":"Peter R."},{"family":"Gibson","given":"Glenn R."},{"family":"McCleary","given":"Barry V."},{"family":"Rastall","given":"Robert A."}],"issued":{"date-parts":[["2008",4,21]]}}},{"id":271,"uris":["http://zotero.org/users/local/FP9beGI8/items/LHT2TU4F"],"uri":["http://zotero.org/users/local/FP9beGI8/items/LHT2TU4F"],"itemData":{"id":271,"type":"article-journal","title":"High Molecular Weight Barley β-Glucan Alters Gut Microbiota Toward Reduced Cardiovascular Disease Risk","container-title":"Frontiers in Microbiology","volume":"7","source":"Frontiers","abstract":"The physiological cholesterol-lowering benefits of β-glucan have been well documented, however, whether modulation of gut microbiota by β-glucan is associated with these physiological effects remains unknown. The objectives of this study were therefore to determine the impact of β-glucan on the composition of gut microbiota in mildly hypercholesterolemic individuals and to identify if the altered microbiota are associated with bioactivity of β-glucan in improving risk factors of cardiovascular disease (CVD). Using a randomized, controlled crossover study design, individuals received for 5-week either a treatment breakfast containing 3g high molecular weight (HMW), 3g low molecular weight (LMW), 5g LMW barley β-glucan or wheat and rice (WR). The American Heart Association (AHA) diet served as the background diet for all treatment groups. Phases were separated by 4-week washout periods. Fecal samples were collected at the end of each intervention phase and subjected to Illumina sequencing of 16S rRNA genes. Results revealed that at the phylum level, supplementation of 3g/d HMW β-glucan increased Bacteroidetes and decreased Firmicutes abundances compared to control (P &lt; 0.001). At the genus level, consumption of 3g/d HMW β-glucan increased Bacteroides (P &lt; 0.003), tended to increase Prevotella (P &lt; 0.1) but decreased Dorea (P &lt; 0.1), whereas diets containing 5g LMW β-glucan and 3g LMW β-glucan failed to alter the gut microbiota composition. Bacteroides, Prevotella, and Dorea composition correlated (P &lt; 0.05) with shifts of CVD risk factors, including body mass index, waist circumference, blood pressure, as well as triglyceride levels. Our data suggest that consumption of HMW β-glucan favourably alters the composition of the gut microbiota and this altered microbiota profile associates with a reduction of CVD risk markers. Together, our study suggests that β-glucan induced shifts in gut microbiota in a MW-dependent manner and that might be one of the underlying mechanisms responsible for the physiological benefits of β-glucan.","URL":"https://www.frontiersin.org/articles/10.3389/fmicb.2016.00129/full","DOI":"10.3389/fmicb.2016.00129","ISSN":"1664-302X","journalAbbreviation":"Front. Microbiol.","language":"English","author":[{"family":"Wang","given":"Yanan"},{"family":"Ames","given":"Nancy P."},{"family":"Tun","given":"Hein M."},{"family":"Tosh","given":"Susan M."},{"family":"Jones","given":"Peter J."},{"family":"Khafipour","given":"Ehsan"}],"issued":{"date-parts":[["2016"]]},"accessed":{"date-parts":[["2019",1,22]]}}}],"schema":"https://github.com/citation-style-language/schema/raw/master/csl-citation.json"} </w:instrText>
      </w:r>
      <w:r w:rsidR="00222F38">
        <w:rPr>
          <w:rFonts w:cs="Arial"/>
          <w:szCs w:val="22"/>
        </w:rPr>
        <w:fldChar w:fldCharType="separate"/>
      </w:r>
      <w:r w:rsidR="0089195C" w:rsidRPr="0089195C">
        <w:rPr>
          <w:rFonts w:ascii="Calibri" w:hAnsi="Calibri"/>
        </w:rPr>
        <w:t>(Hughes et al., 2007, 2008; Wang et al., 2016)</w:t>
      </w:r>
      <w:r w:rsidR="00222F38">
        <w:rPr>
          <w:rFonts w:cs="Arial"/>
          <w:szCs w:val="22"/>
        </w:rPr>
        <w:fldChar w:fldCharType="end"/>
      </w:r>
      <w:r w:rsidR="00222F38">
        <w:rPr>
          <w:rFonts w:cs="Arial"/>
          <w:szCs w:val="22"/>
        </w:rPr>
        <w:t xml:space="preserve">. </w:t>
      </w:r>
      <w:r>
        <w:rPr>
          <w:rFonts w:cs="Arial"/>
          <w:szCs w:val="22"/>
        </w:rPr>
        <w:t>However,</w:t>
      </w:r>
      <w:r w:rsidRPr="00323DB6">
        <w:rPr>
          <w:rFonts w:cs="Arial"/>
          <w:szCs w:val="22"/>
        </w:rPr>
        <w:t xml:space="preserve"> should be noted that thes</w:t>
      </w:r>
      <w:r>
        <w:rPr>
          <w:rFonts w:cs="Arial"/>
          <w:szCs w:val="22"/>
        </w:rPr>
        <w:t>e components are not consumed</w:t>
      </w:r>
      <w:r w:rsidRPr="00323DB6">
        <w:rPr>
          <w:rFonts w:cs="Arial"/>
          <w:szCs w:val="22"/>
        </w:rPr>
        <w:t xml:space="preserve"> singly in human diets but as mixtures </w:t>
      </w:r>
      <w:r>
        <w:rPr>
          <w:rFonts w:cs="Arial"/>
          <w:szCs w:val="22"/>
        </w:rPr>
        <w:t xml:space="preserve">in </w:t>
      </w:r>
      <w:r w:rsidRPr="00323DB6">
        <w:rPr>
          <w:rFonts w:cs="Arial"/>
          <w:szCs w:val="22"/>
        </w:rPr>
        <w:t xml:space="preserve">complex foods. In particular, AX and β-glucan are most widely consumed in a ratio of about 3:1 in bread and other wheat products and it is </w:t>
      </w:r>
      <w:r>
        <w:rPr>
          <w:rFonts w:cs="Arial"/>
          <w:szCs w:val="22"/>
        </w:rPr>
        <w:t xml:space="preserve">therefore </w:t>
      </w:r>
      <w:r w:rsidRPr="00323DB6">
        <w:rPr>
          <w:rFonts w:cs="Arial"/>
          <w:szCs w:val="22"/>
        </w:rPr>
        <w:t xml:space="preserve">possible that the human colonic microflora has adapted </w:t>
      </w:r>
      <w:r>
        <w:rPr>
          <w:rFonts w:cs="Arial"/>
          <w:szCs w:val="22"/>
        </w:rPr>
        <w:t>to provide more efficient fermentation of this ratio</w:t>
      </w:r>
      <w:r w:rsidRPr="00323DB6">
        <w:rPr>
          <w:rFonts w:cs="Arial"/>
          <w:szCs w:val="22"/>
        </w:rPr>
        <w:t>.</w:t>
      </w:r>
      <w:r w:rsidRPr="00DF163F">
        <w:t xml:space="preserve"> </w:t>
      </w:r>
      <w:r>
        <w:t xml:space="preserve">We have therefore compared the fermentation of </w:t>
      </w:r>
      <w:r w:rsidRPr="00323DB6">
        <w:rPr>
          <w:rFonts w:cs="Arial"/>
          <w:szCs w:val="22"/>
        </w:rPr>
        <w:t xml:space="preserve">AX and β-glucan </w:t>
      </w:r>
      <w:r>
        <w:rPr>
          <w:rFonts w:cs="Arial"/>
          <w:szCs w:val="22"/>
        </w:rPr>
        <w:t xml:space="preserve">as single compounds with mixtures at ratios of 1:3, 1:1 and 3:1.  </w:t>
      </w:r>
    </w:p>
    <w:p w14:paraId="22DE9655" w14:textId="77777777" w:rsidR="00C12E8F" w:rsidRPr="000C0633" w:rsidRDefault="00C12E8F" w:rsidP="001D6D4B">
      <w:pPr>
        <w:spacing w:line="480" w:lineRule="auto"/>
        <w:jc w:val="both"/>
      </w:pPr>
    </w:p>
    <w:p w14:paraId="503A129F" w14:textId="77777777" w:rsidR="00C12E8F" w:rsidRPr="000C0633" w:rsidRDefault="00C12E8F" w:rsidP="001D6D4B">
      <w:pPr>
        <w:spacing w:line="480" w:lineRule="auto"/>
        <w:jc w:val="center"/>
        <w:rPr>
          <w:b/>
        </w:rPr>
      </w:pPr>
      <w:r w:rsidRPr="000C0633">
        <w:rPr>
          <w:b/>
        </w:rPr>
        <w:t>Materials and methods</w:t>
      </w:r>
    </w:p>
    <w:p w14:paraId="5EE92C23" w14:textId="77777777" w:rsidR="00C12E8F" w:rsidRPr="000C0633" w:rsidRDefault="00C12E8F" w:rsidP="001D6D4B">
      <w:pPr>
        <w:spacing w:line="480" w:lineRule="auto"/>
        <w:jc w:val="both"/>
      </w:pPr>
    </w:p>
    <w:p w14:paraId="324F1468" w14:textId="77777777" w:rsidR="00C12E8F" w:rsidRPr="000D0098" w:rsidRDefault="00C12E8F" w:rsidP="001D6D4B">
      <w:pPr>
        <w:spacing w:line="480" w:lineRule="auto"/>
        <w:jc w:val="both"/>
      </w:pPr>
      <w:r>
        <w:rPr>
          <w:rFonts w:cstheme="minorHAnsi"/>
          <w:b/>
        </w:rPr>
        <w:t>Materials</w:t>
      </w:r>
      <w:r w:rsidRPr="00283058">
        <w:rPr>
          <w:rFonts w:cstheme="minorHAnsi"/>
          <w:b/>
        </w:rPr>
        <w:t>.</w:t>
      </w:r>
      <w:r>
        <w:rPr>
          <w:rFonts w:cstheme="minorHAnsi"/>
          <w:b/>
        </w:rPr>
        <w:t xml:space="preserve"> </w:t>
      </w:r>
      <w:r>
        <w:t>Wheat arabinoxylan (</w:t>
      </w:r>
      <w:r w:rsidRPr="0072134D">
        <w:t>P-WAXYM</w:t>
      </w:r>
      <w:r>
        <w:t>)</w:t>
      </w:r>
      <w:r w:rsidRPr="0072134D">
        <w:t xml:space="preserve"> </w:t>
      </w:r>
      <w:r>
        <w:t xml:space="preserve">and barley β-glucan </w:t>
      </w:r>
      <w:r w:rsidRPr="000C0633">
        <w:t xml:space="preserve">preparations </w:t>
      </w:r>
      <w:r>
        <w:t xml:space="preserve">(P-BGBH) were purchased </w:t>
      </w:r>
      <w:r w:rsidRPr="000C0633">
        <w:t>from Megazyme (Bray, co. Wicklow, I</w:t>
      </w:r>
      <w:r>
        <w:t>reland).</w:t>
      </w:r>
    </w:p>
    <w:p w14:paraId="1ECE9D85" w14:textId="1B2EA256" w:rsidR="00C12E8F" w:rsidRPr="00D32272" w:rsidRDefault="00C12E8F" w:rsidP="001D6D4B">
      <w:pPr>
        <w:spacing w:line="480" w:lineRule="auto"/>
        <w:jc w:val="both"/>
        <w:rPr>
          <w:rFonts w:cstheme="minorHAnsi"/>
        </w:rPr>
      </w:pPr>
      <w:r w:rsidRPr="00283058">
        <w:rPr>
          <w:rFonts w:cstheme="minorHAnsi"/>
          <w:b/>
          <w:i/>
        </w:rPr>
        <w:t>In-vitro</w:t>
      </w:r>
      <w:r w:rsidRPr="00283058">
        <w:rPr>
          <w:rFonts w:cstheme="minorHAnsi"/>
          <w:b/>
        </w:rPr>
        <w:t xml:space="preserve"> fermentation.</w:t>
      </w:r>
      <w:r w:rsidRPr="00283058">
        <w:rPr>
          <w:rFonts w:cstheme="minorHAnsi"/>
        </w:rPr>
        <w:t xml:space="preserve"> </w:t>
      </w:r>
      <w:r w:rsidRPr="004847A9">
        <w:t>100-mL sterile batch fermentation vessels (50 mL working volume) were aseptically filled with 45 mL of sterile basal medium and sparged with O</w:t>
      </w:r>
      <w:r w:rsidRPr="004847A9">
        <w:rPr>
          <w:vertAlign w:val="subscript"/>
        </w:rPr>
        <w:t>2</w:t>
      </w:r>
      <w:r w:rsidRPr="004847A9">
        <w:t>-</w:t>
      </w:r>
      <w:r w:rsidRPr="004847A9">
        <w:rPr>
          <w:vertAlign w:val="subscript"/>
        </w:rPr>
        <w:t xml:space="preserve"> </w:t>
      </w:r>
      <w:r w:rsidRPr="004847A9">
        <w:t>free N</w:t>
      </w:r>
      <w:r w:rsidRPr="004847A9">
        <w:rPr>
          <w:vertAlign w:val="subscript"/>
        </w:rPr>
        <w:t>2</w:t>
      </w:r>
      <w:r w:rsidRPr="004847A9">
        <w:t xml:space="preserve"> overnight to establish anaerobic conditions. </w:t>
      </w:r>
      <w:r w:rsidRPr="00D32272">
        <w:rPr>
          <w:rFonts w:cstheme="minorHAnsi"/>
        </w:rPr>
        <w:t>The medium contained per litre: 2 g of peptone water (Oxoid Ltd., Basingstoke, United Kingdom), 2 g of yeast extract (Oxoid), 0.1 g of NaCl, 0.04 g of K</w:t>
      </w:r>
      <w:r w:rsidRPr="00302B35">
        <w:rPr>
          <w:rFonts w:cstheme="minorHAnsi"/>
          <w:vertAlign w:val="subscript"/>
        </w:rPr>
        <w:t>2</w:t>
      </w:r>
      <w:r w:rsidRPr="00D32272">
        <w:rPr>
          <w:rFonts w:cstheme="minorHAnsi"/>
        </w:rPr>
        <w:t>HPO</w:t>
      </w:r>
      <w:r w:rsidRPr="00302B35">
        <w:rPr>
          <w:rFonts w:cstheme="minorHAnsi"/>
          <w:vertAlign w:val="subscript"/>
        </w:rPr>
        <w:t>4</w:t>
      </w:r>
      <w:r w:rsidRPr="00D32272">
        <w:rPr>
          <w:rFonts w:cstheme="minorHAnsi"/>
        </w:rPr>
        <w:t>, 0.01 g of MgSO</w:t>
      </w:r>
      <w:r w:rsidRPr="00302B35">
        <w:rPr>
          <w:rFonts w:cstheme="minorHAnsi"/>
          <w:vertAlign w:val="subscript"/>
        </w:rPr>
        <w:t>4</w:t>
      </w:r>
      <w:r>
        <w:rPr>
          <w:rFonts w:cstheme="minorHAnsi"/>
        </w:rPr>
        <w:t>.</w:t>
      </w:r>
      <w:r w:rsidRPr="00D32272">
        <w:rPr>
          <w:rFonts w:cstheme="minorHAnsi"/>
        </w:rPr>
        <w:t>7H</w:t>
      </w:r>
      <w:r w:rsidRPr="00302B35">
        <w:rPr>
          <w:rFonts w:cstheme="minorHAnsi"/>
          <w:vertAlign w:val="subscript"/>
        </w:rPr>
        <w:t>2</w:t>
      </w:r>
      <w:r w:rsidRPr="00D32272">
        <w:rPr>
          <w:rFonts w:cstheme="minorHAnsi"/>
        </w:rPr>
        <w:t>O, 0.01 g of CaCl</w:t>
      </w:r>
      <w:r w:rsidRPr="00302B35">
        <w:rPr>
          <w:rFonts w:cstheme="minorHAnsi"/>
          <w:vertAlign w:val="subscript"/>
        </w:rPr>
        <w:t>2</w:t>
      </w:r>
      <w:r>
        <w:rPr>
          <w:rFonts w:cstheme="minorHAnsi"/>
        </w:rPr>
        <w:t>.</w:t>
      </w:r>
      <w:r w:rsidRPr="00D32272">
        <w:rPr>
          <w:rFonts w:cstheme="minorHAnsi"/>
        </w:rPr>
        <w:t xml:space="preserve"> 6H</w:t>
      </w:r>
      <w:r w:rsidRPr="00302B35">
        <w:rPr>
          <w:rFonts w:cstheme="minorHAnsi"/>
          <w:vertAlign w:val="subscript"/>
        </w:rPr>
        <w:t>2</w:t>
      </w:r>
      <w:r w:rsidRPr="00D32272">
        <w:rPr>
          <w:rFonts w:cstheme="minorHAnsi"/>
        </w:rPr>
        <w:t>O, 2 g of NaHCO</w:t>
      </w:r>
      <w:r w:rsidRPr="00302B35">
        <w:rPr>
          <w:rFonts w:cstheme="minorHAnsi"/>
          <w:vertAlign w:val="subscript"/>
        </w:rPr>
        <w:t>3</w:t>
      </w:r>
      <w:r w:rsidRPr="00D32272">
        <w:rPr>
          <w:rFonts w:cstheme="minorHAnsi"/>
        </w:rPr>
        <w:t xml:space="preserve">, 0.005 g of hemein (Sigma), 0.5 g of l-cysteine HCl (Sigma), 0.5 g of bile salts (Oxoid), 2 mL of Tween 80, 10 µL of vitamin K (Sigma). Polysaccharide samples were added (1% w/v) to </w:t>
      </w:r>
      <w:r>
        <w:rPr>
          <w:rFonts w:cstheme="minorHAnsi"/>
        </w:rPr>
        <w:t xml:space="preserve">the </w:t>
      </w:r>
      <w:r w:rsidRPr="00D32272">
        <w:rPr>
          <w:rFonts w:cstheme="minorHAnsi"/>
        </w:rPr>
        <w:t>basal medium</w:t>
      </w:r>
      <w:r w:rsidRPr="003A1908">
        <w:rPr>
          <w:rFonts w:cstheme="minorHAnsi"/>
        </w:rPr>
        <w:t xml:space="preserve">. </w:t>
      </w:r>
      <w:r>
        <w:rPr>
          <w:rFonts w:cstheme="minorHAnsi"/>
        </w:rPr>
        <w:t>E</w:t>
      </w:r>
      <w:r w:rsidRPr="00D32272">
        <w:rPr>
          <w:rFonts w:cstheme="minorHAnsi"/>
        </w:rPr>
        <w:t>ach vessel was inoculated with 10% (v/v) of faecal slurry, which was prepared by homogenizing fresh human faeces (10%, w/</w:t>
      </w:r>
      <w:r>
        <w:rPr>
          <w:rFonts w:cstheme="minorHAnsi"/>
        </w:rPr>
        <w:t>w</w:t>
      </w:r>
      <w:r w:rsidRPr="00D32272">
        <w:rPr>
          <w:rFonts w:cstheme="minorHAnsi"/>
        </w:rPr>
        <w:t>) in phosphate-buffered saline (PBS; 8 g/L NaCl, 0.2 g/L KCl, 1.15 g/L Na</w:t>
      </w:r>
      <w:r w:rsidRPr="00302B35">
        <w:rPr>
          <w:rFonts w:cstheme="minorHAnsi"/>
          <w:vertAlign w:val="subscript"/>
        </w:rPr>
        <w:t>2</w:t>
      </w:r>
      <w:r w:rsidRPr="00D32272">
        <w:rPr>
          <w:rFonts w:cstheme="minorHAnsi"/>
        </w:rPr>
        <w:t>HPO</w:t>
      </w:r>
      <w:r w:rsidRPr="00302B35">
        <w:rPr>
          <w:rFonts w:cstheme="minorHAnsi"/>
          <w:vertAlign w:val="subscript"/>
        </w:rPr>
        <w:t>4</w:t>
      </w:r>
      <w:r w:rsidRPr="00D32272">
        <w:rPr>
          <w:rFonts w:cstheme="minorHAnsi"/>
        </w:rPr>
        <w:t>, and 0.2 g/L KH</w:t>
      </w:r>
      <w:r w:rsidRPr="00302B35">
        <w:rPr>
          <w:rFonts w:cstheme="minorHAnsi"/>
          <w:vertAlign w:val="subscript"/>
        </w:rPr>
        <w:t>2</w:t>
      </w:r>
      <w:r w:rsidRPr="00D32272">
        <w:rPr>
          <w:rFonts w:cstheme="minorHAnsi"/>
        </w:rPr>
        <w:t>HPO</w:t>
      </w:r>
      <w:r w:rsidRPr="00302B35">
        <w:rPr>
          <w:rFonts w:cstheme="minorHAnsi"/>
          <w:vertAlign w:val="subscript"/>
        </w:rPr>
        <w:t>4</w:t>
      </w:r>
      <w:r w:rsidRPr="00D32272">
        <w:rPr>
          <w:rFonts w:cstheme="minorHAnsi"/>
        </w:rPr>
        <w:t xml:space="preserve">), pH 7.3 (Oxoid), </w:t>
      </w:r>
      <w:r w:rsidRPr="00F04AEC">
        <w:t>using a stomacher (Stomacher 400, Seward)</w:t>
      </w:r>
      <w:r w:rsidRPr="00D32272">
        <w:t>.</w:t>
      </w:r>
      <w:r w:rsidRPr="00D32272">
        <w:rPr>
          <w:rFonts w:cstheme="minorHAnsi"/>
        </w:rPr>
        <w:t xml:space="preserve"> Three</w:t>
      </w:r>
      <w:r>
        <w:rPr>
          <w:rFonts w:cstheme="minorHAnsi"/>
        </w:rPr>
        <w:t xml:space="preserve"> individual </w:t>
      </w:r>
      <w:r w:rsidRPr="00D32272">
        <w:rPr>
          <w:rFonts w:cstheme="minorHAnsi"/>
        </w:rPr>
        <w:t>faecal donors were used per experiment</w:t>
      </w:r>
      <w:r w:rsidR="00222F38">
        <w:rPr>
          <w:rFonts w:cstheme="minorHAnsi"/>
        </w:rPr>
        <w:t xml:space="preserve"> and samples were not pooled</w:t>
      </w:r>
      <w:r w:rsidRPr="00D32272">
        <w:rPr>
          <w:rFonts w:cstheme="minorHAnsi"/>
        </w:rPr>
        <w:t xml:space="preserve">, </w:t>
      </w:r>
      <w:r w:rsidR="00222F38">
        <w:rPr>
          <w:rFonts w:cstheme="minorHAnsi"/>
        </w:rPr>
        <w:t xml:space="preserve">donors were two female and one male, </w:t>
      </w:r>
      <w:r w:rsidRPr="00D32272">
        <w:rPr>
          <w:rFonts w:cstheme="minorHAnsi"/>
        </w:rPr>
        <w:t xml:space="preserve">between 23-59 years of age and on a normal diet without any special dietary requirements and that had not taken antibiotics, prebiotic or probiotics in the previous three months. Vessels were incubated at 37°C with a water jacket for up to 48h and </w:t>
      </w:r>
      <w:r w:rsidRPr="008D78BF">
        <w:t xml:space="preserve">the pH was controlled between 6.7 and 6.9 </w:t>
      </w:r>
      <w:r>
        <w:t xml:space="preserve">with 0.5M HCl and 0.5M NaOH </w:t>
      </w:r>
      <w:r w:rsidRPr="008D78BF">
        <w:t>using an automated pH controller (Fermac 260, Electrolab, Tewkesbury, UK)</w:t>
      </w:r>
      <w:r w:rsidRPr="00D32272">
        <w:rPr>
          <w:rFonts w:cstheme="minorHAnsi"/>
        </w:rPr>
        <w:t xml:space="preserve">. Samples were collected at </w:t>
      </w:r>
      <w:r>
        <w:rPr>
          <w:rFonts w:cstheme="minorHAnsi"/>
        </w:rPr>
        <w:t>0, 4, 8, 24 hours</w:t>
      </w:r>
      <w:r w:rsidRPr="00D32272">
        <w:rPr>
          <w:rFonts w:cstheme="minorHAnsi"/>
        </w:rPr>
        <w:t xml:space="preserve"> for analysis. </w:t>
      </w:r>
    </w:p>
    <w:p w14:paraId="777DB295" w14:textId="77777777" w:rsidR="00C12E8F" w:rsidRPr="00283058" w:rsidRDefault="00C12E8F" w:rsidP="001D6D4B">
      <w:pPr>
        <w:spacing w:line="480" w:lineRule="auto"/>
        <w:jc w:val="both"/>
        <w:rPr>
          <w:rFonts w:cstheme="minorHAnsi"/>
          <w:shd w:val="clear" w:color="auto" w:fill="FFFFFE"/>
        </w:rPr>
      </w:pPr>
      <w:r w:rsidRPr="00283058">
        <w:rPr>
          <w:rFonts w:cstheme="minorHAnsi"/>
          <w:b/>
        </w:rPr>
        <w:t xml:space="preserve">SCFA analysis using HPLC. </w:t>
      </w:r>
      <w:r w:rsidRPr="00283058">
        <w:rPr>
          <w:rFonts w:cstheme="minorHAnsi"/>
        </w:rPr>
        <w:t xml:space="preserve">Samples were centrifuged </w:t>
      </w:r>
      <w:r w:rsidRPr="00EF0E51">
        <w:rPr>
          <w:rFonts w:cstheme="minorHAnsi"/>
        </w:rPr>
        <w:t>at 1</w:t>
      </w:r>
      <w:r>
        <w:rPr>
          <w:rFonts w:cstheme="minorHAnsi"/>
        </w:rPr>
        <w:t>30</w:t>
      </w:r>
      <w:r w:rsidRPr="00EF0E51">
        <w:rPr>
          <w:rFonts w:cstheme="minorHAnsi"/>
        </w:rPr>
        <w:t xml:space="preserve">00 </w:t>
      </w:r>
      <w:r w:rsidRPr="00EF0E51">
        <w:rPr>
          <w:rFonts w:cstheme="minorHAnsi"/>
          <w:i/>
        </w:rPr>
        <w:t>x g</w:t>
      </w:r>
      <w:r w:rsidRPr="00EF0E51">
        <w:rPr>
          <w:rFonts w:cstheme="minorHAnsi"/>
        </w:rPr>
        <w:t xml:space="preserve"> for 5</w:t>
      </w:r>
      <w:r w:rsidRPr="00283058">
        <w:rPr>
          <w:rFonts w:cstheme="minorHAnsi"/>
        </w:rPr>
        <w:t xml:space="preserve"> minutes to remove particulate matter</w:t>
      </w:r>
      <w:r w:rsidRPr="00283058">
        <w:rPr>
          <w:rFonts w:cstheme="minorHAnsi"/>
          <w:shd w:val="clear" w:color="auto" w:fill="FFFFFE"/>
        </w:rPr>
        <w:t xml:space="preserve"> and filtered using</w:t>
      </w:r>
      <w:r>
        <w:rPr>
          <w:rFonts w:cstheme="minorHAnsi"/>
          <w:shd w:val="clear" w:color="auto" w:fill="FFFFFE"/>
        </w:rPr>
        <w:t xml:space="preserve"> 0.2 μM nitrocellulose filter. Twenty</w:t>
      </w:r>
      <w:r w:rsidRPr="00283058">
        <w:rPr>
          <w:rFonts w:cstheme="minorHAnsi"/>
          <w:shd w:val="clear" w:color="auto" w:fill="FFFFFE"/>
        </w:rPr>
        <w:t xml:space="preserve"> </w:t>
      </w:r>
      <w:r w:rsidRPr="00283058">
        <w:rPr>
          <w:rFonts w:cstheme="minorHAnsi"/>
        </w:rPr>
        <w:t>μL was injected</w:t>
      </w:r>
      <w:r w:rsidRPr="00283058">
        <w:rPr>
          <w:rFonts w:cstheme="minorHAnsi"/>
          <w:shd w:val="clear" w:color="auto" w:fill="FFFFFE"/>
        </w:rPr>
        <w:t xml:space="preserve"> on to a Phenomenex Rezex ROA Organic Acid H</w:t>
      </w:r>
      <w:r w:rsidRPr="00283058">
        <w:rPr>
          <w:rFonts w:cstheme="minorHAnsi"/>
          <w:shd w:val="clear" w:color="auto" w:fill="FFFFFE"/>
          <w:vertAlign w:val="superscript"/>
        </w:rPr>
        <w:t xml:space="preserve">+ </w:t>
      </w:r>
      <w:r w:rsidRPr="00283058">
        <w:rPr>
          <w:rFonts w:cstheme="minorHAnsi"/>
          <w:shd w:val="clear" w:color="auto" w:fill="FFFFFE"/>
        </w:rPr>
        <w:t xml:space="preserve">(8%) HPLC column (Watford, UK) at 50°C on </w:t>
      </w:r>
      <w:r w:rsidRPr="00283058">
        <w:rPr>
          <w:rFonts w:cstheme="minorHAnsi"/>
        </w:rPr>
        <w:t>a Shimadzu HPLC</w:t>
      </w:r>
      <w:r w:rsidRPr="00283058">
        <w:rPr>
          <w:rFonts w:cstheme="minorHAnsi"/>
          <w:shd w:val="clear" w:color="auto" w:fill="FFFFFE"/>
        </w:rPr>
        <w:t xml:space="preserve"> with 0.0025 M H</w:t>
      </w:r>
      <w:r w:rsidRPr="00283058">
        <w:rPr>
          <w:rFonts w:cstheme="minorHAnsi"/>
          <w:shd w:val="clear" w:color="auto" w:fill="FFFFFE"/>
          <w:vertAlign w:val="subscript"/>
        </w:rPr>
        <w:t>2</w:t>
      </w:r>
      <w:r w:rsidRPr="00283058">
        <w:rPr>
          <w:rFonts w:cstheme="minorHAnsi"/>
          <w:shd w:val="clear" w:color="auto" w:fill="FFFFFE"/>
        </w:rPr>
        <w:t>SO</w:t>
      </w:r>
      <w:r w:rsidRPr="00283058">
        <w:rPr>
          <w:rFonts w:cstheme="minorHAnsi"/>
          <w:shd w:val="clear" w:color="auto" w:fill="FFFFFE"/>
          <w:vertAlign w:val="subscript"/>
        </w:rPr>
        <w:t>4</w:t>
      </w:r>
      <w:r w:rsidRPr="00283058">
        <w:rPr>
          <w:rFonts w:cstheme="minorHAnsi"/>
          <w:shd w:val="clear" w:color="auto" w:fill="FFFFFE"/>
        </w:rPr>
        <w:t xml:space="preserve"> eluent at a flow rate of 0.6 mL min</w:t>
      </w:r>
      <w:r w:rsidRPr="00283058">
        <w:rPr>
          <w:rFonts w:cstheme="minorHAnsi"/>
          <w:shd w:val="clear" w:color="auto" w:fill="FFFFFE"/>
          <w:vertAlign w:val="superscript"/>
        </w:rPr>
        <w:t>-1</w:t>
      </w:r>
      <w:r w:rsidRPr="00283058">
        <w:rPr>
          <w:rFonts w:cstheme="minorHAnsi"/>
          <w:shd w:val="clear" w:color="auto" w:fill="FFFFFE"/>
        </w:rPr>
        <w:t>. SCFA (lactate, formate, acetate, propionate and butyrate) were quantified using stan</w:t>
      </w:r>
      <w:r>
        <w:rPr>
          <w:rFonts w:cstheme="minorHAnsi"/>
          <w:shd w:val="clear" w:color="auto" w:fill="FFFFFE"/>
        </w:rPr>
        <w:t>dard calibration curves from 1-10</w:t>
      </w:r>
      <w:r w:rsidRPr="00283058">
        <w:rPr>
          <w:rFonts w:cstheme="minorHAnsi"/>
          <w:shd w:val="clear" w:color="auto" w:fill="FFFFFE"/>
        </w:rPr>
        <w:t>0</w:t>
      </w:r>
      <w:r>
        <w:rPr>
          <w:rFonts w:cstheme="minorHAnsi"/>
          <w:shd w:val="clear" w:color="auto" w:fill="FFFFFE"/>
        </w:rPr>
        <w:t xml:space="preserve"> </w:t>
      </w:r>
      <w:r w:rsidRPr="00283058">
        <w:rPr>
          <w:rFonts w:cstheme="minorHAnsi"/>
          <w:shd w:val="clear" w:color="auto" w:fill="FFFFFE"/>
        </w:rPr>
        <w:t>mM.</w:t>
      </w:r>
    </w:p>
    <w:p w14:paraId="2C38F1F8" w14:textId="77777777" w:rsidR="00C12E8F" w:rsidRPr="00283058" w:rsidRDefault="00C12E8F" w:rsidP="001D6D4B">
      <w:pPr>
        <w:spacing w:line="480" w:lineRule="auto"/>
        <w:jc w:val="both"/>
        <w:rPr>
          <w:rFonts w:cstheme="minorHAnsi"/>
        </w:rPr>
      </w:pPr>
      <w:r w:rsidRPr="00D32272">
        <w:rPr>
          <w:rFonts w:cstheme="minorHAnsi"/>
          <w:b/>
        </w:rPr>
        <w:t xml:space="preserve">Enumeration of bacteria by flow-FISH. </w:t>
      </w:r>
      <w:r w:rsidRPr="00D32272">
        <w:rPr>
          <w:rFonts w:cstheme="minorHAnsi"/>
        </w:rPr>
        <w:t xml:space="preserve">Samples were centrifuged at </w:t>
      </w:r>
      <w:r w:rsidRPr="00283058">
        <w:rPr>
          <w:rFonts w:cstheme="minorHAnsi"/>
        </w:rPr>
        <w:t>10</w:t>
      </w:r>
      <w:r>
        <w:rPr>
          <w:rFonts w:cstheme="minorHAnsi"/>
        </w:rPr>
        <w:t>,</w:t>
      </w:r>
      <w:r w:rsidRPr="00283058">
        <w:rPr>
          <w:rFonts w:cstheme="minorHAnsi"/>
        </w:rPr>
        <w:t xml:space="preserve">000 x g for 3 min and supernatant discarded. Pelleted sample was fixed for 4h at 4 °C with 4% (w/v) filtered paraformaldehyde (pH 7.2) in a ratio of 1:3 (v/v). Samples were washed twice with filtered PBS and resuspended in 600 μL of a mixture of PBS/ethanol (1:1, v/v) and then stored at −20 °C for up to 3 months. Hybridisation was carried out as described in Rycroft et al. (2001a;2001b) using genus and group specific 16S rRNA-targeted oligonucleotide probes (MWG Biotech, Ebersberg, Germany). </w:t>
      </w:r>
    </w:p>
    <w:p w14:paraId="1FA78A0B" w14:textId="0086EAAF" w:rsidR="00C12E8F" w:rsidRPr="00CF29B9" w:rsidRDefault="00C12E8F" w:rsidP="001D6D4B">
      <w:pPr>
        <w:spacing w:line="480" w:lineRule="auto"/>
        <w:jc w:val="both"/>
        <w:rPr>
          <w:rFonts w:cstheme="minorHAnsi"/>
          <w:b/>
        </w:rPr>
      </w:pPr>
      <w:r w:rsidRPr="00283058">
        <w:rPr>
          <w:rFonts w:cstheme="minorHAnsi"/>
          <w:lang w:val="en-US"/>
        </w:rPr>
        <w:t>The</w:t>
      </w:r>
      <w:r w:rsidR="00B616C7">
        <w:rPr>
          <w:rFonts w:cstheme="minorHAnsi"/>
          <w:lang w:val="en-US"/>
        </w:rPr>
        <w:t xml:space="preserve"> sample probes used were Bif164</w:t>
      </w:r>
      <w:r w:rsidR="00B616C7">
        <w:rPr>
          <w:rFonts w:cstheme="minorHAnsi"/>
          <w:lang w:val="en-US"/>
        </w:rPr>
        <w:fldChar w:fldCharType="begin"/>
      </w:r>
      <w:r w:rsidR="0089195C">
        <w:rPr>
          <w:rFonts w:cstheme="minorHAnsi"/>
          <w:lang w:val="en-US"/>
        </w:rPr>
        <w:instrText xml:space="preserve"> ADDIN ZOTERO_ITEM CSL_CITATION {"citationID":"e2jpuirx","properties":{"formattedCitation":"(Langendijk et al., 1995)","plainCitation":"(Langendijk et al., 1995)","noteIndex":0},"citationItems":[{"id":218,"uris":["http://zotero.org/users/local/FP9beGI8/items/VB2R6YCE"],"uri":["http://zotero.org/users/local/FP9beGI8/items/VB2R6YCE"],"itemData":{"id":218,"type":"article-journal","title":"Quantitative fluorescence in situ hybridization of Bifidobacterium spp. with genus-specific 16S rRNA-targeted probes and its application in fecal samples.","container-title":"Appl. Environ. Microbiol.","page":"3069-3075","volume":"61","issue":"8","source":"aem.asm.org","abstract":"Three 16S rRNA hybridization probes were developed and tested for genus-specific detection of Bifidobacterium species in the human fecal flora. Variable regions V2, V4, and V8 of the 16S rRNA contained sequences unique to this genus and proved applicable as target sites for oligodeoxynucleotide probes. Determination of the genus specificity of the oligonucleotides was performed by whole-cell hybridization with fluorescein isothiocyanate-labelled probes. To this end, cells were fixed on glass slides, hybridized with the probes, and monitored by videomicroscopy. In combination with image analysis, this allowed quantification of the fluorescence per cell and objective evaluation of hybridization experiments. One of the probes developed was used to determine the population of Bifidobacterium spp. in human fecal samples. A comparison was made with results obtained by cultural methods for enumeration. Since both methods gave similar population estimates, it was concluded that all bifidobacteria in feces were culturable. However, since the total culturable counts were only a fraction of the total microscopic counts, the contribution of bifidobacteria to the total intestinal microflora was overestimated by almost 10-fold when cultural methods were used as the sole method for enumeration.","ISSN":"0099-2240, 1098-5336","note":"PMID: 7487040","journalAbbreviation":"Appl. Environ. Microbiol.","language":"en","author":[{"family":"Langendijk","given":"P. S."},{"family":"Schut","given":"F."},{"family":"Jansen","given":"G. J."},{"family":"Raangs","given":"G. C."},{"family":"Kamphuis","given":"G. R."},{"family":"Wilkinson","given":"M. H."},{"family":"Welling","given":"G. W."}],"issued":{"date-parts":[["1995",8,1]]}}}],"schema":"https://github.com/citation-style-language/schema/raw/master/csl-citation.json"} </w:instrText>
      </w:r>
      <w:r w:rsidR="00B616C7">
        <w:rPr>
          <w:rFonts w:cstheme="minorHAnsi"/>
          <w:lang w:val="en-US"/>
        </w:rPr>
        <w:fldChar w:fldCharType="separate"/>
      </w:r>
      <w:r w:rsidR="0089195C" w:rsidRPr="0089195C">
        <w:rPr>
          <w:rFonts w:ascii="Calibri" w:hAnsi="Calibri"/>
        </w:rPr>
        <w:t>(Langendijk et al., 1995)</w:t>
      </w:r>
      <w:r w:rsidR="00B616C7">
        <w:rPr>
          <w:rFonts w:cstheme="minorHAnsi"/>
          <w:lang w:val="en-US"/>
        </w:rPr>
        <w:fldChar w:fldCharType="end"/>
      </w:r>
      <w:r w:rsidRPr="00283058">
        <w:rPr>
          <w:rFonts w:cstheme="minorHAnsi"/>
          <w:lang w:val="en-US"/>
        </w:rPr>
        <w:t>, Bac303</w:t>
      </w:r>
      <w:r w:rsidR="00B616C7">
        <w:rPr>
          <w:rFonts w:cstheme="minorHAnsi"/>
          <w:lang w:val="en-US"/>
        </w:rPr>
        <w:fldChar w:fldCharType="begin"/>
      </w:r>
      <w:r w:rsidR="0089195C">
        <w:rPr>
          <w:rFonts w:cstheme="minorHAnsi"/>
          <w:lang w:val="en-US"/>
        </w:rPr>
        <w:instrText xml:space="preserve"> ADDIN ZOTERO_ITEM CSL_CITATION {"citationID":"KmtHWl1N","properties":{"formattedCitation":"(Manz et al., 1996)","plainCitation":"(Manz et al., 1996)","noteIndex":0},"citationItems":[{"id":228,"uris":["http://zotero.org/users/local/FP9beGI8/items/QK3YQEB8"],"uri":["http://zotero.org/users/local/FP9beGI8/items/QK3YQEB8"],"itemData":{"id":228,"type":"article-journal","title":"Application of a suite of 16S rRNA-specific oligonucleotide probes designed to investigate bacteria of the phylum cytophaga-flavobacter-bacteroides in the natural environment","container-title":"Microbiology","page":"1097-1106","volume":"142","issue":"5","source":"Microbiology Society Journals","abstract":"We designed a panel of four 16S rRNA-targeted oligonucleotide probes specific for bacteria of the phylum cytophaga-flavobacter-bacteroides (CFB). Probes CF319a and CF319b are targeted to members of the flavobacteria-cytophaga group and the genus Porphyromonas, whereas probe BAC303 has a target region characteristic for the genera Prevotella and Bacteroides within the bacteroides group. The probe FFE8b was developed for species-specific hybridizations with Flavobacterium ferrugineum. All probes were designed by computer-assisted sequence analysis and compared to all currently accessible 16S and 23S rRNA sequences. The oligonucleotides were further evaluated by whole-cell and non-radioactive dot-blot hybridization against reference strains of the CFB phylum and other major lineages of Bacteria. The newly developed probes were used together with other higher-order probes to analyse the structure and community composition in complex environments. In activated sludge samples, members of the flavobacteria-cytophaga group were revealed by in situ hybridization as important constituents of sludge flocs and characteristic colonizers of filamentous bacteria. By application of fluorescent probe BAC303, members of the genera Bacteroides and Prevotella could be visualized without prior cultivation as an important part of the human faecal microflora.","DOI":"10.1099/13500872-142-5-1097","author":[{"family":"Manz","given":"Werner"},{"family":"Amann","given":"Rudolf"},{"family":"Ludwig","given":"Wolfgang"},{"family":"Vancanneyt","given":"Marc"},{"family":"Schleifer","given":"Karl-Heinz"}],"issued":{"date-parts":[["1996"]]}}}],"schema":"https://github.com/citation-style-language/schema/raw/master/csl-citation.json"} </w:instrText>
      </w:r>
      <w:r w:rsidR="00B616C7">
        <w:rPr>
          <w:rFonts w:cstheme="minorHAnsi"/>
          <w:lang w:val="en-US"/>
        </w:rPr>
        <w:fldChar w:fldCharType="separate"/>
      </w:r>
      <w:r w:rsidR="0089195C" w:rsidRPr="0089195C">
        <w:rPr>
          <w:rFonts w:ascii="Calibri" w:hAnsi="Calibri"/>
        </w:rPr>
        <w:t>(Manz et al., 1996)</w:t>
      </w:r>
      <w:r w:rsidR="00B616C7">
        <w:rPr>
          <w:rFonts w:cstheme="minorHAnsi"/>
          <w:lang w:val="en-US"/>
        </w:rPr>
        <w:fldChar w:fldCharType="end"/>
      </w:r>
      <w:r w:rsidRPr="00283058">
        <w:rPr>
          <w:rFonts w:cstheme="minorHAnsi"/>
          <w:lang w:val="en-US"/>
        </w:rPr>
        <w:t>, Lab158</w:t>
      </w:r>
      <w:r w:rsidR="00B616C7">
        <w:rPr>
          <w:rFonts w:cstheme="minorHAnsi"/>
          <w:lang w:val="en-US"/>
        </w:rPr>
        <w:fldChar w:fldCharType="begin"/>
      </w:r>
      <w:r w:rsidR="0089195C">
        <w:rPr>
          <w:rFonts w:cstheme="minorHAnsi"/>
          <w:lang w:val="en-US"/>
        </w:rPr>
        <w:instrText xml:space="preserve"> ADDIN ZOTERO_ITEM CSL_CITATION {"citationID":"DpiDoryT","properties":{"formattedCitation":"(Harmsen et al., 2000)","plainCitation":"(Harmsen et al., 2000)","noteIndex":0},"citationItems":[{"id":192,"uris":["http://zotero.org/users/local/FP9beGI8/items/IYPUL4IG"],"uri":["http://zotero.org/users/local/FP9beGI8/items/IYPUL4IG"],"itemData":{"id":192,"type":"article-journal","title":"Development of 16S rRNA-Based Probes for theCoriobacterium Group and the Atopobium Cluster and Their Application for Enumeration of Coriobacteriaceaein Human Feces from Volunteers of Different Age Groups","container-title":"Appl. Environ. Microbiol.","page":"4523-4527","volume":"66","issue":"10","source":"aem.asm.org","abstract":"Two 16S rRNA-targeted probes were developed: one for theCoriobacterium group and the other for theAtopobium cluster (which comprises most of theCoriobacteriaceae species, including theCoriobacterium group). The new probes were based on sequences of three new Coriobacteriaceae strains isolated from human feces and clinical material and sequences from databases. Application of the probes to fecal samples showed that formula-fed infants had higher numbers of Coriobacterium group cells in their feces than breast-fed infants. In addition, based on the presented results, it is hypothesized that with the increasing age of a person, the diversity of Atopobium cluster species present in the feces increases.","DOI":"10.1128/AEM.66.10.4523-4527.2000","ISSN":"0099-2240, 1098-5336","note":"PMID: 11010909","journalAbbreviation":"Appl. Environ. Microbiol.","language":"en","author":[{"family":"Harmsen","given":"Hermie J. M."},{"family":"Wildeboer-Veloo","given":"Alida C. M."},{"family":"Grijpstra","given":"Jan"},{"family":"Knol","given":"Jan"},{"family":"Degener","given":"John E."},{"family":"Welling","given":"Gjalt W."}],"issued":{"date-parts":[["2000",10,1]]}}}],"schema":"https://github.com/citation-style-language/schema/raw/master/csl-citation.json"} </w:instrText>
      </w:r>
      <w:r w:rsidR="00B616C7">
        <w:rPr>
          <w:rFonts w:cstheme="minorHAnsi"/>
          <w:lang w:val="en-US"/>
        </w:rPr>
        <w:fldChar w:fldCharType="separate"/>
      </w:r>
      <w:r w:rsidR="0089195C" w:rsidRPr="0089195C">
        <w:rPr>
          <w:rFonts w:ascii="Calibri" w:hAnsi="Calibri"/>
        </w:rPr>
        <w:t>(Harmsen et al., 2000)</w:t>
      </w:r>
      <w:r w:rsidR="00B616C7">
        <w:rPr>
          <w:rFonts w:cstheme="minorHAnsi"/>
          <w:lang w:val="en-US"/>
        </w:rPr>
        <w:fldChar w:fldCharType="end"/>
      </w:r>
      <w:r w:rsidR="00B616C7">
        <w:rPr>
          <w:rFonts w:cstheme="minorHAnsi"/>
          <w:lang w:val="en-US"/>
        </w:rPr>
        <w:t>, Ato291</w:t>
      </w:r>
      <w:r w:rsidR="00B616C7" w:rsidRPr="00B616C7">
        <w:rPr>
          <w:rFonts w:ascii="Calibri" w:hAnsi="Calibri" w:cs="Times New Roman"/>
          <w:vertAlign w:val="superscript"/>
        </w:rPr>
        <w:t>3</w:t>
      </w:r>
      <w:r w:rsidRPr="00283058">
        <w:rPr>
          <w:rFonts w:cstheme="minorHAnsi"/>
          <w:lang w:val="en-US"/>
        </w:rPr>
        <w:t>, Prop853</w:t>
      </w:r>
      <w:r w:rsidR="00B616C7">
        <w:rPr>
          <w:rFonts w:cstheme="minorHAnsi"/>
          <w:lang w:val="en-US"/>
        </w:rPr>
        <w:fldChar w:fldCharType="begin"/>
      </w:r>
      <w:r w:rsidR="0089195C">
        <w:rPr>
          <w:rFonts w:cstheme="minorHAnsi"/>
          <w:lang w:val="en-US"/>
        </w:rPr>
        <w:instrText xml:space="preserve"> ADDIN ZOTERO_ITEM CSL_CITATION {"citationID":"bGMEZAXs","properties":{"formattedCitation":"(Walker et al., 2005)","plainCitation":"(Walker et al., 2005)","noteIndex":0},"citationItems":[{"id":268,"uris":["http://zotero.org/users/local/FP9beGI8/items/WNJ4HD4Y"],"uri":["http://zotero.org/users/local/FP9beGI8/items/WNJ4HD4Y"],"itemData":{"id":268,"type":"article-journal","title":"pH and Peptide Supply Can Radically Alter Bacterial Populations and Short-Chain Fatty Acid Ratios within Microbial Communities from the Human Colon","container-title":"Applied and Environmental Microbiology","page":"3692-3700","volume":"71","issue":"7","source":"Crossref","DOI":"10.1128/AEM.71.7.3692-3700.2005","ISSN":"0099-2240","language":"en","author":[{"family":"Walker","given":"A. W."},{"family":"Duncan","given":"S. H."},{"family":"McWilliam Leitch","given":"E. C."},{"family":"Child","given":"M. W."},{"family":"Flint","given":"H. J."}],"issued":{"date-parts":[["2005",7,1]]}}}],"schema":"https://github.com/citation-style-language/schema/raw/master/csl-citation.json"} </w:instrText>
      </w:r>
      <w:r w:rsidR="00B616C7">
        <w:rPr>
          <w:rFonts w:cstheme="minorHAnsi"/>
          <w:lang w:val="en-US"/>
        </w:rPr>
        <w:fldChar w:fldCharType="separate"/>
      </w:r>
      <w:r w:rsidR="0089195C" w:rsidRPr="0089195C">
        <w:rPr>
          <w:rFonts w:ascii="Calibri" w:hAnsi="Calibri"/>
        </w:rPr>
        <w:t>(Walker et al., 2005)</w:t>
      </w:r>
      <w:r w:rsidR="00B616C7">
        <w:rPr>
          <w:rFonts w:cstheme="minorHAnsi"/>
          <w:lang w:val="en-US"/>
        </w:rPr>
        <w:fldChar w:fldCharType="end"/>
      </w:r>
      <w:r w:rsidR="00B616C7">
        <w:rPr>
          <w:rFonts w:cstheme="minorHAnsi"/>
          <w:lang w:val="en-US"/>
        </w:rPr>
        <w:t xml:space="preserve">, </w:t>
      </w:r>
      <w:r w:rsidRPr="00283058">
        <w:rPr>
          <w:rFonts w:cstheme="minorHAnsi"/>
          <w:lang w:val="en-US"/>
        </w:rPr>
        <w:t>Erec482</w:t>
      </w:r>
      <w:r w:rsidR="00B616C7">
        <w:rPr>
          <w:rFonts w:cstheme="minorHAnsi"/>
          <w:lang w:val="en-US"/>
        </w:rPr>
        <w:fldChar w:fldCharType="begin"/>
      </w:r>
      <w:r w:rsidR="0089195C">
        <w:rPr>
          <w:rFonts w:cstheme="minorHAnsi"/>
          <w:lang w:val="en-US"/>
        </w:rPr>
        <w:instrText xml:space="preserve"> ADDIN ZOTERO_ITEM CSL_CITATION {"citationID":"Xv6wuGVb","properties":{"formattedCitation":"(Franks et al., 1998)","plainCitation":"(Franks et al., 1998)","noteIndex":0},"citationItems":[{"id":161,"uris":["http://zotero.org/users/local/FP9beGI8/items/MVV5JZBC"],"uri":["http://zotero.org/users/local/FP9beGI8/items/MVV5JZBC"],"itemData":{"id":161,"type":"article-journal","title":"Variations of Bacterial Populations in Human Feces Measured by Fluorescent In Situ Hybridization with Group-Specific 16S rRNA-Targeted Oligonucleotide Probes","container-title":"Appl. Environ. Microbiol.","page":"3336-3345","volume":"64","issue":"9","source":"aem.asm.org","abstract":"Six 16S rRNA-targeted oligonucleotide probes were designed, validated, and used to quantify predominant groups of anaerobic bacteria in human fecal samples. A set of two probes was specific for species of the Bacteroides fragilis group and the speciesBacteroides distasonis. Two others were designed to detect species of the Clostridium histolyticum and theClostridium lituseburense groups. Another probe was designed for the genera Streptococcus andLactococcus, and the final probe was designed for the species of the Clostridium coccoides-Eubacterium rectalegroup. The temperature of dissociation of each of the probes was determined. The specificities of the probes for a collection of target and reference organisms were tested by dot blot hybridization and fluorescent in situ hybridization (FISH). The new probes were used in initial FISH experiments to enumerate human fecal bacteria. The combination of the two Bacteroides-specific probes detected a mean of 5.4 × 1010 cells per g (dry weight) of feces; the Clostridium coccoides-Eubacterium rectalegroup-specific probe detected a mean of 7.2 × 1010cells per g (dry weight) of feces. The Clostridium histolyticum, Clostridium lituseburense, andStreptococcus-Lactococcus group-specific probes detected only numbers of cells ranging from 1 × 107 to 7 × 108 per g (dry weight) of feces. Three of the newly designed probes and three additional probes were used in further FISH experiments to study the fecal flora composition of nine volunteers over a period of 8 months. The combination of probes was able to detect at least two-thirds of the fecal flora. The normal biological variations within the fecal populations of the volunteers were determined and indicated that these variations should be considered when evaluating the effects of agents modulating the flora.","ISSN":"0099-2240, 1098-5336","note":"PMID: 9726880","journalAbbreviation":"Appl. Environ. Microbiol.","language":"en","author":[{"family":"Franks","given":"Alison H."},{"family":"Harmsen","given":"Hermie J. M."},{"family":"Raangs","given":"Gerwin C."},{"family":"Jansen","given":"Gijsbert J."},{"family":"Schut","given":"Frits"},{"family":"Welling","given":"Gjalt W."}],"issued":{"date-parts":[["1998",9,1]]}}}],"schema":"https://github.com/citation-style-language/schema/raw/master/csl-citation.json"} </w:instrText>
      </w:r>
      <w:r w:rsidR="00B616C7">
        <w:rPr>
          <w:rFonts w:cstheme="minorHAnsi"/>
          <w:lang w:val="en-US"/>
        </w:rPr>
        <w:fldChar w:fldCharType="separate"/>
      </w:r>
      <w:r w:rsidR="0089195C" w:rsidRPr="0089195C">
        <w:rPr>
          <w:rFonts w:ascii="Calibri" w:hAnsi="Calibri"/>
        </w:rPr>
        <w:t>(Franks et al., 1998)</w:t>
      </w:r>
      <w:r w:rsidR="00B616C7">
        <w:rPr>
          <w:rFonts w:cstheme="minorHAnsi"/>
          <w:lang w:val="en-US"/>
        </w:rPr>
        <w:fldChar w:fldCharType="end"/>
      </w:r>
      <w:r w:rsidR="00B616C7">
        <w:rPr>
          <w:rFonts w:cstheme="minorHAnsi"/>
          <w:lang w:val="en-US"/>
        </w:rPr>
        <w:t>, Rrec584</w:t>
      </w:r>
      <w:r w:rsidR="00B616C7">
        <w:rPr>
          <w:rFonts w:cstheme="minorHAnsi"/>
          <w:lang w:val="en-US"/>
        </w:rPr>
        <w:fldChar w:fldCharType="begin"/>
      </w:r>
      <w:r w:rsidR="0089195C">
        <w:rPr>
          <w:rFonts w:cstheme="minorHAnsi"/>
          <w:lang w:val="en-US"/>
        </w:rPr>
        <w:instrText xml:space="preserve"> ADDIN ZOTERO_ITEM CSL_CITATION {"citationID":"oNEFLEjg","properties":{"formattedCitation":"(Walker et al., 2005)","plainCitation":"(Walker et al., 2005)","noteIndex":0},"citationItems":[{"id":268,"uris":["http://zotero.org/users/local/FP9beGI8/items/WNJ4HD4Y"],"uri":["http://zotero.org/users/local/FP9beGI8/items/WNJ4HD4Y"],"itemData":{"id":268,"type":"article-journal","title":"pH and Peptide Supply Can Radically Alter Bacterial Populations and Short-Chain Fatty Acid Ratios within Microbial Communities from the Human Colon","container-title":"Applied and Environmental Microbiology","page":"3692-3700","volume":"71","issue":"7","source":"Crossref","DOI":"10.1128/AEM.71.7.3692-3700.2005","ISSN":"0099-2240","language":"en","author":[{"family":"Walker","given":"A. W."},{"family":"Duncan","given":"S. H."},{"family":"McWilliam Leitch","given":"E. C."},{"family":"Child","given":"M. W."},{"family":"Flint","given":"H. J."}],"issued":{"date-parts":[["2005",7,1]]}}}],"schema":"https://github.com/citation-style-language/schema/raw/master/csl-citation.json"} </w:instrText>
      </w:r>
      <w:r w:rsidR="00B616C7">
        <w:rPr>
          <w:rFonts w:cstheme="minorHAnsi"/>
          <w:lang w:val="en-US"/>
        </w:rPr>
        <w:fldChar w:fldCharType="separate"/>
      </w:r>
      <w:r w:rsidR="0089195C" w:rsidRPr="0089195C">
        <w:rPr>
          <w:rFonts w:ascii="Calibri" w:hAnsi="Calibri"/>
        </w:rPr>
        <w:t>(Walker et al., 2005)</w:t>
      </w:r>
      <w:r w:rsidR="00B616C7">
        <w:rPr>
          <w:rFonts w:cstheme="minorHAnsi"/>
          <w:lang w:val="en-US"/>
        </w:rPr>
        <w:fldChar w:fldCharType="end"/>
      </w:r>
      <w:r w:rsidR="00B616C7">
        <w:rPr>
          <w:rFonts w:cstheme="minorHAnsi"/>
          <w:lang w:val="en-US"/>
        </w:rPr>
        <w:t>, Fprau655</w:t>
      </w:r>
      <w:r w:rsidR="00B616C7">
        <w:rPr>
          <w:rFonts w:cstheme="minorHAnsi"/>
          <w:lang w:val="en-US"/>
        </w:rPr>
        <w:fldChar w:fldCharType="begin"/>
      </w:r>
      <w:r w:rsidR="0089195C">
        <w:rPr>
          <w:rFonts w:cstheme="minorHAnsi"/>
          <w:lang w:val="en-US"/>
        </w:rPr>
        <w:instrText xml:space="preserve"> ADDIN ZOTERO_ITEM CSL_CITATION {"citationID":"NbCyA2EU","properties":{"formattedCitation":"(Hold et al., 2003)","plainCitation":"(Hold et al., 2003)","noteIndex":0},"citationItems":[{"id":205,"uris":["http://zotero.org/users/local/FP9beGI8/items/XVRBCLG6"],"uri":["http://zotero.org/users/local/FP9beGI8/items/XVRBCLG6"],"itemData":{"id":205,"type":"article-journal","title":"Oligonucleotide Probes That Detect Quantitatively Significant Groups of Butyrate-Producing Bacteria in Human Feces","container-title":"Appl. Environ. Microbiol.","page":"4320-4324","volume":"69","issue":"7","source":"aem.asm.org","abstract":"16S rRNA-targeted oligonucleotide probes were designed for butyrate-producing bacteria from human feces. Three new cluster-specific probes detected bacteria related to Roseburia intestinalis, Faecalibacterium prausnitzii, and Eubacterium hallii at mean populations of 2.3, 3.8, and 0.6%, respectively, in samples from 10 individuals. Additional species-level probes accounted for no more than 1%, with a mean of 7.7%, of the total human fecal microbiota identified as butyrate producers in this study. Bacteria related to E. hallii and the genera Roseburia and Faecalibacterium are therefore among the most abundant known butyrate-producing bacteria in human feces.","DOI":"10.1128/AEM.69.7.4320-4324.2003","ISSN":"0099-2240, 1098-5336","note":"PMID: 12839823","journalAbbreviation":"Appl. Environ. Microbiol.","language":"en","author":[{"family":"Hold","given":"Georgina L."},{"family":"Schwiertz","given":"Andreas"},{"family":"Aminov","given":"Rustam I."},{"family":"Blaut","given":"Michael"},{"family":"Flint","given":"Harry J."}],"issued":{"date-parts":[["2003",7,1]]}}}],"schema":"https://github.com/citation-style-language/schema/raw/master/csl-citation.json"} </w:instrText>
      </w:r>
      <w:r w:rsidR="00B616C7">
        <w:rPr>
          <w:rFonts w:cstheme="minorHAnsi"/>
          <w:lang w:val="en-US"/>
        </w:rPr>
        <w:fldChar w:fldCharType="separate"/>
      </w:r>
      <w:r w:rsidR="0089195C" w:rsidRPr="0089195C">
        <w:rPr>
          <w:rFonts w:ascii="Calibri" w:hAnsi="Calibri"/>
        </w:rPr>
        <w:t>(Hold et al., 2003)</w:t>
      </w:r>
      <w:r w:rsidR="00B616C7">
        <w:rPr>
          <w:rFonts w:cstheme="minorHAnsi"/>
          <w:lang w:val="en-US"/>
        </w:rPr>
        <w:fldChar w:fldCharType="end"/>
      </w:r>
      <w:r w:rsidR="00B616C7">
        <w:rPr>
          <w:rFonts w:cstheme="minorHAnsi"/>
          <w:lang w:val="en-US"/>
        </w:rPr>
        <w:t>, Chis150</w:t>
      </w:r>
      <w:r w:rsidR="00B616C7">
        <w:rPr>
          <w:rFonts w:cstheme="minorHAnsi"/>
          <w:lang w:val="en-US"/>
        </w:rPr>
        <w:fldChar w:fldCharType="begin"/>
      </w:r>
      <w:r w:rsidR="0089195C">
        <w:rPr>
          <w:rFonts w:cstheme="minorHAnsi"/>
          <w:lang w:val="en-US"/>
        </w:rPr>
        <w:instrText xml:space="preserve"> ADDIN ZOTERO_ITEM CSL_CITATION {"citationID":"9eVLvF2b","properties":{"formattedCitation":"(Franks et al., 1998)","plainCitation":"(Franks et al., 1998)","noteIndex":0},"citationItems":[{"id":161,"uris":["http://zotero.org/users/local/FP9beGI8/items/MVV5JZBC"],"uri":["http://zotero.org/users/local/FP9beGI8/items/MVV5JZBC"],"itemData":{"id":161,"type":"article-journal","title":"Variations of Bacterial Populations in Human Feces Measured by Fluorescent In Situ Hybridization with Group-Specific 16S rRNA-Targeted Oligonucleotide Probes","container-title":"Appl. Environ. Microbiol.","page":"3336-3345","volume":"64","issue":"9","source":"aem.asm.org","abstract":"Six 16S rRNA-targeted oligonucleotide probes were designed, validated, and used to quantify predominant groups of anaerobic bacteria in human fecal samples. A set of two probes was specific for species of the Bacteroides fragilis group and the speciesBacteroides distasonis. Two others were designed to detect species of the Clostridium histolyticum and theClostridium lituseburense groups. Another probe was designed for the genera Streptococcus andLactococcus, and the final probe was designed for the species of the Clostridium coccoides-Eubacterium rectalegroup. The temperature of dissociation of each of the probes was determined. The specificities of the probes for a collection of target and reference organisms were tested by dot blot hybridization and fluorescent in situ hybridization (FISH). The new probes were used in initial FISH experiments to enumerate human fecal bacteria. The combination of the two Bacteroides-specific probes detected a mean of 5.4 × 1010 cells per g (dry weight) of feces; the Clostridium coccoides-Eubacterium rectalegroup-specific probe detected a mean of 7.2 × 1010cells per g (dry weight) of feces. The Clostridium histolyticum, Clostridium lituseburense, andStreptococcus-Lactococcus group-specific probes detected only numbers of cells ranging from 1 × 107 to 7 × 108 per g (dry weight) of feces. Three of the newly designed probes and three additional probes were used in further FISH experiments to study the fecal flora composition of nine volunteers over a period of 8 months. The combination of probes was able to detect at least two-thirds of the fecal flora. The normal biological variations within the fecal populations of the volunteers were determined and indicated that these variations should be considered when evaluating the effects of agents modulating the flora.","ISSN":"0099-2240, 1098-5336","note":"PMID: 9726880","journalAbbreviation":"Appl. Environ. Microbiol.","language":"en","author":[{"family":"Franks","given":"Alison H."},{"family":"Harmsen","given":"Hermie J. M."},{"family":"Raangs","given":"Gerwin C."},{"family":"Jansen","given":"Gijsbert J."},{"family":"Schut","given":"Frits"},{"family":"Welling","given":"Gjalt W."}],"issued":{"date-parts":[["1998",9,1]]}}}],"schema":"https://github.com/citation-style-language/schema/raw/master/csl-citation.json"} </w:instrText>
      </w:r>
      <w:r w:rsidR="00B616C7">
        <w:rPr>
          <w:rFonts w:cstheme="minorHAnsi"/>
          <w:lang w:val="en-US"/>
        </w:rPr>
        <w:fldChar w:fldCharType="separate"/>
      </w:r>
      <w:r w:rsidR="0089195C" w:rsidRPr="0089195C">
        <w:rPr>
          <w:rFonts w:ascii="Calibri" w:hAnsi="Calibri"/>
        </w:rPr>
        <w:t>(Franks et al., 1998)</w:t>
      </w:r>
      <w:r w:rsidR="00B616C7">
        <w:rPr>
          <w:rFonts w:cstheme="minorHAnsi"/>
          <w:lang w:val="en-US"/>
        </w:rPr>
        <w:fldChar w:fldCharType="end"/>
      </w:r>
      <w:r w:rsidRPr="00283058">
        <w:rPr>
          <w:rFonts w:cstheme="minorHAnsi"/>
          <w:lang w:val="en-US"/>
        </w:rPr>
        <w:t xml:space="preserve">, shown in Table </w:t>
      </w:r>
      <w:r>
        <w:rPr>
          <w:rFonts w:cstheme="minorHAnsi"/>
          <w:lang w:val="en-US"/>
        </w:rPr>
        <w:t>S1</w:t>
      </w:r>
      <w:r w:rsidRPr="00283058">
        <w:rPr>
          <w:rFonts w:cstheme="minorHAnsi"/>
          <w:lang w:val="en-US"/>
        </w:rPr>
        <w:t>.</w:t>
      </w:r>
      <w:r w:rsidRPr="00283058">
        <w:rPr>
          <w:rFonts w:cstheme="minorHAnsi"/>
          <w:b/>
        </w:rPr>
        <w:t xml:space="preserve"> </w:t>
      </w:r>
      <w:r w:rsidRPr="00283058">
        <w:rPr>
          <w:rFonts w:cstheme="minorHAnsi"/>
        </w:rPr>
        <w:t xml:space="preserve">Samples were screened using a flow cytometer (Accuri C6, BD Biosciences, USA) with Accuri CFlow software. </w:t>
      </w:r>
    </w:p>
    <w:p w14:paraId="79677E64" w14:textId="77777777" w:rsidR="00C12E8F" w:rsidRPr="000C0633" w:rsidRDefault="00C12E8F" w:rsidP="001D6D4B">
      <w:pPr>
        <w:spacing w:line="480" w:lineRule="auto"/>
        <w:jc w:val="both"/>
      </w:pPr>
      <w:r w:rsidRPr="00283058">
        <w:rPr>
          <w:rFonts w:cstheme="minorHAnsi"/>
          <w:b/>
        </w:rPr>
        <w:t>Statistical analysis.</w:t>
      </w:r>
      <w:r w:rsidRPr="00283058">
        <w:rPr>
          <w:rFonts w:cstheme="minorHAnsi"/>
        </w:rPr>
        <w:t xml:space="preserve"> </w:t>
      </w:r>
      <w:r w:rsidRPr="00963A06">
        <w:t>Statistical analyses were performed using SPSS for Windows, version 21. Univariate analysis of variance and Tukey’s post</w:t>
      </w:r>
      <w:r>
        <w:t>-</w:t>
      </w:r>
      <w:r w:rsidRPr="00963A06">
        <w:t xml:space="preserve">hoc test was used to determine significant changes </w:t>
      </w:r>
      <w:r>
        <w:t xml:space="preserve">between treatments </w:t>
      </w:r>
      <w:r w:rsidRPr="00963A06">
        <w:t xml:space="preserve">in the microbiota populations and SCFA concentrations. Differences were considered significant when P </w:t>
      </w:r>
      <w:r w:rsidRPr="00963A06">
        <w:sym w:font="Symbol" w:char="F03C"/>
      </w:r>
      <w:r>
        <w:t xml:space="preserve"> 0.05.</w:t>
      </w:r>
    </w:p>
    <w:p w14:paraId="1268BD97" w14:textId="77777777" w:rsidR="00C12E8F" w:rsidRPr="00DF163F" w:rsidRDefault="00C12E8F" w:rsidP="001D6D4B">
      <w:pPr>
        <w:spacing w:line="480" w:lineRule="auto"/>
        <w:jc w:val="both"/>
      </w:pPr>
    </w:p>
    <w:p w14:paraId="573DF5B0" w14:textId="77777777" w:rsidR="00C12E8F" w:rsidRPr="0081763F" w:rsidRDefault="00C12E8F" w:rsidP="001D6D4B">
      <w:pPr>
        <w:pStyle w:val="Heading3"/>
        <w:numPr>
          <w:ilvl w:val="0"/>
          <w:numId w:val="0"/>
        </w:numPr>
        <w:spacing w:line="480" w:lineRule="auto"/>
        <w:jc w:val="center"/>
        <w:rPr>
          <w:b/>
        </w:rPr>
      </w:pPr>
      <w:bookmarkStart w:id="1" w:name="_Toc493858611"/>
      <w:bookmarkStart w:id="2" w:name="_Toc493858834"/>
      <w:r w:rsidRPr="0021081E">
        <w:rPr>
          <w:b/>
        </w:rPr>
        <w:t>Results</w:t>
      </w:r>
      <w:bookmarkEnd w:id="1"/>
      <w:bookmarkEnd w:id="2"/>
    </w:p>
    <w:p w14:paraId="7F0744BD" w14:textId="77777777" w:rsidR="00C12E8F" w:rsidRDefault="00C12E8F" w:rsidP="001D6D4B">
      <w:pPr>
        <w:spacing w:line="480" w:lineRule="auto"/>
        <w:jc w:val="both"/>
      </w:pPr>
      <w:r>
        <w:rPr>
          <w:b/>
        </w:rPr>
        <w:t xml:space="preserve">Production of </w:t>
      </w:r>
      <w:r w:rsidRPr="005B21E6">
        <w:rPr>
          <w:b/>
        </w:rPr>
        <w:t>SCFA.</w:t>
      </w:r>
      <w:r>
        <w:t xml:space="preserve"> Figure 1 and Table S2 show</w:t>
      </w:r>
      <w:r w:rsidRPr="00DF163F">
        <w:t xml:space="preserve"> the </w:t>
      </w:r>
      <w:r>
        <w:t xml:space="preserve">concentrations of </w:t>
      </w:r>
      <w:r w:rsidRPr="00DF163F">
        <w:t>SCFA</w:t>
      </w:r>
      <w:r>
        <w:t>s</w:t>
      </w:r>
      <w:r w:rsidRPr="00DF163F">
        <w:t xml:space="preserve"> and l</w:t>
      </w:r>
      <w:r>
        <w:t xml:space="preserve">actate in samples </w:t>
      </w:r>
      <w:r w:rsidRPr="00DF163F">
        <w:t>incubated</w:t>
      </w:r>
      <w:r>
        <w:t xml:space="preserve"> with</w:t>
      </w:r>
      <w:r w:rsidRPr="00DF163F">
        <w:t>: AX</w:t>
      </w:r>
      <w:r>
        <w:t xml:space="preserve"> alone</w:t>
      </w:r>
      <w:r w:rsidRPr="00DF163F">
        <w:t xml:space="preserve">, </w:t>
      </w:r>
      <w:r w:rsidRPr="00DF163F">
        <w:rPr>
          <w:rFonts w:eastAsia="Times New Roman"/>
          <w:bCs/>
          <w:color w:val="000000"/>
        </w:rPr>
        <w:t>AX: β-glucan (3:1</w:t>
      </w:r>
      <w:r>
        <w:rPr>
          <w:rFonts w:eastAsia="Times New Roman"/>
          <w:bCs/>
          <w:color w:val="000000"/>
        </w:rPr>
        <w:t>, w/w</w:t>
      </w:r>
      <w:r w:rsidRPr="00DF163F">
        <w:t xml:space="preserve">), </w:t>
      </w:r>
      <w:r w:rsidRPr="00DF163F">
        <w:rPr>
          <w:rFonts w:eastAsia="Times New Roman"/>
          <w:bCs/>
          <w:color w:val="000000"/>
        </w:rPr>
        <w:t>AX: β-glucan (1:1</w:t>
      </w:r>
      <w:r>
        <w:rPr>
          <w:rFonts w:eastAsia="Times New Roman"/>
          <w:bCs/>
          <w:color w:val="000000"/>
        </w:rPr>
        <w:t>, w/w</w:t>
      </w:r>
      <w:r w:rsidRPr="00DF163F">
        <w:t>), AX: β-glucan (1:3</w:t>
      </w:r>
      <w:r>
        <w:t>, w/w</w:t>
      </w:r>
      <w:r w:rsidRPr="00DF163F">
        <w:t>), β-glucan</w:t>
      </w:r>
      <w:r>
        <w:t xml:space="preserve"> alone</w:t>
      </w:r>
      <w:r w:rsidRPr="00DF163F">
        <w:t xml:space="preserve"> and FOS </w:t>
      </w:r>
      <w:r>
        <w:t>after 24 hours’ fermentation. F</w:t>
      </w:r>
      <w:r w:rsidRPr="00DF163F">
        <w:t>ermentation of</w:t>
      </w:r>
      <w:r>
        <w:t xml:space="preserve"> the samples containing </w:t>
      </w:r>
      <w:r w:rsidRPr="00DF163F">
        <w:t xml:space="preserve">AX, </w:t>
      </w:r>
      <w:r w:rsidRPr="00DF163F">
        <w:rPr>
          <w:rFonts w:eastAsia="Times New Roman"/>
          <w:bCs/>
          <w:color w:val="000000"/>
        </w:rPr>
        <w:t>AX: β-glucan (3:1</w:t>
      </w:r>
      <w:r w:rsidRPr="00DF163F">
        <w:t xml:space="preserve">), </w:t>
      </w:r>
      <w:r w:rsidRPr="00DF163F">
        <w:rPr>
          <w:rFonts w:eastAsia="Times New Roman"/>
          <w:bCs/>
          <w:color w:val="000000"/>
        </w:rPr>
        <w:t>AX: β-glucan (1:1</w:t>
      </w:r>
      <w:r w:rsidRPr="00DF163F">
        <w:t>)</w:t>
      </w:r>
      <w:r>
        <w:t>,</w:t>
      </w:r>
      <w:r w:rsidRPr="00DF163F">
        <w:t xml:space="preserve"> and</w:t>
      </w:r>
      <w:r>
        <w:t xml:space="preserve"> </w:t>
      </w:r>
      <w:r w:rsidRPr="00DF163F">
        <w:t xml:space="preserve">FOS </w:t>
      </w:r>
      <w:r>
        <w:t xml:space="preserve">had significantly higher concentrations of </w:t>
      </w:r>
      <w:r w:rsidRPr="00DF163F">
        <w:t>total SCFA</w:t>
      </w:r>
      <w:r>
        <w:t>s</w:t>
      </w:r>
      <w:r w:rsidRPr="00DF163F">
        <w:t xml:space="preserve"> (p&gt;0.95) co</w:t>
      </w:r>
      <w:r>
        <w:t>mpared to the negative control,</w:t>
      </w:r>
      <w:r w:rsidRPr="00DF163F">
        <w:t xml:space="preserve"> mainly due to production of acetate. </w:t>
      </w:r>
      <w:r>
        <w:t xml:space="preserve">The greatest increase in acetate concentration was observed with </w:t>
      </w:r>
      <w:r w:rsidRPr="00DF163F">
        <w:t>AX</w:t>
      </w:r>
      <w:r>
        <w:t xml:space="preserve"> and</w:t>
      </w:r>
      <w:r w:rsidRPr="00DF163F">
        <w:t xml:space="preserve"> </w:t>
      </w:r>
      <w:r w:rsidRPr="00DF163F">
        <w:rPr>
          <w:rFonts w:eastAsia="Times New Roman"/>
          <w:bCs/>
          <w:color w:val="000000"/>
        </w:rPr>
        <w:t>AX: β-glucan (3:1</w:t>
      </w:r>
      <w:r w:rsidRPr="00DF163F">
        <w:t>)</w:t>
      </w:r>
      <w:r>
        <w:t xml:space="preserve"> from 8h to 24h, and</w:t>
      </w:r>
      <w:r w:rsidRPr="00DF163F">
        <w:t xml:space="preserve"> </w:t>
      </w:r>
      <w:r>
        <w:t xml:space="preserve">with </w:t>
      </w:r>
      <w:r w:rsidRPr="00DF163F">
        <w:rPr>
          <w:rFonts w:eastAsia="Times New Roman"/>
          <w:bCs/>
          <w:color w:val="000000"/>
        </w:rPr>
        <w:t>AX: β-glucan (1:1</w:t>
      </w:r>
      <w:r w:rsidRPr="00DF163F">
        <w:t>)</w:t>
      </w:r>
      <w:r>
        <w:t xml:space="preserve"> at 8h. </w:t>
      </w:r>
      <w:r w:rsidRPr="00DF163F">
        <w:t xml:space="preserve"> </w:t>
      </w:r>
      <w:r>
        <w:t>By contrast, the a</w:t>
      </w:r>
      <w:r w:rsidRPr="00DF163F">
        <w:t xml:space="preserve">cetate concentrations </w:t>
      </w:r>
      <w:r>
        <w:t>were not significantly increased compared to the control sample with AX:</w:t>
      </w:r>
      <w:r w:rsidRPr="00DF163F">
        <w:t xml:space="preserve"> β-glucan (</w:t>
      </w:r>
      <w:r>
        <w:t>1</w:t>
      </w:r>
      <w:r w:rsidRPr="00DF163F">
        <w:t>:</w:t>
      </w:r>
      <w:r>
        <w:t>3</w:t>
      </w:r>
      <w:r w:rsidRPr="00DF163F">
        <w:t xml:space="preserve">) </w:t>
      </w:r>
      <w:r>
        <w:t xml:space="preserve">or </w:t>
      </w:r>
      <w:r w:rsidRPr="00DF163F">
        <w:rPr>
          <w:rFonts w:eastAsia="Times New Roman"/>
          <w:bCs/>
          <w:color w:val="000000"/>
        </w:rPr>
        <w:t>β-glucan</w:t>
      </w:r>
      <w:r>
        <w:rPr>
          <w:rFonts w:eastAsia="Times New Roman"/>
          <w:bCs/>
          <w:color w:val="000000"/>
        </w:rPr>
        <w:t xml:space="preserve"> alone</w:t>
      </w:r>
      <w:r>
        <w:t>.</w:t>
      </w:r>
      <w:r w:rsidRPr="00DF163F">
        <w:t xml:space="preserve"> </w:t>
      </w:r>
      <w:r>
        <w:t>While the mean butyrate concentration was increased after 24h fermentation with FOS, AX</w:t>
      </w:r>
      <w:r w:rsidRPr="00DF163F">
        <w:t xml:space="preserve">, </w:t>
      </w:r>
      <w:r w:rsidRPr="00DF163F">
        <w:rPr>
          <w:rFonts w:eastAsia="Times New Roman"/>
          <w:bCs/>
          <w:color w:val="000000"/>
        </w:rPr>
        <w:t>AX: β-glucan (3:1</w:t>
      </w:r>
      <w:r w:rsidRPr="00DF163F">
        <w:t xml:space="preserve">), </w:t>
      </w:r>
      <w:r>
        <w:t xml:space="preserve">and </w:t>
      </w:r>
      <w:r w:rsidRPr="00DF163F">
        <w:rPr>
          <w:rFonts w:eastAsia="Times New Roman"/>
          <w:bCs/>
          <w:color w:val="000000"/>
        </w:rPr>
        <w:t>AX: β-glucan (1:1</w:t>
      </w:r>
      <w:r w:rsidRPr="00DF163F">
        <w:t>)</w:t>
      </w:r>
      <w:r>
        <w:t>, these increases were not statistically significant due to large variation between donors.</w:t>
      </w:r>
    </w:p>
    <w:p w14:paraId="54E504C3" w14:textId="77777777" w:rsidR="00C12E8F" w:rsidRPr="00DF163F" w:rsidRDefault="00C12E8F" w:rsidP="001D6D4B">
      <w:pPr>
        <w:spacing w:line="480" w:lineRule="auto"/>
        <w:jc w:val="both"/>
      </w:pPr>
      <w:r>
        <w:t>Table 1 shows the percentages of individual SCFAs produced after 24h fermentation. The proportions of SCFAs differ between substrates, with those comprising high proportions of AX producing greater proportions of acetate and those containing greater levels of β-glucan producing greater proportions of propionate. The proportion of butyrate produced did not differ.</w:t>
      </w:r>
    </w:p>
    <w:p w14:paraId="70F4A1A6" w14:textId="77777777" w:rsidR="00C12E8F" w:rsidRPr="00DD5618" w:rsidRDefault="00C12E8F" w:rsidP="001D6D4B">
      <w:pPr>
        <w:spacing w:line="480" w:lineRule="auto"/>
        <w:jc w:val="both"/>
      </w:pPr>
      <w:r w:rsidRPr="005B21E6">
        <w:rPr>
          <w:b/>
        </w:rPr>
        <w:t>Bacterial populations</w:t>
      </w:r>
      <w:r>
        <w:rPr>
          <w:b/>
        </w:rPr>
        <w:t xml:space="preserve">. </w:t>
      </w:r>
      <w:r w:rsidRPr="00283058">
        <w:rPr>
          <w:rFonts w:cstheme="minorHAnsi"/>
        </w:rPr>
        <w:t xml:space="preserve">The </w:t>
      </w:r>
      <w:r>
        <w:rPr>
          <w:rFonts w:cstheme="minorHAnsi"/>
        </w:rPr>
        <w:t>populations</w:t>
      </w:r>
      <w:r w:rsidRPr="00283058">
        <w:rPr>
          <w:rFonts w:cstheme="minorHAnsi"/>
        </w:rPr>
        <w:t xml:space="preserve"> of </w:t>
      </w:r>
      <w:r>
        <w:rPr>
          <w:rFonts w:cstheme="minorHAnsi"/>
        </w:rPr>
        <w:t xml:space="preserve">the </w:t>
      </w:r>
      <w:r w:rsidRPr="00283058">
        <w:rPr>
          <w:rFonts w:cstheme="minorHAnsi"/>
        </w:rPr>
        <w:t xml:space="preserve">dominant </w:t>
      </w:r>
      <w:r>
        <w:rPr>
          <w:rFonts w:cstheme="minorHAnsi"/>
        </w:rPr>
        <w:t xml:space="preserve">types of </w:t>
      </w:r>
      <w:r w:rsidRPr="00283058">
        <w:rPr>
          <w:rFonts w:cstheme="minorHAnsi"/>
        </w:rPr>
        <w:t>human colonic bacteria</w:t>
      </w:r>
      <w:r>
        <w:rPr>
          <w:rFonts w:cstheme="minorHAnsi"/>
        </w:rPr>
        <w:t xml:space="preserve"> </w:t>
      </w:r>
      <w:r>
        <w:t xml:space="preserve">after </w:t>
      </w:r>
      <w:r w:rsidRPr="00455EAA">
        <w:rPr>
          <w:i/>
        </w:rPr>
        <w:t>in-vitro</w:t>
      </w:r>
      <w:r>
        <w:t xml:space="preserve"> fermentation with</w:t>
      </w:r>
      <w:r w:rsidRPr="00DF163F">
        <w:t xml:space="preserve"> AX</w:t>
      </w:r>
      <w:r>
        <w:t xml:space="preserve"> alone</w:t>
      </w:r>
      <w:r w:rsidRPr="00DF163F">
        <w:t xml:space="preserve">, </w:t>
      </w:r>
      <w:r w:rsidRPr="00DF163F">
        <w:rPr>
          <w:rFonts w:eastAsia="Times New Roman"/>
          <w:bCs/>
          <w:color w:val="000000"/>
        </w:rPr>
        <w:t>AX: β-glucan (3:1</w:t>
      </w:r>
      <w:r w:rsidRPr="00DF163F">
        <w:t xml:space="preserve">), </w:t>
      </w:r>
      <w:r w:rsidRPr="00DF163F">
        <w:rPr>
          <w:rFonts w:eastAsia="Times New Roman"/>
          <w:bCs/>
          <w:color w:val="000000"/>
        </w:rPr>
        <w:t>AX: β-glucan (1:1</w:t>
      </w:r>
      <w:r w:rsidRPr="00DF163F">
        <w:t>), AX: β-glucan (1:3), β-glucan</w:t>
      </w:r>
      <w:r>
        <w:t xml:space="preserve"> alone and FOS</w:t>
      </w:r>
      <w:r>
        <w:rPr>
          <w:rFonts w:cstheme="minorHAnsi"/>
        </w:rPr>
        <w:t xml:space="preserve"> </w:t>
      </w:r>
      <w:r w:rsidRPr="00283058">
        <w:rPr>
          <w:rFonts w:cstheme="minorHAnsi"/>
        </w:rPr>
        <w:t xml:space="preserve">are shown in Table </w:t>
      </w:r>
      <w:r>
        <w:rPr>
          <w:rFonts w:cstheme="minorHAnsi"/>
        </w:rPr>
        <w:t xml:space="preserve">S3, while the populations </w:t>
      </w:r>
      <w:r>
        <w:t>which changed significantly</w:t>
      </w:r>
      <w:r>
        <w:rPr>
          <w:b/>
        </w:rPr>
        <w:t xml:space="preserve"> </w:t>
      </w:r>
      <w:r>
        <w:t>compared with the negative control</w:t>
      </w:r>
      <w:r>
        <w:rPr>
          <w:rFonts w:cstheme="minorHAnsi"/>
        </w:rPr>
        <w:t xml:space="preserve"> (Total bacteria, </w:t>
      </w:r>
      <w:r w:rsidRPr="007B5AF2">
        <w:rPr>
          <w:rFonts w:cstheme="minorHAnsi"/>
          <w:i/>
        </w:rPr>
        <w:t>Bifidobacterium</w:t>
      </w:r>
      <w:r>
        <w:rPr>
          <w:rFonts w:cstheme="minorHAnsi"/>
        </w:rPr>
        <w:t xml:space="preserve">, </w:t>
      </w:r>
      <w:r w:rsidRPr="00A41263">
        <w:rPr>
          <w:rFonts w:cstheme="minorHAnsi"/>
          <w:i/>
        </w:rPr>
        <w:t>Clostridium coccoides/Eubacte</w:t>
      </w:r>
      <w:r>
        <w:rPr>
          <w:rFonts w:cstheme="minorHAnsi"/>
          <w:i/>
        </w:rPr>
        <w:t>r</w:t>
      </w:r>
      <w:r w:rsidRPr="00A41263">
        <w:rPr>
          <w:rFonts w:cstheme="minorHAnsi"/>
          <w:i/>
        </w:rPr>
        <w:t>ium rectale</w:t>
      </w:r>
      <w:r>
        <w:rPr>
          <w:rFonts w:cstheme="minorHAnsi"/>
          <w:i/>
        </w:rPr>
        <w:t xml:space="preserve"> </w:t>
      </w:r>
      <w:r w:rsidRPr="00BE7165">
        <w:rPr>
          <w:rFonts w:cstheme="minorHAnsi"/>
        </w:rPr>
        <w:t>and</w:t>
      </w:r>
      <w:r>
        <w:rPr>
          <w:rFonts w:cstheme="minorHAnsi"/>
          <w:i/>
        </w:rPr>
        <w:t xml:space="preserve"> Roseburia</w:t>
      </w:r>
      <w:r>
        <w:rPr>
          <w:rFonts w:cstheme="minorHAnsi"/>
        </w:rPr>
        <w:t xml:space="preserve">) are shown in Figure 2.  </w:t>
      </w:r>
      <w:r w:rsidRPr="00DF163F">
        <w:t xml:space="preserve">AX, </w:t>
      </w:r>
      <w:r w:rsidRPr="00DF163F">
        <w:rPr>
          <w:rFonts w:eastAsia="Times New Roman"/>
          <w:bCs/>
          <w:color w:val="000000"/>
        </w:rPr>
        <w:t>AX: β-glucan (3:1</w:t>
      </w:r>
      <w:r>
        <w:t>) and</w:t>
      </w:r>
      <w:r w:rsidRPr="00DF163F">
        <w:t xml:space="preserve"> </w:t>
      </w:r>
      <w:r w:rsidRPr="00DF163F">
        <w:rPr>
          <w:rFonts w:eastAsia="Times New Roman"/>
          <w:bCs/>
          <w:color w:val="000000"/>
        </w:rPr>
        <w:t>AX: β-glucan (1:1</w:t>
      </w:r>
      <w:r w:rsidRPr="00DF163F">
        <w:t>)</w:t>
      </w:r>
      <w:r>
        <w:t xml:space="preserve"> had significant (P&lt;0.05) bifidogenic effects between 8-24h while the same three substrates gave significant increases </w:t>
      </w:r>
      <w:r w:rsidRPr="00222F38">
        <w:rPr>
          <w:i/>
        </w:rPr>
        <w:t>Clostridium</w:t>
      </w:r>
      <w:r w:rsidRPr="00A41263">
        <w:rPr>
          <w:rFonts w:cstheme="minorHAnsi"/>
          <w:i/>
        </w:rPr>
        <w:t xml:space="preserve"> coccoides/Eubacteium rectale</w:t>
      </w:r>
      <w:r>
        <w:rPr>
          <w:rFonts w:cstheme="minorHAnsi"/>
        </w:rPr>
        <w:t xml:space="preserve"> </w:t>
      </w:r>
      <w:r>
        <w:t xml:space="preserve">compared to the negative control (p&lt;0.05) after 24h. The populations of </w:t>
      </w:r>
      <w:r w:rsidRPr="0022444A">
        <w:rPr>
          <w:i/>
        </w:rPr>
        <w:t>Roseburia</w:t>
      </w:r>
      <w:r>
        <w:t xml:space="preserve"> populations also increased significantly compared to the negative control (p&lt;0.05) with fermentation of AX and </w:t>
      </w:r>
      <w:r w:rsidRPr="00DF163F">
        <w:rPr>
          <w:rFonts w:eastAsia="Times New Roman"/>
          <w:bCs/>
          <w:color w:val="000000"/>
        </w:rPr>
        <w:t>AX: β-glucan (3:1</w:t>
      </w:r>
      <w:r>
        <w:t>) after 24h. Total bacterial populations included genera that were not specifically targeted with fluorescent probes, AX and</w:t>
      </w:r>
      <w:r w:rsidRPr="00DF163F">
        <w:t xml:space="preserve"> </w:t>
      </w:r>
      <w:r w:rsidRPr="00DF163F">
        <w:rPr>
          <w:rFonts w:eastAsia="Times New Roman"/>
          <w:bCs/>
          <w:color w:val="000000"/>
        </w:rPr>
        <w:t>AX: β-glucan (1:1</w:t>
      </w:r>
      <w:r w:rsidRPr="00DF163F">
        <w:t>)</w:t>
      </w:r>
      <w:r>
        <w:t xml:space="preserve"> showed significant (P&lt;0.05) increases in total bacteria after 24h, however </w:t>
      </w:r>
      <w:r w:rsidRPr="00DF163F">
        <w:rPr>
          <w:rFonts w:eastAsia="Times New Roman"/>
          <w:bCs/>
          <w:color w:val="000000"/>
        </w:rPr>
        <w:t>AX: β-glucan (3:1</w:t>
      </w:r>
      <w:r>
        <w:t>) demonstrated earlier increases between 8-24h.</w:t>
      </w:r>
    </w:p>
    <w:p w14:paraId="2B88D4A8" w14:textId="77777777" w:rsidR="001D6D4B" w:rsidRPr="003F0933" w:rsidRDefault="001D6D4B" w:rsidP="001D6D4B">
      <w:pPr>
        <w:spacing w:line="480" w:lineRule="auto"/>
        <w:jc w:val="center"/>
        <w:rPr>
          <w:rFonts w:asciiTheme="majorHAnsi" w:hAnsiTheme="majorHAnsi"/>
          <w:b/>
        </w:rPr>
      </w:pPr>
      <w:r w:rsidRPr="003F0933">
        <w:rPr>
          <w:rFonts w:asciiTheme="majorHAnsi" w:hAnsiTheme="majorHAnsi"/>
          <w:b/>
        </w:rPr>
        <w:t>Discussion</w:t>
      </w:r>
    </w:p>
    <w:p w14:paraId="3B52F1D8" w14:textId="77777777" w:rsidR="001D6D4B" w:rsidRDefault="001D6D4B" w:rsidP="001D6D4B">
      <w:pPr>
        <w:spacing w:line="480" w:lineRule="auto"/>
        <w:jc w:val="both"/>
      </w:pPr>
      <w:r>
        <w:t xml:space="preserve">This study aimed </w:t>
      </w:r>
      <w:r w:rsidRPr="000C0633">
        <w:t xml:space="preserve">to determine </w:t>
      </w:r>
      <w:r w:rsidRPr="002216B8">
        <w:rPr>
          <w:rFonts w:cstheme="minorHAnsi"/>
        </w:rPr>
        <w:t>the</w:t>
      </w:r>
      <w:r>
        <w:rPr>
          <w:rFonts w:cstheme="minorHAnsi"/>
        </w:rPr>
        <w:t xml:space="preserve"> prebiotic activity of AX and β-glucan in combination and in different ratios in order to determine the optimal ratio of AX: β-glucan for the highest prebiotic activity.</w:t>
      </w:r>
    </w:p>
    <w:p w14:paraId="7814C9E0" w14:textId="0D666B7D" w:rsidR="001D6D4B" w:rsidRPr="00AE4892" w:rsidRDefault="001D6D4B" w:rsidP="001D6D4B">
      <w:pPr>
        <w:spacing w:line="480" w:lineRule="auto"/>
        <w:jc w:val="both"/>
        <w:rPr>
          <w:rFonts w:cstheme="minorHAnsi"/>
        </w:rPr>
      </w:pPr>
      <w:r>
        <w:t xml:space="preserve">A prebiotic is defined </w:t>
      </w:r>
      <w:r w:rsidRPr="00FD0717">
        <w:rPr>
          <w:rFonts w:cstheme="minorHAnsi"/>
        </w:rPr>
        <w:t>as a substrate that is selectively utilized by host microorganisms conferring a healt</w:t>
      </w:r>
      <w:r>
        <w:rPr>
          <w:rFonts w:cstheme="minorHAnsi"/>
        </w:rPr>
        <w:t>h benefit</w:t>
      </w:r>
      <w:r>
        <w:rPr>
          <w:rFonts w:cstheme="minorHAnsi"/>
        </w:rPr>
        <w:fldChar w:fldCharType="begin"/>
      </w:r>
      <w:r w:rsidR="0089195C">
        <w:rPr>
          <w:rFonts w:cstheme="minorHAnsi"/>
        </w:rPr>
        <w:instrText xml:space="preserve"> ADDIN ZOTERO_ITEM CSL_CITATION {"citationID":"WQkyWhM1","properties":{"formattedCitation":"(Gibson et al., 2017)","plainCitation":"(Gibson et al., 2017)","noteIndex":0},"citationItems":[{"id":196,"uris":["http://zotero.org/users/local/FP9beGI8/items/5GJFLYDQ"],"uri":["http://zotero.org/users/local/FP9beGI8/items/5GJFLYDQ"],"itemData":{"id":196,"type":"article-journal","title":"Expert consensus document: The International Scientific Association for Probiotics and Prebiotics (ISAPP) consensus statement on the definition and scope of prebiotics","container-title":"Nature Reviews Gastroenterology &amp; Hepatology","page":"491-502","volume":"14","issue":"8","source":"www.nature.com","abstract":"In December 2016, a panel of experts in microbiology, nutrition and clinical research was convened by the International Scientific Association for Probiotics and Prebiotics to review the definition and scope of prebiotics. Consistent with the original embodiment of prebiotics, but aware of the latest scientific and clinical developments, the panel updated the definition of a prebiotic: a substrate that is selectively utilized by host microorganisms conferring a health benefit. This definition expands the concept of prebiotics to possibly include non-carbohydrate substances, applications to body sites other than the gastrointestinal tract, and diverse categories other than food. The requirement for selective microbiota-mediated mechanisms was retained. Beneficial health effects must be documented for a substance to be considered a prebiotic. The consensus definition applies also to prebiotics for use by animals, in which microbiota-focused strategies to maintain health and prevent disease is as relevant as for humans. Ultimately, the goal of this Consensus Statement is to engender appropriate use of the term 'prebiotic' by relevant stakeholders so that consistency and clarity can be achieved in research reports, product marketing and regulatory oversight of the category. To this end, we have reviewed several aspects of prebiotic science including its development, health benefits and legislation.","DOI":"10.1038/nrgastro.2017.75","ISSN":"1759-5053","title-short":"Expert consensus document","language":"en","author":[{"family":"Gibson","given":"Glenn R."},{"family":"Hutkins","given":"Robert"},{"family":"Sanders","given":"Mary Ellen"},{"family":"Prescott","given":"Susan L."},{"family":"Reimer","given":"Raylene A."},{"family":"Salminen","given":"Seppo J."},{"family":"Scott","given":"Karen"},{"family":"Stanton","given":"Catherine"},{"family":"Swanson","given":"Kelly S."},{"family":"Cani","given":"Patrice D."},{"family":"Verbeke","given":"Kristin"},{"family":"Reid","given":"Gregor"}],"issued":{"date-parts":[["2017",8]]}}}],"schema":"https://github.com/citation-style-language/schema/raw/master/csl-citation.json"} </w:instrText>
      </w:r>
      <w:r>
        <w:rPr>
          <w:rFonts w:cstheme="minorHAnsi"/>
        </w:rPr>
        <w:fldChar w:fldCharType="separate"/>
      </w:r>
      <w:r w:rsidR="0089195C" w:rsidRPr="0089195C">
        <w:rPr>
          <w:rFonts w:ascii="Calibri" w:hAnsi="Calibri"/>
        </w:rPr>
        <w:t>(Gibson et al., 2017)</w:t>
      </w:r>
      <w:r>
        <w:rPr>
          <w:rFonts w:cstheme="minorHAnsi"/>
        </w:rPr>
        <w:fldChar w:fldCharType="end"/>
      </w:r>
      <w:r>
        <w:rPr>
          <w:rFonts w:cstheme="minorHAnsi"/>
        </w:rPr>
        <w:t xml:space="preserve"> and the two major types of dietary fibre present in cereal grains have been shown to have prebiotic activity:  wheat </w:t>
      </w:r>
      <w:r>
        <w:t>AX</w:t>
      </w:r>
      <w:r>
        <w:fldChar w:fldCharType="begin"/>
      </w:r>
      <w:r w:rsidR="0089195C">
        <w:instrText xml:space="preserve"> ADDIN ZOTERO_ITEM CSL_CITATION {"citationID":"TATr9r7s","properties":{"formattedCitation":"(Grootaert et al., 2009; Hughes et al., 2007; Van Craeyveld et al., 2008)","plainCitation":"(Grootaert et al., 2009; Hughes et al., 2007; Van Craeyveld et al., 2008)","noteIndex":0},"citationItems":[{"id":210,"uris":["http://zotero.org/users/local/FP9beGI8/items/65IU2U69"],"uri":["http://zotero.org/users/local/FP9beGI8/items/65IU2U69"],"itemData":{"id":210,"type":"article-journal","title":"In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A."}],"issued":{"date-parts":[["2007",5]]}}},{"id":183,"uris":["http://zotero.org/users/local/FP9beGI8/items/8PFPGR35"],"uri":["http://zotero.org/users/local/FP9beGI8/items/8PFPGR35"],"itemData":{"id":183,"type":"article-journal","title":"Comparison of prebiotic effects of arabinoxylan oligosaccharides and inulin in a simulator of the human intestinal microbial ecosystem","container-title":"FEMS Microbiology Ecology","page":"231-242","volume":"69","issue":"2","source":"academic.oup.com","abstract":"Abstract.  In this study, the prebiotic potential of arabinoxylan oligosaccharides (AXOS) was compared with inulin in two simulators of the human intestinal mic","DOI":"10.1111/j.1574-6941.2009.00712.x","ISSN":"0168-6496","journalAbbreviation":"FEMS Microbiol Ecol","language":"en","author":[{"family":"Grootaert","given":"Charlotte"},{"family":"Van den Abbeele","given":"Pieter"},{"family":"Marzorati","given":"Massimo"},{"family":"Broekaert","given":"Willem F."},{"family":"Courtin","given":"Christophe M."},{"family":"Delcour","given":"Jan A."},{"family":"Verstraete","given":"Willy"},{"family":"Van de Wiele","given":"Tom"}],"issued":{"date-parts":[["2009",8,1]]}}},{"id":261,"uris":["http://zotero.org/users/local/FP9beGI8/items/92D3F5HJ"],"uri":["http://zotero.org/users/local/FP9beGI8/items/92D3F5HJ"],"itemData":{"id":261,"type":"article-journal","title":"Structurally Different Wheat-Derived Arabinoxylooligosaccharides Have Different Prebiotic and Fermentation Properties in Rats","container-title":"The Journal of Nutrition","page":"2348-2355","volume":"138","issue":"12","source":"academic.oup.com","abstract":"Abstract.  To evaluate the prebiotic potential and intestinal fermentation products of wheat bran-derived arabinoxylooligosaccharides (AXOS) in relation to thei","DOI":"10.3945/jn.108.094367","ISSN":"0022-3166","journalAbbreviation":"J Nutr","language":"en","author":[{"family":"Van Craeyveld","given":"Valerie"},{"family":"Swennen","given":"Katrien"},{"family":"Dornez","given":"Emmie"},{"family":"Van de Wiele","given":"Tom"},{"family":"Marzorati","given":"Massimo"},{"family":"Verstraete","given":"Willy"},{"family":"Delaedt","given":"Yasmine"},{"family":"Onagbesan","given":"Okanlawon"},{"family":"Decuypere","given":"Eddy"},{"family":"Buyse","given":"Johan"},{"family":"De Ketelaere","given":"Bart"},{"family":"Broekaert","given":"Willem F."},{"family":"Delcour","given":"Jan A."},{"family":"Courtin","given":"Christophe M."}],"issued":{"date-parts":[["2008",12,1]]}}}],"schema":"https://github.com/citation-style-language/schema/raw/master/csl-citation.json"} </w:instrText>
      </w:r>
      <w:r>
        <w:fldChar w:fldCharType="separate"/>
      </w:r>
      <w:r w:rsidR="0089195C" w:rsidRPr="0089195C">
        <w:rPr>
          <w:rFonts w:ascii="Calibri" w:hAnsi="Calibri"/>
        </w:rPr>
        <w:t>(Grootaert et al., 2009; Hughes et al., 2007; Van Craeyveld et al., 2008)</w:t>
      </w:r>
      <w:r>
        <w:fldChar w:fldCharType="end"/>
      </w:r>
      <w:r>
        <w:t xml:space="preserve"> and barley β-glucan</w:t>
      </w:r>
      <w:r>
        <w:fldChar w:fldCharType="begin"/>
      </w:r>
      <w:r w:rsidR="0089195C">
        <w:instrText xml:space="preserve"> ADDIN ZOTERO_ITEM CSL_CITATION {"citationID":"3BQnKfLD","properties":{"formattedCitation":"(Hughes et al., 2008; Wang et al., 2016)","plainCitation":"(Hughes et al., 2008; Wang et al., 2016)","noteIndex":0},"citationItems":[{"id":69,"uris":["http://zotero.org/users/local/FP9beGI8/items/JZYIYXNW"],"uri":["http://zotero.org/users/local/FP9beGI8/items/JZYIYXNW"],"itemData":{"id":69,"type":"article-journal","title":"In vitro fermentation of oat and barley derived β-glucans by human faecal microbiota: In vitro fermentation of cereal β-glucans","container-title":"FEMS Microbiology Ecology","page":"482-493","volume":"64","issue":"3","source":"Crossref","abstract":"Fermentation of b-glucan fractions from barley [average molecular mass (MM), of 243, 172, and 137 kDa] and oats (average MM of 230 and 150 kDa) by the human faecal microbiota was investigated. Fractions were supplemented to pH-controlled anaerobic batch culture fermenters inoculated with human faecal samples from three donors, in triplicate, for each substrate. Microbiota changes were monitored by ﬂuorescent in situ hybridization; groups enumerated were: Biﬁdobacterium genus, Bacteroides and Prevotella group, Clostridium histolyticum subgroup, Ruminococcus–Eubacterium–Clostridium (REC) cluster, Lactobacillus–Enterococcus group, Atopobium cluster, and clostridial cluster IX. Short-chain fatty acids and lactic acid were measured by HPLC. The C. histolyticum subgroup increased signiﬁcantly in all vessels and clostridial cluster IX maintained high populations with all fractions. The Bacteroides–Prevotella group increased with all but the 243kDa barley and 230-kDa oat substrates. In general b-glucans displayed no apparent prebiotic potential. The SCFA proﬁle (51 : 32 : 17; acetate : propionate : butyrate) was considered propionate-rich. In a further study a b-glucan oligosaccharide fraction was produced with a degree of polymerization of 3–4. This fraction was supplemented to small-scale faecal batch cultures and gave signiﬁcant increases in the Lactobacillus–Enterococcus group; however, the prebiotic potential of this fraction was marginal compared with that of inulin.","DOI":"10.1111/j.1574-6941.2008.00478.x","ISSN":"01686496, 15746941","title-short":"In vitro fermentation of oat and barley derived β-glucans by human faecal microbiota","language":"en","author":[{"family":"Hughes","given":"Simon A."},{"family":"Shewry","given":"Peter R."},{"family":"Gibson","given":"Glenn R."},{"family":"McCleary","given":"Barry V."},{"family":"Rastall","given":"Robert A."}],"issued":{"date-parts":[["2008",4,21]]}}},{"id":271,"uris":["http://zotero.org/users/local/FP9beGI8/items/LHT2TU4F"],"uri":["http://zotero.org/users/local/FP9beGI8/items/LHT2TU4F"],"itemData":{"id":271,"type":"article-journal","title":"High Molecular Weight Barley β-Glucan Alters Gut Microbiota Toward Reduced Cardiovascular Disease Risk","container-title":"Frontiers in Microbiology","volume":"7","source":"Frontiers","abstract":"The physiological cholesterol-lowering benefits of β-glucan have been well documented, however, whether modulation of gut microbiota by β-glucan is associated with these physiological effects remains unknown. The objectives of this study were therefore to determine the impact of β-glucan on the composition of gut microbiota in mildly hypercholesterolemic individuals and to identify if the altered microbiota are associated with bioactivity of β-glucan in improving risk factors of cardiovascular disease (CVD). Using a randomized, controlled crossover study design, individuals received for 5-week either a treatment breakfast containing 3g high molecular weight (HMW), 3g low molecular weight (LMW), 5g LMW barley β-glucan or wheat and rice (WR). The American Heart Association (AHA) diet served as the background diet for all treatment groups. Phases were separated by 4-week washout periods. Fecal samples were collected at the end of each intervention phase and subjected to Illumina sequencing of 16S rRNA genes. Results revealed that at the phylum level, supplementation of 3g/d HMW β-glucan increased Bacteroidetes and decreased Firmicutes abundances compared to control (P &lt; 0.001). At the genus level, consumption of 3g/d HMW β-glucan increased Bacteroides (P &lt; 0.003), tended to increase Prevotella (P &lt; 0.1) but decreased Dorea (P &lt; 0.1), whereas diets containing 5g LMW β-glucan and 3g LMW β-glucan failed to alter the gut microbiota composition. Bacteroides, Prevotella, and Dorea composition correlated (P &lt; 0.05) with shifts of CVD risk factors, including body mass index, waist circumference, blood pressure, as well as triglyceride levels. Our data suggest that consumption of HMW β-glucan favourably alters the composition of the gut microbiota and this altered microbiota profile associates with a reduction of CVD risk markers. Together, our study suggests that β-glucan induced shifts in gut microbiota in a MW-dependent manner and that might be one of the underlying mechanisms responsible for the physiological benefits of β-glucan.","URL":"https://www.frontiersin.org/articles/10.3389/fmicb.2016.00129/full","DOI":"10.3389/fmicb.2016.00129","ISSN":"1664-302X","journalAbbreviation":"Front. Microbiol.","language":"English","author":[{"family":"Wang","given":"Yanan"},{"family":"Ames","given":"Nancy P."},{"family":"Tun","given":"Hein M."},{"family":"Tosh","given":"Susan M."},{"family":"Jones","given":"Peter J."},{"family":"Khafipour","given":"Ehsan"}],"issued":{"date-parts":[["2016"]]},"accessed":{"date-parts":[["2019",1,22]]}}}],"schema":"https://github.com/citation-style-language/schema/raw/master/csl-citation.json"} </w:instrText>
      </w:r>
      <w:r>
        <w:fldChar w:fldCharType="separate"/>
      </w:r>
      <w:r w:rsidR="0089195C" w:rsidRPr="0089195C">
        <w:rPr>
          <w:rFonts w:ascii="Calibri" w:hAnsi="Calibri"/>
        </w:rPr>
        <w:t>(Hughes et al., 2008; Wang et al., 2016)</w:t>
      </w:r>
      <w:r>
        <w:fldChar w:fldCharType="end"/>
      </w:r>
      <w:r w:rsidRPr="0052422D">
        <w:t>.</w:t>
      </w:r>
    </w:p>
    <w:p w14:paraId="5091917B" w14:textId="5EC94C08" w:rsidR="001D6D4B" w:rsidRPr="003407C1" w:rsidRDefault="001D6D4B" w:rsidP="001D6D4B">
      <w:pPr>
        <w:spacing w:line="480" w:lineRule="auto"/>
        <w:jc w:val="both"/>
        <w:rPr>
          <w:highlight w:val="lightGray"/>
        </w:rPr>
      </w:pPr>
      <w:r w:rsidRPr="006E6A43">
        <w:t xml:space="preserve">Short-chain fatty acids (SCFA) are volatile fatty acids consisting of a straight-chain aliphatic tail of fewer than six carbon atoms and are produced by oligosaccharide fermentation concomitant with increase in beneficial bacteria including </w:t>
      </w:r>
      <w:r w:rsidRPr="006E6A43">
        <w:rPr>
          <w:i/>
        </w:rPr>
        <w:t>Bifidobacterium</w:t>
      </w:r>
      <w:r>
        <w:rPr>
          <w:i/>
        </w:rPr>
        <w:t xml:space="preserve">. </w:t>
      </w:r>
      <w:r>
        <w:t>Their production is therefore used to measure prebiotic activity together with beneficial changes in the microbiota</w:t>
      </w:r>
      <w:r w:rsidRPr="006E6A43">
        <w:t xml:space="preserve">. The principal SCFAs </w:t>
      </w:r>
      <w:r>
        <w:t xml:space="preserve">produced </w:t>
      </w:r>
      <w:r w:rsidRPr="006E6A43">
        <w:t>are acet</w:t>
      </w:r>
      <w:r>
        <w:t>ate, propionate and butyrate</w:t>
      </w:r>
      <w:r w:rsidRPr="006E6A43">
        <w:t xml:space="preserve"> </w:t>
      </w:r>
      <w:r>
        <w:t>(</w:t>
      </w:r>
      <w:r w:rsidRPr="006E6A43">
        <w:t>comprising 95%</w:t>
      </w:r>
      <w:r>
        <w:t xml:space="preserve"> of the total)</w:t>
      </w:r>
      <w:r>
        <w:fldChar w:fldCharType="begin"/>
      </w:r>
      <w:r w:rsidR="0089195C">
        <w:instrText xml:space="preserve"> ADDIN ZOTERO_ITEM CSL_CITATION {"citationID":"9rSt14rp","properties":{"formattedCitation":"(Cummings et al., 1987)","plainCitation":"(Cummings et al., 1987)","noteIndex":0},"citationItems":[{"id":294,"uris":["http://zotero.org/users/local/FP9beGI8/items/EEG7LE8R"],"uri":["http://zotero.org/users/local/FP9beGI8/items/EEG7LE8R"],"itemData":{"id":294,"type":"article-journal","title":"Short chain fatty acids in human large intestine, portal, hepatic and venous blood.","container-title":"Gut","page":"1221-1227","volume":"28","issue":"10","source":"gut.bmj.com","abstract":"Evidence for the occurrence of microbial breakdown of carbohydrate in the human colon has been sought by measuring short chain fatty acid (SCFA) concentrations in the contents of all regions of the large intestine and in portal, hepatic and peripheral venous blood obtained at autopsy of sudden death victims within four hours of death. Total SCFA concentration (mmol/kg) was low in the terminal ileum at 13 +/- 6 but high in all regions of the colon ranging from 131 +/- 9 in the caecum to 80 +/- 11 in the descending colon. The presence of branched chain fatty acids was also noted. A significant trend from high to low concentrations was found on passing distally from caecum to descending colon. pH also changed with region from 5.6 +/- 0.2 in the caecum to 6.6 +/- 0.1 in the descending colon. pH and SCFA concentrations were inversely related. Total SCFA (mumol/l) in blood was, portal 375 +/- 70, hepatic 148 +/- 42 and peripheral 79 +/- 22. In all samples acetate was the principal anion but molar ratios of the three principal SCFA changed on going from colonic contents to portal blood to hepatic vein indicating greater uptake of butyrate by the colonic epithelium and propionate by the liver. These data indicate that substantial carbohydrate, and possibly protein, fermentation is occurring in the human large intestine, principally in the caecum and ascending colon and that the large bowel may have a greater role to play in digestion than has previously been ascribed to it.","DOI":"10.1136/gut.28.10.1221","ISSN":"0017-5749, 1468-3288","note":"PMID: 3678950","language":"en","author":[{"family":"Cummings","given":"J. H."},{"family":"Pomare","given":"E. W."},{"family":"Branch","given":"W. J."},{"family":"Naylor","given":"C. P."},{"family":"Macfarlane","given":"G. T."}],"issued":{"date-parts":[["1987",10,1]]}}}],"schema":"https://github.com/citation-style-language/schema/raw/master/csl-citation.json"} </w:instrText>
      </w:r>
      <w:r>
        <w:fldChar w:fldCharType="separate"/>
      </w:r>
      <w:r w:rsidR="0089195C" w:rsidRPr="0089195C">
        <w:rPr>
          <w:rFonts w:ascii="Calibri" w:hAnsi="Calibri"/>
        </w:rPr>
        <w:t>(Cummings et al., 1987)</w:t>
      </w:r>
      <w:r>
        <w:fldChar w:fldCharType="end"/>
      </w:r>
      <w:r w:rsidRPr="006E6A43">
        <w:t xml:space="preserve"> and are metabolized by the colonic epithelium (butyrate), liver (propionate) and muscle (acetate)</w:t>
      </w:r>
      <w:r>
        <w:fldChar w:fldCharType="begin"/>
      </w:r>
      <w:r w:rsidR="0089195C">
        <w:instrText xml:space="preserve"> ADDIN ZOTERO_ITEM CSL_CITATION {"citationID":"MDkPhjUm","properties":{"formattedCitation":"(Cummings and Macfarlane, 1997)","plainCitation":"(Cummings and Macfarlane, 1997)","noteIndex":0},"citationItems":[{"id":298,"uris":["http://zotero.org/users/local/FP9beGI8/items/U9XPHWWC"],"uri":["http://zotero.org/users/local/FP9beGI8/items/U9XPHWWC"],"itemData":{"id":298,"type":"article-journal","title":"Collaborative JPEN-Clinical Nutrition Scientific Publications Role of intestinal bacteria in nutrient metabolism","container-title":"Journal of Parenteral and Enteral Nutrition","page":"357-365","volume":"21","issue":"6","source":"Wiley Online Library","abstract":"The human large intestine contains a microbiota, the components of which are generically complex and metabolically diverse. Its primary function is to salvage energy from carbohydrate not digested in the upper gut. This is achieved through fermentation and absorption of the major products, short chain fatty acids (SCFA), which represent 40–50% of the available energy of the carbohydrate. The principal SCFA, acetate, propionate and butyrate, are metabolized by the colonic epithelium (butyrate), liver (propionate) and muscle (acetate). Intestinal bacteria also have a role in the synthesis of vitamins B and K and the metabolism of bile acids, other sterols and xenobiotics. The colonic microflora are also responsive to diet. In the presence of fermentable carbohydrate substrates such as non-starch polysaccharides, resistant starch and oligosaccharides, bacteria grow and actively synthesize protein. The amount of protein synthesis and turnover within the large intestine is difficult to determine, but around 15 g biomass is excreted in faeces each day containing 1 g bacterial-N. Whether bacterially synthesized amino acids are ever absorbed from the colon remains unclear. Finally, individual colonic micro-organisms such as sulphate-reducing bacteria, bifidobacteria and clostridia, respond selectively to specific dietary components in a way that may be important to health.","DOI":"10.1177/0148607197021006357","ISSN":"1941-2444","language":"en","author":[{"family":"Cummings","given":"J. H."},{"family":"Macfarlane","given":"G. T."}],"issued":{"date-parts":[["1997"]]}}}],"schema":"https://github.com/citation-style-language/schema/raw/master/csl-citation.json"} </w:instrText>
      </w:r>
      <w:r>
        <w:fldChar w:fldCharType="separate"/>
      </w:r>
      <w:r w:rsidR="0089195C" w:rsidRPr="0089195C">
        <w:rPr>
          <w:rFonts w:ascii="Calibri" w:hAnsi="Calibri"/>
        </w:rPr>
        <w:t>(Cummings and Macfarlane, 1997)</w:t>
      </w:r>
      <w:r>
        <w:fldChar w:fldCharType="end"/>
      </w:r>
      <w:r>
        <w:t xml:space="preserve">. </w:t>
      </w:r>
      <w:r>
        <w:rPr>
          <w:color w:val="000000"/>
          <w:shd w:val="clear" w:color="auto" w:fill="FFFFFF"/>
        </w:rPr>
        <w:t>Relatively little is known about the role of formate in the gut, however it has been linked to methanogenesis and appears to be elevated in inflammatory conditions</w:t>
      </w:r>
      <w:r>
        <w:rPr>
          <w:color w:val="000000"/>
          <w:shd w:val="clear" w:color="auto" w:fill="FFFFFF"/>
        </w:rPr>
        <w:fldChar w:fldCharType="begin"/>
      </w:r>
      <w:r w:rsidR="0089195C">
        <w:rPr>
          <w:color w:val="000000"/>
          <w:shd w:val="clear" w:color="auto" w:fill="FFFFFF"/>
        </w:rPr>
        <w:instrText xml:space="preserve"> ADDIN ZOTERO_ITEM CSL_CITATION {"citationID":"ilNZkhaj","properties":{"formattedCitation":"(Bereswill et al., 2011; Vanderhaeghen et al., 2015)","plainCitation":"(Bereswill et al., 2011; Vanderhaeghen et al., 2015)","noteIndex":0},"citationItems":[{"id":264,"uris":["http://zotero.org/users/local/FP9beGI8/items/AK6FH88M"],"uri":["http://zotero.org/users/local/FP9beGI8/items/AK6FH88M"],"itemData":{"id":264,"type":"article-journal","title":"Methanogen communities in stools of humans of different age and health status and co-occurrence with bacteria","container-title":"FEMS Microbiology Letters","volume":"362","issue":"13","source":"academic.oup.com","abstract":"Methanomassiliicoccales occur frequently and are temporarily persistent in stools of adult humans.","URL":"https://academic.oup.com/femsle/article/362/13/fnv092/511749","DOI":"10.1093/femsle/fnv092","ISSN":"0378-1097","journalAbbreviation":"FEMS Microbiol Lett","language":"en","author":[{"family":"Vanderhaeghen","given":"Sonja"},{"family":"Lacroix","given":"Christophe"},{"family":"Schwab","given":"Clarissa"}],"issued":{"date-parts":[["2015",7,1]]},"accessed":{"date-parts":[["2019",1,22]]}}},{"id":140,"uris":["http://zotero.org/users/local/FP9beGI8/items/PTEIDH3F"],"uri":["http://zotero.org/users/local/FP9beGI8/items/PTEIDH3F"],"itemData":{"id":140,"type":"article-journal","title":"Novel murine infection models provide deep insights into the “menage a trois” of Campylobacter jejuni, microbiota and host innate immunity","container-title":"PloS one","page":"e20953","volume":"6","issue":"6","author":[{"family":"Bereswill","given":"Stefan"},{"family":"Fischer","given":"André"},{"family":"Plickert","given":"Rita"},{"family":"Haag","given":"Lea-Maxie"},{"family":"Otto","given":"Bettina"},{"family":"Kühl","given":"Anja A."},{"family":"Dashti","given":"Javid I."},{"family":"Zautner","given":"Andreas E."},{"family":"Muñoz","given":"Melba"},{"family":"Loddenkemper","given":"Christoph"}],"issued":{"date-parts":[["2011"]]}}}],"schema":"https://github.com/citation-style-language/schema/raw/master/csl-citation.json"} </w:instrText>
      </w:r>
      <w:r>
        <w:rPr>
          <w:color w:val="000000"/>
          <w:shd w:val="clear" w:color="auto" w:fill="FFFFFF"/>
        </w:rPr>
        <w:fldChar w:fldCharType="separate"/>
      </w:r>
      <w:r w:rsidR="0089195C" w:rsidRPr="0089195C">
        <w:rPr>
          <w:rFonts w:ascii="Calibri" w:hAnsi="Calibri"/>
        </w:rPr>
        <w:t>(Bereswill et al., 2011; Vanderhaeghen et al., 2015)</w:t>
      </w:r>
      <w:r>
        <w:rPr>
          <w:color w:val="000000"/>
          <w:shd w:val="clear" w:color="auto" w:fill="FFFFFF"/>
        </w:rPr>
        <w:fldChar w:fldCharType="end"/>
      </w:r>
      <w:r>
        <w:rPr>
          <w:color w:val="000000"/>
          <w:shd w:val="clear" w:color="auto" w:fill="FFFFFF"/>
        </w:rPr>
        <w:t>. </w:t>
      </w:r>
      <w:r>
        <w:t xml:space="preserve">SCFAs </w:t>
      </w:r>
      <w:r w:rsidRPr="003C6E2F">
        <w:t xml:space="preserve">have been shown to </w:t>
      </w:r>
      <w:r>
        <w:t>provide</w:t>
      </w:r>
      <w:r w:rsidRPr="003C6E2F">
        <w:t xml:space="preserve"> multiple beneficial effects for the host, for example, providing dietary energy and suppressing the growth of pathogens by decreasing the pH of the intestinal lumen</w:t>
      </w:r>
      <w:r>
        <w:fldChar w:fldCharType="begin"/>
      </w:r>
      <w:r w:rsidR="0089195C">
        <w:instrText xml:space="preserve"> ADDIN ZOTERO_ITEM CSL_CITATION {"citationID":"eXDXzTAf","properties":{"formattedCitation":"(Blaut, 2002)","plainCitation":"(Blaut, 2002)","noteIndex":0},"citationItems":[{"id":301,"uris":["http://zotero.org/users/local/FP9beGI8/items/J73YFV4Z"],"uri":["http://zotero.org/users/local/FP9beGI8/items/J73YFV4Z"],"itemData":{"id":301,"type":"article-journal","title":"Relationship of prebiotics and food to intestinal microflora","container-title":"European Journal of Nutrition","page":"i11-i16","volume":"41","issue":"1","source":"Springer Link","abstract":"Summary. Dietary carbohydrates that escape digestion in the small intestine, undergo bacterial fermentation in the colon. This process affects the microbial ecology of the gastrointestinal tract and influences gut metabolism and function. Prebiotics are non-digestible but fermentable oligosaccharides that are specifically designed to change the composition and activity of the intestinal microbiota with the prospect to promote the health of the host. Dietary fiber and non-digestible oligosaccharides are the main growth substrates of gut microorganisms. Their fermentation results in the acidification of the colonic contents and the formation of short chain fatty acids which serve as fuels in different tissues and may play a role in the regulation of cellular processes. Prebiotics specifically stimulate the growth of endogenous microbial population groups such as bifidobacteria and lactobacilli which are perceived as being beneficial to human health. In spite of the interesting nutritional properties of prebiotics it is questionable whether a wholesome diet rich in fruit and vegetables needs to be supplemented with prebiotics for optimal health effects.","DOI":"10.1007/s00394-002-1102-7","ISSN":"1436-6215","journalAbbreviation":"Eur J Nutr","language":"en","author":[{"family":"Blaut","given":"Michael"}],"issued":{"date-parts":[["2002",10,1]]}}}],"schema":"https://github.com/citation-style-language/schema/raw/master/csl-citation.json"} </w:instrText>
      </w:r>
      <w:r>
        <w:fldChar w:fldCharType="separate"/>
      </w:r>
      <w:r w:rsidR="0089195C" w:rsidRPr="0089195C">
        <w:rPr>
          <w:rFonts w:ascii="Calibri" w:hAnsi="Calibri"/>
        </w:rPr>
        <w:t>(Blaut, 2002)</w:t>
      </w:r>
      <w:r>
        <w:fldChar w:fldCharType="end"/>
      </w:r>
      <w:r w:rsidRPr="003C6E2F">
        <w:t xml:space="preserve">. </w:t>
      </w:r>
      <w:r w:rsidRPr="006E6A43">
        <w:t>The concentration of SCFAs in this study was used to measure the rate of fermentation of the substrates, with significant increases particular</w:t>
      </w:r>
      <w:r>
        <w:t>ly</w:t>
      </w:r>
      <w:r w:rsidRPr="006E6A43">
        <w:t xml:space="preserve"> apparent in the predominant SCFA, acetate, which is often utilised to produce other SCFAs, butyrate and propionate.</w:t>
      </w:r>
    </w:p>
    <w:p w14:paraId="7B87064E" w14:textId="74822B8A" w:rsidR="001D6D4B" w:rsidRDefault="001D6D4B" w:rsidP="001D6D4B">
      <w:pPr>
        <w:spacing w:line="480" w:lineRule="auto"/>
        <w:jc w:val="both"/>
      </w:pPr>
      <w:r w:rsidRPr="00DF163F">
        <w:t xml:space="preserve">Acetate </w:t>
      </w:r>
      <w:r>
        <w:t>was</w:t>
      </w:r>
      <w:r w:rsidRPr="00DF163F">
        <w:t xml:space="preserve"> the highest contributor of total SCFA for all samples. The addition of </w:t>
      </w:r>
      <w:r>
        <w:t xml:space="preserve">larger </w:t>
      </w:r>
      <w:r w:rsidRPr="00DF163F">
        <w:t>amounts of AX appears to drive the concentration towards greater acetate production</w:t>
      </w:r>
      <w:r>
        <w:t xml:space="preserve"> (</w:t>
      </w:r>
      <w:r w:rsidRPr="00B87DC3">
        <w:t>Table 1</w:t>
      </w:r>
      <w:r>
        <w:t>)</w:t>
      </w:r>
      <w:r w:rsidRPr="00DF163F">
        <w:t xml:space="preserve">, whereas greater β-glucan appears to favour propionate </w:t>
      </w:r>
      <w:r>
        <w:t xml:space="preserve">production. </w:t>
      </w:r>
      <w:r w:rsidRPr="00DF163F">
        <w:t>The highest proportion of propiona</w:t>
      </w:r>
      <w:r>
        <w:t>te is seen with</w:t>
      </w:r>
      <w:r w:rsidRPr="00DF163F">
        <w:t xml:space="preserve"> the β-glucan sample </w:t>
      </w:r>
      <w:r>
        <w:t xml:space="preserve">alone </w:t>
      </w:r>
      <w:r w:rsidRPr="00DF163F">
        <w:t>at 44.9%</w:t>
      </w:r>
      <w:r>
        <w:t xml:space="preserve"> (although this is at a significantly lower concentration than acetate). Previous </w:t>
      </w:r>
      <w:r w:rsidRPr="004A3014">
        <w:t xml:space="preserve">studies </w:t>
      </w:r>
      <w:r>
        <w:t xml:space="preserve">have shown </w:t>
      </w:r>
      <w:r w:rsidRPr="004A3014">
        <w:t>fermentation of β-glucan to favour production of propionate and fermentation of AX to encourage acetate</w:t>
      </w:r>
      <w:r>
        <w:t xml:space="preserve"> and butyrate</w:t>
      </w:r>
      <w:r>
        <w:fldChar w:fldCharType="begin"/>
      </w:r>
      <w:r w:rsidR="0089195C">
        <w:instrText xml:space="preserve"> ADDIN ZOTERO_ITEM CSL_CITATION {"citationID":"l7gIefXb","properties":{"formattedCitation":"(Hughes et al., 2007, 2008)","plainCitation":"(Hughes et al., 2007, 2008)","noteIndex":0},"citationItems":[{"id":210,"uris":["http://zotero.org/users/local/FP9beGI8/items/65IU2U69"],"uri":["http://zotero.org/users/local/FP9beGI8/items/65IU2U69"],"itemData":{"id":210,"type":"article-journal","title":"In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A."}],"issued":{"date-parts":[["2007",5]]}}},{"id":69,"uris":["http://zotero.org/users/local/FP9beGI8/items/JZYIYXNW"],"uri":["http://zotero.org/users/local/FP9beGI8/items/JZYIYXNW"],"itemData":{"id":69,"type":"article-journal","title":"In vitro fermentation of oat and barley derived β-glucans by human faecal microbiota: In vitro fermentation of cereal β-glucans","container-title":"FEMS Microbiology Ecology","page":"482-493","volume":"64","issue":"3","source":"Crossref","abstract":"Fermentation of b-glucan fractions from barley [average molecular mass (MM), of 243, 172, and 137 kDa] and oats (average MM of 230 and 150 kDa) by the human faecal microbiota was investigated. Fractions were supplemented to pH-controlled anaerobic batch culture fermenters inoculated with human faecal samples from three donors, in triplicate, for each substrate. Microbiota changes were monitored by ﬂuorescent in situ hybridization; groups enumerated were: Biﬁdobacterium genus, Bacteroides and Prevotella group, Clostridium histolyticum subgroup, Ruminococcus–Eubacterium–Clostridium (REC) cluster, Lactobacillus–Enterococcus group, Atopobium cluster, and clostridial cluster IX. Short-chain fatty acids and lactic acid were measured by HPLC. The C. histolyticum subgroup increased signiﬁcantly in all vessels and clostridial cluster IX maintained high populations with all fractions. The Bacteroides–Prevotella group increased with all but the 243kDa barley and 230-kDa oat substrates. In general b-glucans displayed no apparent prebiotic potential. The SCFA proﬁle (51 : 32 : 17; acetate : propionate : butyrate) was considered propionate-rich. In a further study a b-glucan oligosaccharide fraction was produced with a degree of polymerization of 3–4. This fraction was supplemented to small-scale faecal batch cultures and gave signiﬁcant increases in the Lactobacillus–Enterococcus group; however, the prebiotic potential of this fraction was marginal compared with that of inulin.","DOI":"10.1111/j.1574-6941.2008.00478.x","ISSN":"01686496, 15746941","title-short":"In vitro fermentation of oat and barley derived β-glucans by human faecal microbiota","language":"en","author":[{"family":"Hughes","given":"Simon A."},{"family":"Shewry","given":"Peter R."},{"family":"Gibson","given":"Glenn R."},{"family":"McCleary","given":"Barry V."},{"family":"Rastall","given":"Robert A."}],"issued":{"date-parts":[["2008",4,21]]}}}],"schema":"https://github.com/citation-style-language/schema/raw/master/csl-citation.json"} </w:instrText>
      </w:r>
      <w:r>
        <w:fldChar w:fldCharType="separate"/>
      </w:r>
      <w:r w:rsidR="0089195C" w:rsidRPr="0089195C">
        <w:rPr>
          <w:rFonts w:ascii="Calibri" w:hAnsi="Calibri"/>
        </w:rPr>
        <w:t>(Hughes et al., 2007, 2008)</w:t>
      </w:r>
      <w:r>
        <w:fldChar w:fldCharType="end"/>
      </w:r>
      <w:r>
        <w:t xml:space="preserve"> and these results corroborate these previous findings</w:t>
      </w:r>
      <w:r w:rsidRPr="004A3014">
        <w:t>.</w:t>
      </w:r>
      <w:r>
        <w:t xml:space="preserve"> </w:t>
      </w:r>
    </w:p>
    <w:p w14:paraId="0609CA63" w14:textId="1A972E83" w:rsidR="001D6D4B" w:rsidRDefault="001D6D4B" w:rsidP="001D6D4B">
      <w:pPr>
        <w:spacing w:line="480" w:lineRule="auto"/>
        <w:jc w:val="both"/>
      </w:pPr>
      <w:r w:rsidRPr="00EF70CF">
        <w:rPr>
          <w:rFonts w:cstheme="minorHAnsi"/>
        </w:rPr>
        <w:t xml:space="preserve">The bacterial genus </w:t>
      </w:r>
      <w:r w:rsidRPr="00EF70CF">
        <w:rPr>
          <w:rFonts w:cstheme="minorHAnsi"/>
          <w:i/>
        </w:rPr>
        <w:t>Bifidobacterium</w:t>
      </w:r>
      <w:r w:rsidRPr="00EF70CF">
        <w:rPr>
          <w:rFonts w:cstheme="minorHAnsi"/>
        </w:rPr>
        <w:t xml:space="preserve"> is most often targeted by prebiotics, as it is associated with multiple health benefits, including reducing the proliferation of colorectal cancer and the concentration of circulating cholesterol</w:t>
      </w:r>
      <w:r>
        <w:rPr>
          <w:rFonts w:cstheme="minorHAnsi"/>
        </w:rPr>
        <w:fldChar w:fldCharType="begin"/>
      </w:r>
      <w:r w:rsidR="0089195C">
        <w:rPr>
          <w:rFonts w:cstheme="minorHAnsi"/>
        </w:rPr>
        <w:instrText xml:space="preserve"> ADDIN ZOTERO_ITEM CSL_CITATION {"citationID":"a0vUFFZ0","properties":{"formattedCitation":"(Singh, 1997; Zanotti et al., 2015)","plainCitation":"(Singh, 1997; Zanotti et al., 2015)","noteIndex":0},"citationItems":[{"id":252,"uris":["http://zotero.org/users/local/FP9beGI8/items/R2N787D7"],"uri":["http://zotero.org/users/local/FP9beGI8/items/R2N787D7"],"itemData":{"id":252,"type":"article-journal","title":"Bifidobacterium longum, a lactic acid-producing intestinal bacterium inhibits colon cancer and modulates the intermediate biomarkers of colon carcinogenesis","container-title":"Carcinogenesis","page":"833-841","volume":"18","issue":"4","source":"Crossref","DOI":"10.1093/carcin/18.4.833","ISSN":"14602180","language":"en","author":[{"family":"Singh","given":"J"}],"issued":{"date-parts":[["1997",4,1]]}}},{"id":274,"uris":["http://zotero.org/users/local/FP9beGI8/items/U4F73EBM"],"uri":["http://zotero.org/users/local/FP9beGI8/items/U4F73EBM"],"itemData":{"id":274,"type":"article-journal","title":"Evidence for cholesterol-lowering activity by Bifidobacterium bifidum PRL2010 through gut microbiota modulation","container-title":"Applied Microbiology and Biotechnology","page":"6813-6829","volume":"99","issue":"16","source":"Crossref","DOI":"10.1007/s00253-015-6564-7","ISSN":"0175-7598, 1432-0614","language":"en","author":[{"family":"Zanotti","given":"Ilaria"},{"family":"Turroni","given":"Francesca"},{"family":"Piemontese","given":"Antonio"},{"family":"Mancabelli","given":"Leonardo"},{"family":"Milani","given":"Christian"},{"family":"Viappiani","given":"Alice"},{"family":"Prevedini","given":"Gilda"},{"family":"Sanchez","given":"Borja"},{"family":"Margolles","given":"Abelardo"},{"family":"Elviri","given":"Lisa"},{"family":"Franco","given":"Bernini"},{"family":"Sinderen","given":"Douwe","non-dropping-particle":"van"},{"family":"Ventura","given":"Marco"}],"issued":{"date-parts":[["2015",8]]}}}],"schema":"https://github.com/citation-style-language/schema/raw/master/csl-citation.json"} </w:instrText>
      </w:r>
      <w:r>
        <w:rPr>
          <w:rFonts w:cstheme="minorHAnsi"/>
        </w:rPr>
        <w:fldChar w:fldCharType="separate"/>
      </w:r>
      <w:r w:rsidR="0089195C" w:rsidRPr="0089195C">
        <w:rPr>
          <w:rFonts w:ascii="Calibri" w:hAnsi="Calibri"/>
        </w:rPr>
        <w:t>(Singh, 1997; Zanotti et al., 2015)</w:t>
      </w:r>
      <w:r>
        <w:rPr>
          <w:rFonts w:cstheme="minorHAnsi"/>
        </w:rPr>
        <w:fldChar w:fldCharType="end"/>
      </w:r>
      <w:r w:rsidRPr="00EF70CF">
        <w:rPr>
          <w:rFonts w:cstheme="minorHAnsi"/>
        </w:rPr>
        <w:t>.</w:t>
      </w:r>
      <w:r>
        <w:rPr>
          <w:rFonts w:cstheme="minorHAnsi"/>
        </w:rPr>
        <w:t xml:space="preserve"> </w:t>
      </w:r>
      <w:r>
        <w:t xml:space="preserve">Increases in </w:t>
      </w:r>
      <w:r w:rsidRPr="00D75EF2">
        <w:rPr>
          <w:i/>
        </w:rPr>
        <w:t>Bifidobacterium</w:t>
      </w:r>
      <w:r>
        <w:t xml:space="preserve"> populations were observed with</w:t>
      </w:r>
      <w:r w:rsidRPr="00DF163F">
        <w:t xml:space="preserve"> the samples</w:t>
      </w:r>
      <w:r>
        <w:t xml:space="preserve"> </w:t>
      </w:r>
      <w:r w:rsidRPr="00DF163F">
        <w:t xml:space="preserve">AX, </w:t>
      </w:r>
      <w:r w:rsidRPr="00DF163F">
        <w:rPr>
          <w:rFonts w:eastAsia="Times New Roman"/>
          <w:bCs/>
          <w:color w:val="000000"/>
        </w:rPr>
        <w:t>AX: β-glucan (3:1</w:t>
      </w:r>
      <w:r w:rsidRPr="00DF163F">
        <w:t xml:space="preserve">), </w:t>
      </w:r>
      <w:r w:rsidRPr="00DF163F">
        <w:rPr>
          <w:rFonts w:eastAsia="Times New Roman"/>
          <w:bCs/>
          <w:color w:val="000000"/>
        </w:rPr>
        <w:t>AX: β-glucan (1:1</w:t>
      </w:r>
      <w:r w:rsidRPr="00DF163F">
        <w:t>) and FOS</w:t>
      </w:r>
      <w:r>
        <w:t xml:space="preserve"> (the positive control)</w:t>
      </w:r>
      <w:r w:rsidRPr="00DF163F">
        <w:t xml:space="preserve">. </w:t>
      </w:r>
      <w:r>
        <w:t>O</w:t>
      </w:r>
      <w:r w:rsidRPr="00DF163F">
        <w:t>nly</w:t>
      </w:r>
      <w:r>
        <w:t xml:space="preserve"> FOS and the samples</w:t>
      </w:r>
      <w:r w:rsidRPr="00DF163F">
        <w:t xml:space="preserve"> containing AX at</w:t>
      </w:r>
      <w:r>
        <w:t xml:space="preserve"> a concentration of </w:t>
      </w:r>
      <w:r w:rsidRPr="00DF163F">
        <w:t>least 50% showed</w:t>
      </w:r>
      <w:r>
        <w:t xml:space="preserve"> an increase</w:t>
      </w:r>
      <w:r w:rsidRPr="00DF163F">
        <w:t xml:space="preserve"> </w:t>
      </w:r>
      <w:r>
        <w:t xml:space="preserve">in bifidobacteria, demonstrating a </w:t>
      </w:r>
      <w:r w:rsidRPr="00DF163F">
        <w:t>bifidogenic effect for AX but not β-glucan</w:t>
      </w:r>
      <w:r>
        <w:t xml:space="preserve"> </w:t>
      </w:r>
      <w:r w:rsidRPr="00DF163F">
        <w:t>and support</w:t>
      </w:r>
      <w:r>
        <w:t>ing</w:t>
      </w:r>
      <w:r w:rsidRPr="00DF163F">
        <w:t xml:space="preserve"> previous studies wh</w:t>
      </w:r>
      <w:r>
        <w:t>ich showed that</w:t>
      </w:r>
      <w:r w:rsidRPr="00DF163F">
        <w:t xml:space="preserve"> </w:t>
      </w:r>
      <w:r>
        <w:t xml:space="preserve">fermentation of </w:t>
      </w:r>
      <w:r w:rsidRPr="00DF163F">
        <w:t>oat and barley β-glucans</w:t>
      </w:r>
      <w:r>
        <w:t xml:space="preserve"> had no effect on </w:t>
      </w:r>
      <w:r w:rsidRPr="00D75EF2">
        <w:rPr>
          <w:i/>
        </w:rPr>
        <w:t>Bifidobacterium</w:t>
      </w:r>
      <w:r>
        <w:t xml:space="preserve"> populations, whilst AX</w:t>
      </w:r>
      <w:r w:rsidRPr="00DF163F">
        <w:t xml:space="preserve"> </w:t>
      </w:r>
      <w:r>
        <w:t xml:space="preserve">fermentation </w:t>
      </w:r>
      <w:r w:rsidRPr="00DF163F">
        <w:t>result</w:t>
      </w:r>
      <w:r>
        <w:t>ed in</w:t>
      </w:r>
      <w:r w:rsidRPr="00DF163F">
        <w:t xml:space="preserve"> increase</w:t>
      </w:r>
      <w:r>
        <w:t xml:space="preserve">s in </w:t>
      </w:r>
      <w:r w:rsidRPr="007B5AF2">
        <w:rPr>
          <w:i/>
        </w:rPr>
        <w:t>Bifidobacterium</w:t>
      </w:r>
      <w:r w:rsidRPr="00DF163F">
        <w:t xml:space="preserve"> </w:t>
      </w:r>
      <w:r>
        <w:t>populations</w:t>
      </w:r>
      <w:r>
        <w:fldChar w:fldCharType="begin"/>
      </w:r>
      <w:r w:rsidR="0089195C">
        <w:instrText xml:space="preserve"> ADDIN ZOTERO_ITEM CSL_CITATION {"citationID":"2wPETvrd","properties":{"formattedCitation":"(Hughes et al., 2007, 2008; Kim and White, 2009)","plainCitation":"(Hughes et al., 2007, 2008; Kim and White, 2009)","noteIndex":0},"citationItems":[{"id":210,"uris":["http://zotero.org/users/local/FP9beGI8/items/65IU2U69"],"uri":["http://zotero.org/users/local/FP9beGI8/items/65IU2U69"],"itemData":{"id":210,"type":"article-journal","title":"In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A."}],"issued":{"date-parts":[["2007",5]]}}},{"id":69,"uris":["http://zotero.org/users/local/FP9beGI8/items/JZYIYXNW"],"uri":["http://zotero.org/users/local/FP9beGI8/items/JZYIYXNW"],"itemData":{"id":69,"type":"article-journal","title":"In vitro fermentation of oat and barley derived β-glucans by human faecal microbiota: In vitro fermentation of cereal β-glucans","container-title":"FEMS Microbiology Ecology","page":"482-493","volume":"64","issue":"3","source":"Crossref","abstract":"Fermentation of b-glucan fractions from barley [average molecular mass (MM), of 243, 172, and 137 kDa] and oats (average MM of 230 and 150 kDa) by the human faecal microbiota was investigated. Fractions were supplemented to pH-controlled anaerobic batch culture fermenters inoculated with human faecal samples from three donors, in triplicate, for each substrate. Microbiota changes were monitored by ﬂuorescent in situ hybridization; groups enumerated were: Biﬁdobacterium genus, Bacteroides and Prevotella group, Clostridium histolyticum subgroup, Ruminococcus–Eubacterium–Clostridium (REC) cluster, Lactobacillus–Enterococcus group, Atopobium cluster, and clostridial cluster IX. Short-chain fatty acids and lactic acid were measured by HPLC. The C. histolyticum subgroup increased signiﬁcantly in all vessels and clostridial cluster IX maintained high populations with all fractions. The Bacteroides–Prevotella group increased with all but the 243kDa barley and 230-kDa oat substrates. In general b-glucans displayed no apparent prebiotic potential. The SCFA proﬁle (51 : 32 : 17; acetate : propionate : butyrate) was considered propionate-rich. In a further study a b-glucan oligosaccharide fraction was produced with a degree of polymerization of 3–4. This fraction was supplemented to small-scale faecal batch cultures and gave signiﬁcant increases in the Lactobacillus–Enterococcus group; however, the prebiotic potential of this fraction was marginal compared with that of inulin.","DOI":"10.1111/j.1574-6941.2008.00478.x","ISSN":"01686496, 15746941","title-short":"In vitro fermentation of oat and barley derived β-glucans by human faecal microbiota","language":"en","author":[{"family":"Hughes","given":"Simon A."},{"family":"Shewry","given":"Peter R."},{"family":"Gibson","given":"Glenn R."},{"family":"McCleary","given":"Barry V."},{"family":"Rastall","given":"Robert A."}],"issued":{"date-parts":[["2008",4,21]]}}},{"id":214,"uris":["http://zotero.org/users/local/FP9beGI8/items/WKM5K5NF"],"uri":["http://zotero.org/users/local/FP9beGI8/items/WKM5K5NF"],"itemData":{"id":214,"type":"article-journal","title":"In Vitro Fermentation of Oat Flours from Typical and High β-Glucan Oat Lines","container-title":"Journal of Agricultural and Food Chemistry","page":"7529-7536","volume":"57","issue":"16","source":"ACS Publications","abstract":"Two publicly available oat (Avena sativa) lines, “Jim” and “Paul” (5.17 and 5.31% β-glucan, respectively), and one experimental oat line “N979” (7.70% β-glucan), were used to study the effect of β-glucan levels in oat flours during simulated in vitro digestion and fermentation with human fecal flora obtained from different individuals. The oat flours were digested by using human digestion enzymes and fermented by batch fermentation under anaerobic conditions for 24 h. The fermentation progress was monitored by measuring pH, total gas, and short-chain fatty acid (SCFA) production. Significant effects of β-glucan on the formation of gas and total SCFA were observed compared to the blank without substrate (P &lt; 0.05); however, there were no differences in pH changes, total gas, and total SCFA production among oat lines (P &gt; 0.05). Acetate, propionate, and butyrate were the main SCFA produced from digested oat flours during fermentation. More propionate and less acetate were produced from digested oat flours compared to lactulose. Different human fecal floras obtained from three healthy individuals had similar patterns in the change of pH and the production of gas during fermentation. Total SCFA after 24 h of fermentation were not different, but the formation rates of total SCFA differed between individuals. In vitro fermentation of digested oat flours with β-glucan could provide favorable environmental conditions for the colon and these findings, thus, will help in developing oat-based food products with desirable health benefits.","DOI":"10.1021/jf900788c","ISSN":"0021-8561","journalAbbreviation":"J. Agric. Food Chem.","author":[{"family":"Kim","given":"Hyun Jung"},{"family":"White","given":"Pamela J."}],"issued":{"date-parts":[["2009",8,26]]}}}],"schema":"https://github.com/citation-style-language/schema/raw/master/csl-citation.json"} </w:instrText>
      </w:r>
      <w:r>
        <w:fldChar w:fldCharType="separate"/>
      </w:r>
      <w:r w:rsidR="0089195C" w:rsidRPr="0089195C">
        <w:rPr>
          <w:rFonts w:ascii="Calibri" w:hAnsi="Calibri"/>
        </w:rPr>
        <w:t>(Hughes et al., 2007, 2008; Kim and White, 2009)</w:t>
      </w:r>
      <w:r>
        <w:fldChar w:fldCharType="end"/>
      </w:r>
      <w:r w:rsidRPr="00DF163F">
        <w:t xml:space="preserve">. </w:t>
      </w:r>
      <w:r>
        <w:t>Concomitant increases in acetate were observed in all samples, which is consistent with the established role of b</w:t>
      </w:r>
      <w:r w:rsidRPr="00DF163F">
        <w:t xml:space="preserve">ifidobacteria </w:t>
      </w:r>
      <w:r>
        <w:t>in acetate production</w:t>
      </w:r>
      <w:r>
        <w:fldChar w:fldCharType="begin"/>
      </w:r>
      <w:r w:rsidR="0089195C">
        <w:instrText xml:space="preserve"> ADDIN ZOTERO_ITEM CSL_CITATION {"citationID":"aYdlAQvk","properties":{"formattedCitation":"(Bindels et al., 2015; Fukuda et al., 2011)","plainCitation":"(Bindels et al., 2015; Fukuda et al., 2011)","noteIndex":0},"citationItems":[{"id":165,"uris":["http://zotero.org/users/local/FP9beGI8/items/RTURL3T9"],"uri":["http://zotero.org/users/local/FP9beGI8/items/RTURL3T9"],"itemData":{"id":165,"type":"article-journal","title":"Bifidobacteria can protect from enteropathogenic infection through production of acetate","container-title":"Nature","page":"543-547","volume":"469","issue":"7331","source":"www.nature.com","abstract":"The human gut is colonized with a wide variety of microorganisms, including species, such as those belonging to the bacterial genus Bifidobacterium, that have beneficial effects on human physiology and pathology1,2,3. Among the most distinctive benefits of bifidobacteria are modulation of host defence responses and protection against infectious diseases4,5,6. Nevertheless, the molecular mechanisms underlying these effects have barely been elucidated. To investigate these mechanisms, we used mice associated with certain bifidobacterial strains and a simplified model of lethal infection with enterohaemorrhagic Escherichia coli O157:H7, together with an integrated ‘omics’ approach. Here we show that genes encoding an ATP-binding-cassette-type carbohydrate transporter present in certain bifidobacteria contribute to protecting mice against death induced by E. coli O157:H7. We found that this effect can be attributed, at least in part, to increased production of acetate and that translocation of the E. coli O157:H7 Shiga toxin from the gut lumen to the blood was inhibited. We propose that acetate produced by protective bifidobacteria improves intestinal defence mediated by epithelial cells and thereby protects the host against lethal infection.","DOI":"10.1038/nature09646","ISSN":"1476-4687","language":"en","author":[{"family":"Fukuda","given":"Shinji"},{"family":"Toh","given":"Hidehiro"},{"family":"Hase","given":"Koji"},{"family":"Oshima","given":"Kenshiro"},{"family":"Nakanishi","given":"Yumiko"},{"family":"Yoshimura","given":"Kazutoshi"},{"family":"Tobe","given":"Toru"},{"family":"Clarke","given":"Julie M."},{"family":"Topping","given":"David L."},{"family":"Suzuki","given":"Tohru"},{"family":"Taylor","given":"Todd D."},{"family":"Itoh","given":"Kikuji"},{"family":"Kikuchi","given":"Jun"},{"family":"Morita","given":"Hidetoshi"},{"family":"Hattori","given":"Masahira"},{"family":"Ohno","given":"Hiroshi"}],"issued":{"date-parts":[["2011",1]]}}},{"id":145,"uris":["http://zotero.org/users/local/FP9beGI8/items/KY4VGQE5"],"uri":["http://zotero.org/users/local/FP9beGI8/items/KY4VGQE5"],"itemData":{"id":145,"type":"article-journal","title":"Towards a more comprehensive concept for prebiotics","container-title":"Nature Reviews Gastroenterology &amp; Hepatology","page":"303-310","volume":"12","issue":"5","source":"www.nature.com","abstract":"The essential role of the gut microbiota for health has generated tremendous interest in modulating its composition and metabolic function. One of these strategies is prebiotics, which typically refer to selectively fermented nondigestible food ingredients or substances that specifically support the growth and/or activity of health-promoting bacteria that colonize the gastrointestinal tract. In this Perspective, we argue that advances in our understanding of diet–microbiome–host interactions challenge important aspects of the current concept of prebiotics, and especially the requirement for effects to be 'selective' or 'specific'. We propose to revise this concept in an effort to shift the focus towards ecological and functional features of the microbiota more likely to be relevant for host physiology. This revision would provide a more rational basis for the identification of prebiotic compounds, and a framework by which the therapeutic potential of modulating the gut microbiota could be more fully materialized.","DOI":"10.1038/nrgastro.2015.47","ISSN":"1759-5053","language":"en","author":[{"family":"Bindels","given":"Laure B."},{"family":"Delzenne","given":"Nathalie M."},{"family":"Cani","given":"Patrice D."},{"family":"Walter","given":"Jens"}],"issued":{"date-parts":[["2015",5]]}}}],"schema":"https://github.com/citation-style-language/schema/raw/master/csl-citation.json"} </w:instrText>
      </w:r>
      <w:r>
        <w:fldChar w:fldCharType="separate"/>
      </w:r>
      <w:r w:rsidR="0089195C" w:rsidRPr="0089195C">
        <w:rPr>
          <w:rFonts w:ascii="Calibri" w:hAnsi="Calibri"/>
        </w:rPr>
        <w:t>(Bindels et al., 2015; Fukuda et al., 2011)</w:t>
      </w:r>
      <w:r>
        <w:fldChar w:fldCharType="end"/>
      </w:r>
      <w:r>
        <w:t xml:space="preserve">. </w:t>
      </w:r>
    </w:p>
    <w:p w14:paraId="40A5E8BE" w14:textId="488F03F9" w:rsidR="001D6D4B" w:rsidRDefault="001D6D4B" w:rsidP="001D6D4B">
      <w:pPr>
        <w:spacing w:line="480" w:lineRule="auto"/>
        <w:jc w:val="both"/>
      </w:pPr>
      <w:r w:rsidRPr="00EF70CF">
        <w:rPr>
          <w:rFonts w:cstheme="minorHAnsi"/>
        </w:rPr>
        <w:t>The structures of fermentable carbohydrates, including the degree of polymerisation (DP) and molecular weight</w:t>
      </w:r>
      <w:r>
        <w:rPr>
          <w:rFonts w:cstheme="minorHAnsi"/>
        </w:rPr>
        <w:t>,</w:t>
      </w:r>
      <w:r w:rsidRPr="00EF70CF">
        <w:rPr>
          <w:rFonts w:cstheme="minorHAnsi"/>
        </w:rPr>
        <w:t xml:space="preserve"> have previously been shown to affect the rate of fermentation</w:t>
      </w:r>
      <w:r>
        <w:rPr>
          <w:rFonts w:cstheme="minorHAnsi"/>
        </w:rPr>
        <w:fldChar w:fldCharType="begin"/>
      </w:r>
      <w:r w:rsidR="0089195C">
        <w:rPr>
          <w:rFonts w:cstheme="minorHAnsi"/>
        </w:rPr>
        <w:instrText xml:space="preserve"> ADDIN ZOTERO_ITEM CSL_CITATION {"citationID":"FgpRMrj9","properties":{"formattedCitation":"(Hughes et al., 2007)","plainCitation":"(Hughes et al., 2007)","noteIndex":0},"citationItems":[{"id":210,"uris":["http://zotero.org/users/local/FP9beGI8/items/65IU2U69"],"uri":["http://zotero.org/users/local/FP9beGI8/items/65IU2U69"],"itemData":{"id":210,"type":"article-journal","title":"In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A."}],"issued":{"date-parts":[["2007",5]]}}}],"schema":"https://github.com/citation-style-language/schema/raw/master/csl-citation.json"} </w:instrText>
      </w:r>
      <w:r>
        <w:rPr>
          <w:rFonts w:cstheme="minorHAnsi"/>
        </w:rPr>
        <w:fldChar w:fldCharType="separate"/>
      </w:r>
      <w:r w:rsidR="0089195C" w:rsidRPr="0089195C">
        <w:rPr>
          <w:rFonts w:ascii="Calibri" w:hAnsi="Calibri"/>
        </w:rPr>
        <w:t>(Hughes et al., 2007)</w:t>
      </w:r>
      <w:r>
        <w:rPr>
          <w:rFonts w:cstheme="minorHAnsi"/>
        </w:rPr>
        <w:fldChar w:fldCharType="end"/>
      </w:r>
      <w:r w:rsidRPr="0030516C">
        <w:rPr>
          <w:rFonts w:cstheme="minorHAnsi"/>
        </w:rPr>
        <w:t xml:space="preserve">and FOS </w:t>
      </w:r>
      <w:r w:rsidRPr="0030516C">
        <w:t xml:space="preserve">is thought to be rapidly fermented due to its </w:t>
      </w:r>
      <w:r>
        <w:t>low DP</w:t>
      </w:r>
      <w:r>
        <w:fldChar w:fldCharType="begin"/>
      </w:r>
      <w:r w:rsidR="0089195C">
        <w:instrText xml:space="preserve"> ADDIN ZOTERO_ITEM CSL_CITATION {"citationID":"1pJAapFU","properties":{"formattedCitation":"(Stewart et al., 2008)","plainCitation":"(Stewart et al., 2008)","noteIndex":0},"citationItems":[{"id":255,"uris":["http://zotero.org/users/local/FP9beGI8/items/4QNR7YZF"],"uri":["http://zotero.org/users/local/FP9beGI8/items/4QNR7YZF"],"itemData":{"id":255,"type":"article-journal","title":"Fructooligosaccharides exhibit more rapid fermentation than long-chain inulin in an in vitro fermentation system","container-title":"Nutrition Research","page":"329-334","volume":"28","issue":"5","source":"ScienceDirect","abstract":"This study investigated how chain length affects fermentation properties of fructooligosaccharides (FOSs) and inulin (IN). Chain lengths of FOSs and IN vary from an average degree of polymerization (DP) of 3 to greater than 20. Three samples classified as FOSs (samples A, B, and C) and 3 samples classified as IN (samples D, E, and F) were fermented via an in vitro batch method with human fecal inoculum as the source of microbes. Samples were removed at 0, 4, 8, 12, and 24 hours for total short-chain fatty acid (SCFA), acetate, propionate, and butyrate measurement via gas chromatography. Sample chain length did not affect SCFA concentrations in a predictable manner. Sample E (90%-94% DP &gt; 10, 6%-10% DP = 1-2), a mixture of long-chain IN and short-chain FOS, produced significantly more total SCFA and acetate than the other samples. Sample F (DP &gt; 20), the longest-chain IN, produced the lowest concentration of butyrate at 24 hours. The rate of FOS fermentation was higher than IN fermentation during 0 to 4 hours for all SCFAs, and the rate of IN fermentation was higher than FOS fermentation during 12 to 24 hours for all SCFAs. Chain length affects in vitro fermentability, with short chains being rapidly fermented and long chains being steadily fermented. Clinical studies should follow this work to verify if these differences exist in vivo.","DOI":"10.1016/j.nutres.2008.02.014","ISSN":"0271-5317","journalAbbreviation":"Nutrition Research","author":[{"family":"Stewart","given":"Maria L."},{"family":"Timm","given":"Derek A."},{"family":"Slavin","given":"Joanne L."}],"issued":{"date-parts":[["2008",5,1]]}}}],"schema":"https://github.com/citation-style-language/schema/raw/master/csl-citation.json"} </w:instrText>
      </w:r>
      <w:r>
        <w:fldChar w:fldCharType="separate"/>
      </w:r>
      <w:r w:rsidR="0089195C" w:rsidRPr="0089195C">
        <w:rPr>
          <w:rFonts w:ascii="Calibri" w:hAnsi="Calibri"/>
        </w:rPr>
        <w:t>(Stewart et al., 2008)</w:t>
      </w:r>
      <w:r>
        <w:fldChar w:fldCharType="end"/>
      </w:r>
      <w:r>
        <w:t xml:space="preserve">.  </w:t>
      </w:r>
      <w:r w:rsidRPr="0030516C">
        <w:t xml:space="preserve">In this study, the </w:t>
      </w:r>
      <w:r>
        <w:t>molecular masses</w:t>
      </w:r>
      <w:r w:rsidRPr="0030516C">
        <w:t xml:space="preserve"> of the AX (323Kd) </w:t>
      </w:r>
      <w:r>
        <w:t xml:space="preserve">and </w:t>
      </w:r>
      <w:r w:rsidRPr="00DF163F">
        <w:t>β-g</w:t>
      </w:r>
      <w:r>
        <w:t>lucan (491Kd) were</w:t>
      </w:r>
      <w:r w:rsidRPr="0030516C">
        <w:t xml:space="preserve"> much greater than that of FOS (DP 2-8). </w:t>
      </w:r>
      <w:r>
        <w:t>The l</w:t>
      </w:r>
      <w:r w:rsidRPr="0030516C">
        <w:rPr>
          <w:rFonts w:cs="Helvetica"/>
          <w:color w:val="000000"/>
          <w:shd w:val="clear" w:color="auto" w:fill="FFFFFF"/>
        </w:rPr>
        <w:t>onger polysaccharides</w:t>
      </w:r>
      <w:r>
        <w:rPr>
          <w:rFonts w:cs="Helvetica"/>
          <w:color w:val="000000"/>
          <w:shd w:val="clear" w:color="auto" w:fill="FFFFFF"/>
        </w:rPr>
        <w:t xml:space="preserve"> in AX and </w:t>
      </w:r>
      <w:r w:rsidRPr="00DF163F">
        <w:t>β-g</w:t>
      </w:r>
      <w:r>
        <w:t>lucan</w:t>
      </w:r>
      <w:r w:rsidRPr="0030516C">
        <w:rPr>
          <w:rFonts w:cs="Helvetica"/>
          <w:color w:val="000000"/>
          <w:shd w:val="clear" w:color="auto" w:fill="FFFFFF"/>
        </w:rPr>
        <w:t xml:space="preserve"> </w:t>
      </w:r>
      <w:r>
        <w:rPr>
          <w:rFonts w:cs="Helvetica"/>
          <w:color w:val="000000"/>
          <w:shd w:val="clear" w:color="auto" w:fill="FFFFFF"/>
        </w:rPr>
        <w:t xml:space="preserve">contain </w:t>
      </w:r>
      <w:r w:rsidRPr="0030516C">
        <w:rPr>
          <w:rFonts w:cs="Helvetica"/>
          <w:color w:val="000000"/>
          <w:shd w:val="clear" w:color="auto" w:fill="FFFFFF"/>
        </w:rPr>
        <w:t>fewer non</w:t>
      </w:r>
      <w:r>
        <w:rPr>
          <w:rFonts w:cs="Helvetica"/>
          <w:color w:val="000000"/>
          <w:shd w:val="clear" w:color="auto" w:fill="FFFFFF"/>
        </w:rPr>
        <w:t>-</w:t>
      </w:r>
      <w:r w:rsidRPr="0030516C">
        <w:rPr>
          <w:rFonts w:cs="Helvetica"/>
          <w:color w:val="000000"/>
          <w:shd w:val="clear" w:color="auto" w:fill="FFFFFF"/>
        </w:rPr>
        <w:t>reducing ends per unit mass than FOS, providing less substrate for hydrolysis by bacterial enzymes</w:t>
      </w:r>
      <w:r>
        <w:rPr>
          <w:rFonts w:cs="Helvetica"/>
          <w:color w:val="000000"/>
          <w:shd w:val="clear" w:color="auto" w:fill="FFFFFF"/>
        </w:rPr>
        <w:t xml:space="preserve">. However, a </w:t>
      </w:r>
      <w:r>
        <w:t xml:space="preserve">slower </w:t>
      </w:r>
      <w:r w:rsidRPr="0030516C">
        <w:t>rate of fermentation cou</w:t>
      </w:r>
      <w:r>
        <w:t xml:space="preserve">ld be beneficial </w:t>
      </w:r>
      <w:r w:rsidRPr="0030516C">
        <w:t>slow</w:t>
      </w:r>
      <w:r>
        <w:t>-fermenting prebiotic may be able to reach</w:t>
      </w:r>
      <w:r w:rsidRPr="0030516C">
        <w:t xml:space="preserve"> </w:t>
      </w:r>
      <w:r>
        <w:t xml:space="preserve">the </w:t>
      </w:r>
      <w:r w:rsidRPr="0030516C">
        <w:t>more distal regions of the colon, where the fermentable carbohydrate levels are much lower,</w:t>
      </w:r>
      <w:r>
        <w:t xml:space="preserve"> and fermentation of proteins is more prevalent, and therefore have a greater impact on colonic health</w:t>
      </w:r>
      <w:r>
        <w:fldChar w:fldCharType="begin"/>
      </w:r>
      <w:r w:rsidR="0089195C">
        <w:instrText xml:space="preserve"> ADDIN ZOTERO_ITEM CSL_CITATION {"citationID":"d0hkbtdQ","properties":{"formattedCitation":"(Govers et al., 1999; Grootaert et al., 2009)","plainCitation":"(Govers et al., 1999; Grootaert et al., 2009)","noteIndex":0},"citationItems":[{"id":183,"uris":["http://zotero.org/users/local/FP9beGI8/items/8PFPGR35"],"uri":["http://zotero.org/users/local/FP9beGI8/items/8PFPGR35"],"itemData":{"id":183,"type":"article-journal","title":"Comparison of prebiotic effects of arabinoxylan oligosaccharides and inulin in a simulator of the human intestinal microbial ecosystem","container-title":"FEMS Microbiology Ecology","page":"231-242","volume":"69","issue":"2","source":"academic.oup.com","abstract":"Abstract.  In this study, the prebiotic potential of arabinoxylan oligosaccharides (AXOS) was compared with inulin in two simulators of the human intestinal mic","DOI":"10.1111/j.1574-6941.2009.00712.x","ISSN":"0168-6496","journalAbbreviation":"FEMS Microbiol Ecol","language":"en","author":[{"family":"Grootaert","given":"Charlotte"},{"family":"Van den Abbeele","given":"Pieter"},{"family":"Marzorati","given":"Massimo"},{"family":"Broekaert","given":"Willem F."},{"family":"Courtin","given":"Christophe M."},{"family":"Delcour","given":"Jan A."},{"family":"Verstraete","given":"Willy"},{"family":"Van de Wiele","given":"Tom"}],"issued":{"date-parts":[["2009",8,1]]}}},{"id":179,"uris":["http://zotero.org/users/local/FP9beGI8/items/B6UHNKVQ"],"uri":["http://zotero.org/users/local/FP9beGI8/items/B6UHNKVQ"],"itemData":{"id":179,"type":"article-journal","title":"Wheat bran affects the site of fermentation of resistant starch and luminal indexes related to colon cancer risk: a study in pigs","container-title":"Gut","page":"840-847","volume":"45","issue":"6","source":"gut.bmj.com","abstract":"BACKGROUND Recent studies suggest that resistant starch (effective in producing butyrate and lowering possibly toxic ammonia) is rapidly fermented in the proximal colon; the distal colon especially would, however, benefit from these properties of resistant starch.\nAIMS To determine whether wheat bran (a rich source of insoluble non-starch polysaccharides), known to hasten gastrointestinal transit, could carry resistant starch through to the distal colon and thus shift its site of fermentation.\nMETHODS Twenty four pigs were fed four human type diets: a control diet, or control diet supplemented with resistant starch, wheat bran, or both. Intestinal contents and faeces were collected after two weeks.\nRESULTS Without wheat bran, resistant starch was rapidly fermented in the caecum and proximal colon. Supplementation with wheat bran inhibited the caecal fermentation of resistant starch, resulting in an almost twofold increase (from 12.9 (2.5) to 20.5 (2.1) g/day, p&lt;0.05) in resistant starch being fermented between the proximal colon and faeces. This resulted in higher butyrate (133%, p&lt;0.05) and lower ammonia (81%, p&lt;0.05) concentrations in the distal colonic regions.\nCONCLUSIONS Wheat bran can shift the fermentation of resistant starch further distally, thereby improving the luminal conditions in the distal colonic regions where tumours most commonly occur. Therefore, the combined consumption of resistant starch and insoluble non-starch polysaccharides may contribute to the dietary modulation of colon cancer risk.","DOI":"10.1136/gut.45.6.840","ISSN":"0017-5749, 1468-3288","note":"PMID: 10562582","title-short":"Wheat bran affects the site of fermentation of resistant starch and luminal indexes related to colon cancer risk","language":"en","author":[{"family":"Govers","given":"M. J. a. P."},{"family":"Gannon","given":"N. J."},{"family":"Dunshea","given":"F. R."},{"family":"Gibson","given":"P. R."},{"family":"Muir","given":"J. G."}],"issued":{"date-parts":[["1999",12,1]]}}}],"schema":"https://github.com/citation-style-language/schema/raw/master/csl-citation.json"} </w:instrText>
      </w:r>
      <w:r>
        <w:fldChar w:fldCharType="separate"/>
      </w:r>
      <w:r w:rsidR="0089195C" w:rsidRPr="0089195C">
        <w:rPr>
          <w:rFonts w:ascii="Calibri" w:hAnsi="Calibri"/>
        </w:rPr>
        <w:t>(Govers et al., 1999; Grootaert et al., 2009)</w:t>
      </w:r>
      <w:r>
        <w:fldChar w:fldCharType="end"/>
      </w:r>
      <w:r>
        <w:rPr>
          <w:rFonts w:cs="Helvetica"/>
          <w:color w:val="000000"/>
          <w:shd w:val="clear" w:color="auto" w:fill="FFFFFF"/>
        </w:rPr>
        <w:t xml:space="preserve">. </w:t>
      </w:r>
      <w:r w:rsidRPr="00DF163F">
        <w:t xml:space="preserve">The increase in total bacteria </w:t>
      </w:r>
      <w:r>
        <w:t xml:space="preserve">in samples </w:t>
      </w:r>
      <w:r w:rsidRPr="00DF163F">
        <w:t xml:space="preserve">with </w:t>
      </w:r>
      <w:r>
        <w:t xml:space="preserve">greater proportions </w:t>
      </w:r>
      <w:r w:rsidRPr="00DF163F">
        <w:t>of AX</w:t>
      </w:r>
      <w:r>
        <w:t xml:space="preserve"> (AX, </w:t>
      </w:r>
      <w:r w:rsidRPr="00DF163F">
        <w:t>AX: β-glucan (3:1)</w:t>
      </w:r>
      <w:r>
        <w:t>, AX: β-glucan (1:1)</w:t>
      </w:r>
      <w:r w:rsidRPr="00DF163F">
        <w:t xml:space="preserve"> </w:t>
      </w:r>
      <w:r>
        <w:t>were</w:t>
      </w:r>
      <w:r w:rsidRPr="00DF163F">
        <w:t xml:space="preserve"> more sustained than with FOS</w:t>
      </w:r>
      <w:r>
        <w:t>, peaking at</w:t>
      </w:r>
      <w:r w:rsidRPr="00DF163F">
        <w:t xml:space="preserve"> 24h </w:t>
      </w:r>
      <w:r>
        <w:t xml:space="preserve">compared to </w:t>
      </w:r>
      <w:r w:rsidRPr="00DF163F">
        <w:t>8h</w:t>
      </w:r>
      <w:r>
        <w:t xml:space="preserve"> with FOS and demonstrating greater persistence</w:t>
      </w:r>
      <w:r w:rsidRPr="00DF163F">
        <w:t>.</w:t>
      </w:r>
      <w:r>
        <w:t xml:space="preserve"> The </w:t>
      </w:r>
      <w:r w:rsidRPr="00DF163F">
        <w:t>AX: β-glucan (3:1)</w:t>
      </w:r>
      <w:r>
        <w:t xml:space="preserve"> sample showed significant increases from the negative control after 8h and continued until 24h, therefore demonstrating the most sustained fermentation.</w:t>
      </w:r>
    </w:p>
    <w:p w14:paraId="37DEA461" w14:textId="77777777" w:rsidR="001D6D4B" w:rsidRPr="006147E5" w:rsidRDefault="001D6D4B" w:rsidP="001D6D4B">
      <w:pPr>
        <w:spacing w:line="480" w:lineRule="auto"/>
        <w:jc w:val="both"/>
      </w:pPr>
      <w:r>
        <w:t>The i</w:t>
      </w:r>
      <w:r w:rsidRPr="00DF163F">
        <w:t>nc</w:t>
      </w:r>
      <w:r>
        <w:t xml:space="preserve">reases in bifidobacteria were sustained between 8-24h with AX and AX: β-glucan (3:1). The populations of </w:t>
      </w:r>
      <w:r w:rsidRPr="00AB3DF5">
        <w:rPr>
          <w:i/>
        </w:rPr>
        <w:t xml:space="preserve">Clostridium coccoides/ Eubacterium rectales </w:t>
      </w:r>
      <w:r>
        <w:t xml:space="preserve">were also highest in both the AX and </w:t>
      </w:r>
      <w:r w:rsidRPr="00DF163F">
        <w:t>AX: β-glucan (3:1)</w:t>
      </w:r>
      <w:r>
        <w:t xml:space="preserve"> samples at 24h. The increased populations of these bacterial groups at later fermentation times therefore demonstrates longer fermentation of samples containing higher levels of AX.</w:t>
      </w:r>
      <w:r w:rsidRPr="00DF163F">
        <w:t xml:space="preserve"> </w:t>
      </w:r>
    </w:p>
    <w:p w14:paraId="7354F188" w14:textId="1DB185E7" w:rsidR="001D6D4B" w:rsidRPr="00333099" w:rsidRDefault="001D6D4B" w:rsidP="001D6D4B">
      <w:pPr>
        <w:spacing w:line="480" w:lineRule="auto"/>
        <w:jc w:val="both"/>
      </w:pPr>
      <w:r>
        <w:t>Similar</w:t>
      </w:r>
      <w:r w:rsidRPr="00333099">
        <w:t xml:space="preserve"> increase</w:t>
      </w:r>
      <w:r>
        <w:t>s</w:t>
      </w:r>
      <w:r w:rsidRPr="00333099">
        <w:t xml:space="preserve"> in </w:t>
      </w:r>
      <w:r w:rsidRPr="00333099">
        <w:rPr>
          <w:i/>
        </w:rPr>
        <w:t>Bifidobacterium</w:t>
      </w:r>
      <w:r>
        <w:rPr>
          <w:i/>
        </w:rPr>
        <w:t xml:space="preserve">, </w:t>
      </w:r>
      <w:r w:rsidRPr="00AB3DF5">
        <w:rPr>
          <w:i/>
        </w:rPr>
        <w:t>Clostridium coccoides/ Eubacterium rectales</w:t>
      </w:r>
      <w:r>
        <w:rPr>
          <w:i/>
        </w:rPr>
        <w:t xml:space="preserve"> </w:t>
      </w:r>
      <w:r>
        <w:t xml:space="preserve">and </w:t>
      </w:r>
      <w:r w:rsidRPr="00333099">
        <w:rPr>
          <w:i/>
        </w:rPr>
        <w:t>Roseburia</w:t>
      </w:r>
      <w:r>
        <w:rPr>
          <w:i/>
        </w:rPr>
        <w:t xml:space="preserve"> </w:t>
      </w:r>
      <w:r w:rsidRPr="00333099">
        <w:t>populations resulted from</w:t>
      </w:r>
      <w:r>
        <w:t xml:space="preserve"> fermentation of AX alone and </w:t>
      </w:r>
      <w:r w:rsidRPr="00333099">
        <w:t>a 3:1 combination of AX and β-glucan</w:t>
      </w:r>
      <w:r>
        <w:t xml:space="preserve">, as well as similar production of SCFAs. However, samples with AX: </w:t>
      </w:r>
      <w:r w:rsidRPr="00DF163F">
        <w:t>β-glucan</w:t>
      </w:r>
      <w:r>
        <w:t xml:space="preserve"> (1:3) and</w:t>
      </w:r>
      <w:r w:rsidRPr="00DC3F4A">
        <w:t xml:space="preserve"> </w:t>
      </w:r>
      <w:r w:rsidRPr="00DF163F">
        <w:t>β-glucan</w:t>
      </w:r>
      <w:r>
        <w:t xml:space="preserve"> singly did not cause increases in beneficial bacterial groups of SCFAs </w:t>
      </w:r>
      <w:r>
        <w:rPr>
          <w:rFonts w:ascii="Calibri" w:eastAsia="Times New Roman" w:hAnsi="Calibri" w:cs="Calibri"/>
          <w:color w:val="000000"/>
        </w:rPr>
        <w:t xml:space="preserve">It has been proposed that three colonic </w:t>
      </w:r>
      <w:r w:rsidRPr="00F67863">
        <w:rPr>
          <w:rFonts w:ascii="Calibri" w:eastAsia="Times New Roman" w:hAnsi="Calibri" w:cs="Calibri"/>
          <w:i/>
          <w:color w:val="000000"/>
        </w:rPr>
        <w:t xml:space="preserve">Bacteroides </w:t>
      </w:r>
      <w:r>
        <w:rPr>
          <w:rFonts w:ascii="Calibri" w:eastAsia="Times New Roman" w:hAnsi="Calibri" w:cs="Calibri"/>
          <w:color w:val="000000"/>
        </w:rPr>
        <w:t xml:space="preserve">species: </w:t>
      </w:r>
      <w:r w:rsidRPr="00F67863">
        <w:rPr>
          <w:rFonts w:ascii="Calibri" w:eastAsia="Times New Roman" w:hAnsi="Calibri" w:cs="Calibri"/>
          <w:i/>
          <w:color w:val="000000"/>
        </w:rPr>
        <w:t xml:space="preserve">Bacteroides </w:t>
      </w:r>
      <w:r w:rsidRPr="006E509D">
        <w:rPr>
          <w:rFonts w:ascii="Calibri" w:eastAsia="Times New Roman" w:hAnsi="Calibri" w:cs="Calibri"/>
          <w:i/>
          <w:color w:val="000000"/>
        </w:rPr>
        <w:t>thetaiotaiomicron</w:t>
      </w:r>
      <w:r>
        <w:rPr>
          <w:rFonts w:ascii="Calibri" w:eastAsia="Times New Roman" w:hAnsi="Calibri" w:cs="Calibri"/>
          <w:color w:val="000000"/>
        </w:rPr>
        <w:t xml:space="preserve">, </w:t>
      </w:r>
      <w:r w:rsidRPr="00F67863">
        <w:rPr>
          <w:rFonts w:ascii="Calibri" w:eastAsia="Times New Roman" w:hAnsi="Calibri" w:cs="Calibri"/>
          <w:i/>
          <w:color w:val="000000"/>
        </w:rPr>
        <w:t xml:space="preserve">Bacteroides </w:t>
      </w:r>
      <w:r w:rsidRPr="006E509D">
        <w:rPr>
          <w:rFonts w:ascii="Calibri" w:eastAsia="Times New Roman" w:hAnsi="Calibri" w:cs="Calibri"/>
          <w:i/>
          <w:color w:val="000000"/>
        </w:rPr>
        <w:t>distasonis</w:t>
      </w:r>
      <w:r>
        <w:rPr>
          <w:rFonts w:ascii="Calibri" w:eastAsia="Times New Roman" w:hAnsi="Calibri" w:cs="Calibri"/>
          <w:color w:val="000000"/>
        </w:rPr>
        <w:t xml:space="preserve"> and </w:t>
      </w:r>
      <w:r w:rsidRPr="00F67863">
        <w:rPr>
          <w:rFonts w:ascii="Calibri" w:eastAsia="Times New Roman" w:hAnsi="Calibri" w:cs="Calibri"/>
          <w:i/>
          <w:color w:val="000000"/>
        </w:rPr>
        <w:t xml:space="preserve">Bacteroides </w:t>
      </w:r>
      <w:r w:rsidRPr="006E509D">
        <w:rPr>
          <w:rFonts w:ascii="Calibri" w:eastAsia="Times New Roman" w:hAnsi="Calibri" w:cs="Calibri"/>
          <w:i/>
          <w:color w:val="000000"/>
        </w:rPr>
        <w:t>fragilis</w:t>
      </w:r>
      <w:r>
        <w:rPr>
          <w:rFonts w:ascii="Calibri" w:eastAsia="Times New Roman" w:hAnsi="Calibri" w:cs="Calibri"/>
          <w:color w:val="000000"/>
        </w:rPr>
        <w:t xml:space="preserve"> are responsible for the majority of </w:t>
      </w:r>
      <w:r>
        <w:t xml:space="preserve">β-D-(1--&gt;3)-glucanase activity required for </w:t>
      </w:r>
      <w:r w:rsidRPr="00DF163F">
        <w:t xml:space="preserve">β-glucan </w:t>
      </w:r>
      <w:r>
        <w:t>hydrolysis</w:t>
      </w:r>
      <w:r>
        <w:fldChar w:fldCharType="begin"/>
      </w:r>
      <w:r w:rsidR="0089195C">
        <w:instrText xml:space="preserve"> ADDIN ZOTERO_ITEM CSL_CITATION {"citationID":"DyKxQIvq","properties":{"formattedCitation":"(Salyers et al.)","plainCitation":"(Salyers et al.)","noteIndex":0},"citationItems":[{"id":247,"uris":["http://zotero.org/users/local/FP9beGI8/items/SDRPP8FT"],"uri":["http://zotero.org/users/local/FP9beGI8/items/SDRPP8FT"],"itemData":{"id":247,"type":"article-journal","title":"Laminarinase (p8-Glucanase) Activity inBacteroides from the Human Colon","page":"7","source":"Zotero","language":"en","author":[{"family":"Salyers","given":"A A"},{"family":"Palmer","given":"J K"},{"family":"Wilkins","given":"T D"}]}}],"schema":"https://github.com/citation-style-language/schema/raw/master/csl-citation.json"} </w:instrText>
      </w:r>
      <w:r>
        <w:fldChar w:fldCharType="separate"/>
      </w:r>
      <w:r w:rsidR="0089195C" w:rsidRPr="0089195C">
        <w:rPr>
          <w:rFonts w:ascii="Calibri" w:hAnsi="Calibri"/>
        </w:rPr>
        <w:t>(Salyers et al.)</w:t>
      </w:r>
      <w:r>
        <w:fldChar w:fldCharType="end"/>
      </w:r>
      <w:r>
        <w:t xml:space="preserve">, however no significant increases were observed in the </w:t>
      </w:r>
      <w:r w:rsidRPr="00267D1B">
        <w:rPr>
          <w:i/>
        </w:rPr>
        <w:t>Bacteroides</w:t>
      </w:r>
      <w:r>
        <w:t xml:space="preserve"> group with any combination of substrates. These results may be explained by a low prevalence of these</w:t>
      </w:r>
      <w:r w:rsidRPr="0093404D">
        <w:rPr>
          <w:i/>
        </w:rPr>
        <w:t xml:space="preserve"> </w:t>
      </w:r>
      <w:r w:rsidRPr="00DC3F4A">
        <w:t>particular</w:t>
      </w:r>
      <w:r>
        <w:rPr>
          <w:i/>
        </w:rPr>
        <w:t xml:space="preserve"> </w:t>
      </w:r>
      <w:r w:rsidRPr="0093404D">
        <w:rPr>
          <w:i/>
        </w:rPr>
        <w:t>Bacteroides</w:t>
      </w:r>
      <w:r>
        <w:t xml:space="preserve"> species in the samples, and therefore a low level of </w:t>
      </w:r>
      <w:r w:rsidRPr="00DF163F">
        <w:t>β-</w:t>
      </w:r>
      <w:r>
        <w:t>glucan fermentation.</w:t>
      </w:r>
    </w:p>
    <w:p w14:paraId="1CC2D583" w14:textId="2FB9679E" w:rsidR="001D6D4B" w:rsidRPr="00AB3DF5" w:rsidRDefault="001D6D4B" w:rsidP="001D6D4B">
      <w:pPr>
        <w:spacing w:line="480" w:lineRule="auto"/>
        <w:jc w:val="both"/>
      </w:pPr>
      <w:r w:rsidRPr="0035232A">
        <w:rPr>
          <w:rFonts w:cstheme="minorHAnsi"/>
        </w:rPr>
        <w:t xml:space="preserve">Butyrate is produced by a range of bacteria including the </w:t>
      </w:r>
      <w:r w:rsidRPr="0035232A">
        <w:rPr>
          <w:rFonts w:cstheme="minorHAnsi"/>
          <w:i/>
        </w:rPr>
        <w:t>Clostridium, Roseburia</w:t>
      </w:r>
      <w:r w:rsidRPr="0035232A">
        <w:rPr>
          <w:rFonts w:cstheme="minorHAnsi"/>
        </w:rPr>
        <w:t xml:space="preserve"> and </w:t>
      </w:r>
      <w:r w:rsidRPr="0035232A">
        <w:rPr>
          <w:rFonts w:cstheme="minorHAnsi"/>
          <w:i/>
        </w:rPr>
        <w:t>Eubacterium</w:t>
      </w:r>
      <w:r w:rsidRPr="0035232A">
        <w:rPr>
          <w:rFonts w:cstheme="minorHAnsi"/>
        </w:rPr>
        <w:t xml:space="preserve"> genera</w:t>
      </w:r>
      <w:r>
        <w:rPr>
          <w:rFonts w:cstheme="minorHAnsi"/>
        </w:rPr>
        <w:fldChar w:fldCharType="begin"/>
      </w:r>
      <w:r w:rsidR="0089195C">
        <w:rPr>
          <w:rFonts w:cstheme="minorHAnsi"/>
        </w:rPr>
        <w:instrText xml:space="preserve"> ADDIN ZOTERO_ITEM CSL_CITATION {"citationID":"CYgTAxrn","properties":{"formattedCitation":"(Barcenilla et al., 2000; Gibson, 1999; Pryde et al., 2002)","plainCitation":"(Barcenilla et al., 2000; Gibson, 1999; Pryde et al., 2002)","noteIndex":0},"citationItems":[{"id":174,"uris":["http://zotero.org/users/local/FP9beGI8/items/NLX8LFT8"],"uri":["http://zotero.org/users/local/FP9beGI8/items/NLX8LFT8"],"itemData":{"id":174,"type":"article-journal","title":"Dietary Modulation of the Human Gut Microflora Using the Prebiotics Oligofructose and Inulin","container-title":"The Journal of Nutrition","page":"1438S-1441S","volume":"129","issue":"7","source":"academic.oup.com","abstract":"Abstract.  Although largely unproven in humans, better resistance to pathogens, reduction in blood lipids, antitumor properties, hormonal regulation and immune","DOI":"10.1093/jn/129.7.1438S","ISSN":"0022-3166","journalAbbreviation":"J Nutr","language":"en","author":[{"family":"Gibson","given":"Glenn R."}],"issued":{"date-parts":[["1999",7,1]]}}},{"id":131,"uris":["http://zotero.org/users/local/FP9beGI8/items/CT5KI9NS"],"uri":["http://zotero.org/users/local/FP9beGI8/items/CT5KI9NS"],"itemData":{"id":131,"type":"article-journal","title":"Phylogenetic Relationships of Butyrate-Producing Bacteria from the Human Gut","container-title":"Applied and Environmental Microbiology","page":"1654-1661","volume":"66","issue":"4","source":"Crossref","DOI":"10.1128/AEM.66.4.1654-1661.2000","ISSN":"0099-2240","language":"en","author":[{"family":"Barcenilla","given":"A."},{"family":"Pryde","given":"S. E."},{"family":"Martin","given":"J. C."},{"family":"Duncan","given":"S. H."},{"family":"Stewart","given":"C. S."},{"family":"Henderson","given":"C."},{"family":"Flint","given":"H. J."}],"issued":{"date-parts":[["2000",4,1]]}}},{"id":237,"uris":["http://zotero.org/users/local/FP9beGI8/items/B4EJ86YK"],"uri":["http://zotero.org/users/local/FP9beGI8/items/B4EJ86YK"],"itemData":{"id":237,"type":"article-journal","title":"The microbiology of butyrate formation in the human colon","container-title":"FEMS Microbiology Letters","page":"133-139","volume":"217","issue":"2","source":"academic.oup.com","abstract":"Abstract.  Butyrate arising from microbial fermentation is important for the energy metabolism and normal development of colonic epithelial cells and has a main","DOI":"10.1111/j.1574-6968.2002.tb11467.x","ISSN":"0378-1097","journalAbbreviation":"FEMS Microbiol Lett","language":"en","author":[{"family":"Pryde","given":"Susan E."},{"family":"Duncan","given":"Sylvia H."},{"family":"Hold","given":"Georgina L."},{"family":"Stewart","given":"Colin S."},{"family":"Flint","given":"Harry J."}],"issued":{"date-parts":[["2002",12,1]]}}}],"schema":"https://github.com/citation-style-language/schema/raw/master/csl-citation.json"} </w:instrText>
      </w:r>
      <w:r>
        <w:rPr>
          <w:rFonts w:cstheme="minorHAnsi"/>
        </w:rPr>
        <w:fldChar w:fldCharType="separate"/>
      </w:r>
      <w:r w:rsidR="0089195C" w:rsidRPr="0089195C">
        <w:rPr>
          <w:rFonts w:ascii="Calibri" w:hAnsi="Calibri"/>
        </w:rPr>
        <w:t>(Barcenilla et al., 2000; Gibson, 1999; Pryde et al., 2002)</w:t>
      </w:r>
      <w:r>
        <w:rPr>
          <w:rFonts w:cstheme="minorHAnsi"/>
        </w:rPr>
        <w:fldChar w:fldCharType="end"/>
      </w:r>
      <w:r w:rsidRPr="0035232A">
        <w:rPr>
          <w:rFonts w:cstheme="minorHAnsi"/>
        </w:rPr>
        <w:t>.</w:t>
      </w:r>
      <w:r w:rsidRPr="0035232A">
        <w:t xml:space="preserve"> </w:t>
      </w:r>
      <w:r>
        <w:t xml:space="preserve">Despite the increase in these butyrogenic bacterial populations with AX and </w:t>
      </w:r>
      <w:r w:rsidRPr="00333099">
        <w:t xml:space="preserve">AX and β-glucan </w:t>
      </w:r>
      <w:r>
        <w:t>(</w:t>
      </w:r>
      <w:r w:rsidRPr="00333099">
        <w:t>3:1</w:t>
      </w:r>
      <w:r>
        <w:t>), and a large rise in mean butyrate concentration, there were no significant concomitant increase in butyrate. However, closer inspection of the data shows that donors 1 and 3 responded to fermentation of all samples containing AX with production of butyrate, whilst butyrate production with donor 2 only responded to fermentation of FOS. Hence, the failure to observe significant increases in butyrate resulted differences between individual donors.</w:t>
      </w:r>
    </w:p>
    <w:p w14:paraId="7985B3AA" w14:textId="3409B10F" w:rsidR="001D6D4B" w:rsidRDefault="001D6D4B" w:rsidP="001D6D4B">
      <w:pPr>
        <w:spacing w:line="480" w:lineRule="auto"/>
        <w:jc w:val="both"/>
      </w:pPr>
      <w:r w:rsidRPr="004A3014">
        <w:t xml:space="preserve">The greatest increases in </w:t>
      </w:r>
      <w:r>
        <w:t xml:space="preserve">total </w:t>
      </w:r>
      <w:r w:rsidRPr="004A3014">
        <w:t xml:space="preserve">bacterial numbers were </w:t>
      </w:r>
      <w:r>
        <w:t>observed with both the AX alone and the</w:t>
      </w:r>
      <w:r w:rsidRPr="004A3014">
        <w:t xml:space="preserve"> AX: β-glucan </w:t>
      </w:r>
      <w:r>
        <w:t>(3:1) sample, w</w:t>
      </w:r>
      <w:r w:rsidRPr="004A3014">
        <w:t xml:space="preserve">hile </w:t>
      </w:r>
      <w:r>
        <w:t>no</w:t>
      </w:r>
      <w:r w:rsidRPr="004A3014">
        <w:t xml:space="preserve"> increase in bacterial numbers occurred</w:t>
      </w:r>
      <w:r>
        <w:t xml:space="preserve"> when β-glucan alone was used,</w:t>
      </w:r>
      <w:r w:rsidRPr="00DF163F">
        <w:t xml:space="preserve"> suggest</w:t>
      </w:r>
      <w:r>
        <w:t>ing</w:t>
      </w:r>
      <w:r w:rsidRPr="00DF163F">
        <w:t xml:space="preserve"> that AX is more readily used as a substrate for growth by bacteria than β-glucan. As the ratio of AX: β-glucan is greater in wheat (3:1) than barley (1:3), th</w:t>
      </w:r>
      <w:r>
        <w:t>ese</w:t>
      </w:r>
      <w:r w:rsidRPr="00DF163F">
        <w:t xml:space="preserve"> data </w:t>
      </w:r>
      <w:r>
        <w:t>supports</w:t>
      </w:r>
      <w:r w:rsidRPr="00DF163F">
        <w:t xml:space="preserve"> a </w:t>
      </w:r>
      <w:r>
        <w:t xml:space="preserve">previous </w:t>
      </w:r>
      <w:r w:rsidRPr="00DF163F">
        <w:t>study which showed that a wheat-based diet in pigs resulted in a greater increase in gut bacteria than a barley-based diet</w:t>
      </w:r>
      <w:r>
        <w:fldChar w:fldCharType="begin"/>
      </w:r>
      <w:r w:rsidR="0089195C">
        <w:instrText xml:space="preserve"> ADDIN ZOTERO_ITEM CSL_CITATION {"citationID":"coNMPi8I","properties":{"formattedCitation":"(Garry et al., 2007)","plainCitation":"(Garry et al., 2007)","noteIndex":0},"citationItems":[{"id":168,"uris":["http://zotero.org/users/local/FP9beGI8/items/G2NJA6DF"],"uri":["http://zotero.org/users/local/FP9beGI8/items/G2NJA6DF"],"itemData":{"id":168,"type":"article-journal","title":"The effect of cereal type and enzyme addition on pig performance, intestinal microflora, and ammonia and odour emissions","container-title":"animal","page":"751-757","volume":"1","issue":"5","source":"Cambridge Core","abstract":"Two 2 × 2 factorial experiments were conducted to investigate the interaction between cereal type (wheat v. barley) and exogenous enzyme supplementation (with or without) on odour and ammonia emissions (experiment 1) and growth performance (experiment 2) in grower-finisher pigs. The enzyme supplement used contained endo-1, 3 (4) - β- glucanase (EC 3.2.1.6) and endo-1, 4 - β-xylanase (E.C 3.2.1.8). The diets were formulated to contain similar levels of net energy (9.8 MJ/kg) and lysine (10.0 g/kg). The experimental treatments were as follows: (1) wheat-based diet, (2) wheat-based diet containing a β-glucanase and β-xylanase mixed enzyme supplement, (3) barley-based diet and (4) barley-based diet containing a β-glucanase and β-xylanase mixed enzyme supplement. In experiment 1, the diets were offered to the pigs for 23 days in sealed pens (eight pigs per pen) and this was repeated four times (n = 4). Odour and ammonia emissions were measured on days 9, 11, 14, 16, 21 and 23 of each replicate period. Odour samples were collected in 20-l Nalophan bags and analysed for odour concentration using an ECOMA Yes/No Olfactometer. Ammonia concentrations in the ventilation air were measured using Dräger tubes. In experiment 2, 220 pigs were group fed in mixed sex pens using single-space feeders (11 pigs per feeder, six boars and five gilts) (n = 5). There was a cereal × enzyme interaction in odour emission rates, ammonia emissions and selected microbial populations in the caecum and colon (P &lt; 0.05). The addition of an enzyme supplement to the barley-based diet increased both odour and ammonia emission, however the addition of an enzyme to the wheat-based diet decreased ammonia emission rates and had no effect on odour emission. Pigs offered the unsupplemented barley-based diet had a significantly (P &lt; 0.05) lower population of Enterobacteriaceae spp. and a higher population of Bifidobacteria spp. compared with enzyme-supplemented barley diets. However, there was no effect of enzyme supplementation in wheat-based diets. In the performance experiment, neither cereal type nor enzyme inclusion had an effect on pig performance or carcass characteristics. In conclusion, the inclusion of an enzyme mix to barley-based diets increased odour and ammonia emissions, while the addition of an enzyme mix to wheat-based diets decreased ammonia emissions.","DOI":"10.1017/S1751731107720190","ISSN":"1751-732X, 1751-7311","language":"en","author":[{"family":"Garry","given":"B. P."},{"family":"Fogarty","given":"M."},{"family":"Curran","given":"T. P."},{"family":"O'Connell","given":"M. J."},{"family":"O'Doherty","given":"J. V."}],"issued":{"date-parts":[["2007",6]]}}}],"schema":"https://github.com/citation-style-language/schema/raw/master/csl-citation.json"} </w:instrText>
      </w:r>
      <w:r>
        <w:fldChar w:fldCharType="separate"/>
      </w:r>
      <w:r w:rsidR="0089195C" w:rsidRPr="0089195C">
        <w:rPr>
          <w:rFonts w:ascii="Calibri" w:hAnsi="Calibri"/>
        </w:rPr>
        <w:t>(Garry et al., 2007)</w:t>
      </w:r>
      <w:r>
        <w:fldChar w:fldCharType="end"/>
      </w:r>
      <w:r w:rsidRPr="00DF163F">
        <w:t xml:space="preserve">. </w:t>
      </w:r>
    </w:p>
    <w:p w14:paraId="194A7FFD" w14:textId="7F55CF53" w:rsidR="001D6D4B" w:rsidRDefault="001D6D4B" w:rsidP="001D6D4B">
      <w:pPr>
        <w:spacing w:line="480" w:lineRule="auto"/>
        <w:jc w:val="both"/>
      </w:pPr>
      <w:r w:rsidRPr="00DF163F">
        <w:t>Thus, it appears that AX</w:t>
      </w:r>
      <w:r>
        <w:t xml:space="preserve"> </w:t>
      </w:r>
      <w:r w:rsidRPr="00DF163F">
        <w:t>is readily used as a substrate for fermentation</w:t>
      </w:r>
      <w:r>
        <w:t>, at a greater rate than</w:t>
      </w:r>
      <w:r w:rsidRPr="00DF163F">
        <w:t xml:space="preserve"> β-glucan</w:t>
      </w:r>
      <w:r>
        <w:t>, as previously described</w:t>
      </w:r>
      <w:r>
        <w:fldChar w:fldCharType="begin"/>
      </w:r>
      <w:r w:rsidR="0089195C">
        <w:instrText xml:space="preserve"> ADDIN ZOTERO_ITEM CSL_CITATION {"citationID":"sG3fNpGj","properties":{"formattedCitation":"(Hughes et al., 2007, 2008)","plainCitation":"(Hughes et al., 2007, 2008)","noteIndex":0},"citationItems":[{"id":210,"uris":["http://zotero.org/users/local/FP9beGI8/items/65IU2U69"],"uri":["http://zotero.org/users/local/FP9beGI8/items/65IU2U69"],"itemData":{"id":210,"type":"article-journal","title":"In Vitro Fermentation by Human Fecal Microflora of Wheat Arabinoxylans","container-title":"Journal of Agricultural and Food Chemistry","page":"4589-4595","volume":"55","issue":"11","source":"Crossref","DOI":"10.1021/jf070293g","ISSN":"0021-8561, 1520-5118","language":"en","author":[{"family":"Hughes","given":"S. A."},{"family":"Shewry","given":"P. R."},{"family":"Li","given":"L."},{"family":"Gibson","given":"G. R."},{"family":"Sanz","given":"M. L."},{"family":"Rastall","given":"R. A."}],"issued":{"date-parts":[["2007",5]]}}},{"id":69,"uris":["http://zotero.org/users/local/FP9beGI8/items/JZYIYXNW"],"uri":["http://zotero.org/users/local/FP9beGI8/items/JZYIYXNW"],"itemData":{"id":69,"type":"article-journal","title":"In vitro fermentation of oat and barley derived β-glucans by human faecal microbiota: In vitro fermentation of cereal β-glucans","container-title":"FEMS Microbiology Ecology","page":"482-493","volume":"64","issue":"3","source":"Crossref","abstract":"Fermentation of b-glucan fractions from barley [average molecular mass (MM), of 243, 172, and 137 kDa] and oats (average MM of 230 and 150 kDa) by the human faecal microbiota was investigated. Fractions were supplemented to pH-controlled anaerobic batch culture fermenters inoculated with human faecal samples from three donors, in triplicate, for each substrate. Microbiota changes were monitored by ﬂuorescent in situ hybridization; groups enumerated were: Biﬁdobacterium genus, Bacteroides and Prevotella group, Clostridium histolyticum subgroup, Ruminococcus–Eubacterium–Clostridium (REC) cluster, Lactobacillus–Enterococcus group, Atopobium cluster, and clostridial cluster IX. Short-chain fatty acids and lactic acid were measured by HPLC. The C. histolyticum subgroup increased signiﬁcantly in all vessels and clostridial cluster IX maintained high populations with all fractions. The Bacteroides–Prevotella group increased with all but the 243kDa barley and 230-kDa oat substrates. In general b-glucans displayed no apparent prebiotic potential. The SCFA proﬁle (51 : 32 : 17; acetate : propionate : butyrate) was considered propionate-rich. In a further study a b-glucan oligosaccharide fraction was produced with a degree of polymerization of 3–4. This fraction was supplemented to small-scale faecal batch cultures and gave signiﬁcant increases in the Lactobacillus–Enterococcus group; however, the prebiotic potential of this fraction was marginal compared with that of inulin.","DOI":"10.1111/j.1574-6941.2008.00478.x","ISSN":"01686496, 15746941","title-short":"In vitro fermentation of oat and barley derived β-glucans by human faecal microbiota","language":"en","author":[{"family":"Hughes","given":"Simon A."},{"family":"Shewry","given":"Peter R."},{"family":"Gibson","given":"Glenn R."},{"family":"McCleary","given":"Barry V."},{"family":"Rastall","given":"Robert A."}],"issued":{"date-parts":[["2008",4,21]]}}}],"schema":"https://github.com/citation-style-language/schema/raw/master/csl-citation.json"} </w:instrText>
      </w:r>
      <w:r>
        <w:fldChar w:fldCharType="separate"/>
      </w:r>
      <w:r w:rsidR="0089195C" w:rsidRPr="0089195C">
        <w:rPr>
          <w:rFonts w:ascii="Calibri" w:hAnsi="Calibri"/>
        </w:rPr>
        <w:t>(Hughes et al., 2007, 2008)</w:t>
      </w:r>
      <w:r>
        <w:fldChar w:fldCharType="end"/>
      </w:r>
      <w:r>
        <w:t xml:space="preserve"> </w:t>
      </w:r>
      <w:r w:rsidRPr="00DF163F">
        <w:t xml:space="preserve">and that </w:t>
      </w:r>
      <w:r>
        <w:t xml:space="preserve">total bacterial numbers, and the </w:t>
      </w:r>
      <w:r w:rsidRPr="00494646">
        <w:rPr>
          <w:i/>
        </w:rPr>
        <w:t>Bifidobacterium</w:t>
      </w:r>
      <w:r w:rsidRPr="00DF163F">
        <w:t xml:space="preserve">, </w:t>
      </w:r>
      <w:r w:rsidRPr="00DF163F">
        <w:rPr>
          <w:i/>
        </w:rPr>
        <w:t>Roseburia</w:t>
      </w:r>
      <w:r w:rsidRPr="00DF163F">
        <w:t xml:space="preserve"> and </w:t>
      </w:r>
      <w:r w:rsidRPr="00DF163F">
        <w:rPr>
          <w:i/>
          <w:szCs w:val="20"/>
        </w:rPr>
        <w:t>Clostridium coccoides- Eubacterium rectale</w:t>
      </w:r>
      <w:r>
        <w:rPr>
          <w:szCs w:val="20"/>
        </w:rPr>
        <w:t xml:space="preserve"> </w:t>
      </w:r>
      <w:r w:rsidRPr="00DF163F">
        <w:rPr>
          <w:szCs w:val="20"/>
        </w:rPr>
        <w:t>bacterial</w:t>
      </w:r>
      <w:r w:rsidRPr="00DF163F">
        <w:t xml:space="preserve"> groups show preferential growth with AX as a substrate. </w:t>
      </w:r>
      <w:r>
        <w:t xml:space="preserve">However, AX supplemented with </w:t>
      </w:r>
      <w:r w:rsidRPr="00DF163F">
        <w:t>β-glucan</w:t>
      </w:r>
      <w:r>
        <w:t xml:space="preserve"> in a ratio of 3:1 showed similar increases in </w:t>
      </w:r>
      <w:r w:rsidRPr="00494646">
        <w:t>these bacterial</w:t>
      </w:r>
      <w:r>
        <w:rPr>
          <w:i/>
        </w:rPr>
        <w:t xml:space="preserve"> </w:t>
      </w:r>
      <w:r>
        <w:t>populations and slightly greater SCFA concentrations as well as greater increases in total bacteria compared to AX alone, indicating that replacing 25% AX as a fermentable substrate with 25% β-glucan can potentially increase prebiotic activity. Any greater replacement of AX was shown to result in decreases in bacterial populations and SCFA.  W</w:t>
      </w:r>
      <w:r w:rsidRPr="000C0633">
        <w:t xml:space="preserve">heat is widely consumed </w:t>
      </w:r>
      <w:r>
        <w:t>by</w:t>
      </w:r>
      <w:r w:rsidRPr="000C0633">
        <w:t xml:space="preserve"> human</w:t>
      </w:r>
      <w:r>
        <w:t>kind</w:t>
      </w:r>
      <w:r w:rsidRPr="000C0633">
        <w:t xml:space="preserve"> for thousands of years</w:t>
      </w:r>
      <w:r>
        <w:t xml:space="preserve">. We therefore </w:t>
      </w:r>
      <w:r w:rsidRPr="000C0633">
        <w:t>hypothesised that the human gut microbiota may have co-evolved to ferment the ratio of DF polysaccharides present in wheat more efficiently than other ratios of polysaccharides. The results reported here provide support for this hypothesis as beneficial bacteria were shown to</w:t>
      </w:r>
      <w:r>
        <w:t xml:space="preserve"> </w:t>
      </w:r>
      <w:r w:rsidRPr="000C0633">
        <w:t>preferentially fermen</w:t>
      </w:r>
      <w:r>
        <w:t xml:space="preserve">t AX </w:t>
      </w:r>
      <w:r w:rsidRPr="000C0633">
        <w:t xml:space="preserve">compared to </w:t>
      </w:r>
      <w:r>
        <w:t>β</w:t>
      </w:r>
      <w:r w:rsidRPr="000C0633">
        <w:t>-glucan</w:t>
      </w:r>
      <w:r>
        <w:t xml:space="preserve"> with the preferred ratio of AX: β</w:t>
      </w:r>
      <w:r w:rsidRPr="000C0633">
        <w:t xml:space="preserve">-glucan being that present in wheat (3:1). </w:t>
      </w:r>
      <w:r w:rsidRPr="000C0633" w:rsidDel="008765A4">
        <w:t xml:space="preserve"> </w:t>
      </w:r>
    </w:p>
    <w:p w14:paraId="34C97777" w14:textId="77777777" w:rsidR="008877F6" w:rsidRDefault="008877F6" w:rsidP="001D6D4B">
      <w:pPr>
        <w:spacing w:line="480" w:lineRule="auto"/>
      </w:pPr>
    </w:p>
    <w:p w14:paraId="5A1CD0DE" w14:textId="1E8DAF7A" w:rsidR="001D6D4B" w:rsidRDefault="008877F6" w:rsidP="001D6D4B">
      <w:pPr>
        <w:spacing w:line="480" w:lineRule="auto"/>
      </w:pPr>
      <w:r w:rsidRPr="008877F6">
        <w:rPr>
          <w:b/>
        </w:rPr>
        <w:t>Supporting Information</w:t>
      </w:r>
      <w:r>
        <w:t xml:space="preserve">. Tables containing information on fluorescence in-situ hybridisation probes used in the </w:t>
      </w:r>
      <w:r w:rsidR="00EC14AF">
        <w:t>study</w:t>
      </w:r>
      <w:r>
        <w:t>. Tables containing data</w:t>
      </w:r>
      <w:r w:rsidR="00EC14AF">
        <w:t xml:space="preserve"> points</w:t>
      </w:r>
      <w:r>
        <w:t xml:space="preserve"> for SCFA concentrations</w:t>
      </w:r>
      <w:r w:rsidR="00EC14AF">
        <w:t xml:space="preserve"> </w:t>
      </w:r>
      <w:r>
        <w:t>a</w:t>
      </w:r>
      <w:r w:rsidR="00EC14AF">
        <w:t>n</w:t>
      </w:r>
      <w:r>
        <w:t>d bacterial populations afte</w:t>
      </w:r>
      <w:r w:rsidR="00EC14AF">
        <w:t>r fermentation experiments.</w:t>
      </w:r>
      <w:r w:rsidR="001D6D4B">
        <w:br w:type="page"/>
      </w:r>
    </w:p>
    <w:p w14:paraId="1E85CB30" w14:textId="0EA7BAB5" w:rsidR="001D6D4B" w:rsidRPr="00EA5D05" w:rsidRDefault="003E6F94" w:rsidP="00EA5D05">
      <w:pPr>
        <w:rPr>
          <w:b/>
        </w:rPr>
      </w:pPr>
      <w:r>
        <w:rPr>
          <w:b/>
          <w:shd w:val="clear" w:color="auto" w:fill="FFFFFF"/>
        </w:rPr>
        <w:t>Declarations</w:t>
      </w:r>
    </w:p>
    <w:p w14:paraId="6958C753" w14:textId="08F717C4" w:rsidR="003E6F94" w:rsidRPr="003E6F94" w:rsidRDefault="003E6F94" w:rsidP="003E6F94">
      <w:pPr>
        <w:contextualSpacing/>
        <w:rPr>
          <w:b/>
          <w:shd w:val="clear" w:color="auto" w:fill="FFFFFF"/>
        </w:rPr>
      </w:pPr>
      <w:r w:rsidRPr="003E6F94">
        <w:rPr>
          <w:b/>
          <w:shd w:val="clear" w:color="auto" w:fill="FFFFFF"/>
        </w:rPr>
        <w:t>Ethics approval and consent to participate</w:t>
      </w:r>
    </w:p>
    <w:p w14:paraId="5C84E600" w14:textId="25F2A961" w:rsidR="003E6F94" w:rsidRPr="003E6F94" w:rsidRDefault="003E6F94" w:rsidP="003E6F94">
      <w:pPr>
        <w:contextualSpacing/>
        <w:rPr>
          <w:shd w:val="clear" w:color="auto" w:fill="FFFFFF"/>
        </w:rPr>
      </w:pPr>
      <w:r w:rsidRPr="003E6F94">
        <w:rPr>
          <w:shd w:val="clear" w:color="auto" w:fill="FFFFFF"/>
        </w:rPr>
        <w:t>Not applicable</w:t>
      </w:r>
    </w:p>
    <w:p w14:paraId="71786B22" w14:textId="22F8210C" w:rsidR="003E6F94" w:rsidRPr="003E6F94" w:rsidRDefault="003E6F94" w:rsidP="003E6F94">
      <w:pPr>
        <w:contextualSpacing/>
        <w:rPr>
          <w:b/>
          <w:shd w:val="clear" w:color="auto" w:fill="FFFFFF"/>
        </w:rPr>
      </w:pPr>
      <w:r w:rsidRPr="003E6F94">
        <w:rPr>
          <w:b/>
          <w:shd w:val="clear" w:color="auto" w:fill="FFFFFF"/>
        </w:rPr>
        <w:t>Consent for publication</w:t>
      </w:r>
    </w:p>
    <w:p w14:paraId="24187CE9" w14:textId="521CDA1B" w:rsidR="003E6F94" w:rsidRPr="003E6F94" w:rsidRDefault="003E6F94" w:rsidP="003E6F94">
      <w:pPr>
        <w:contextualSpacing/>
        <w:rPr>
          <w:shd w:val="clear" w:color="auto" w:fill="FFFFFF"/>
        </w:rPr>
      </w:pPr>
      <w:r>
        <w:rPr>
          <w:shd w:val="clear" w:color="auto" w:fill="FFFFFF"/>
        </w:rPr>
        <w:t xml:space="preserve">All authors consent to publication </w:t>
      </w:r>
    </w:p>
    <w:p w14:paraId="33B2EF17" w14:textId="7E941CCA" w:rsidR="003E6F94" w:rsidRPr="003A0A1D" w:rsidRDefault="003E6F94" w:rsidP="003E6F94">
      <w:pPr>
        <w:contextualSpacing/>
        <w:rPr>
          <w:b/>
          <w:shd w:val="clear" w:color="auto" w:fill="FFFFFF"/>
        </w:rPr>
      </w:pPr>
      <w:r w:rsidRPr="003A0A1D">
        <w:rPr>
          <w:b/>
          <w:shd w:val="clear" w:color="auto" w:fill="FFFFFF"/>
        </w:rPr>
        <w:t>Availability of data and material</w:t>
      </w:r>
    </w:p>
    <w:p w14:paraId="13215A83" w14:textId="67B9BFC3" w:rsidR="003A0A1D" w:rsidRPr="003E6F94" w:rsidRDefault="003A0A1D" w:rsidP="003E6F94">
      <w:pPr>
        <w:contextualSpacing/>
        <w:rPr>
          <w:shd w:val="clear" w:color="auto" w:fill="FFFFFF"/>
        </w:rPr>
      </w:pPr>
      <w:r>
        <w:rPr>
          <w:shd w:val="clear" w:color="auto" w:fill="FFFFFF"/>
        </w:rPr>
        <w:t>Original data sets will not be shared as it is not a funder requirement</w:t>
      </w:r>
    </w:p>
    <w:p w14:paraId="728B0305" w14:textId="08C7B261" w:rsidR="003E6F94" w:rsidRPr="003E6F94" w:rsidRDefault="003E6F94" w:rsidP="003E6F94">
      <w:pPr>
        <w:contextualSpacing/>
        <w:rPr>
          <w:b/>
          <w:shd w:val="clear" w:color="auto" w:fill="FFFFFF"/>
        </w:rPr>
      </w:pPr>
      <w:r w:rsidRPr="003E6F94">
        <w:rPr>
          <w:b/>
          <w:shd w:val="clear" w:color="auto" w:fill="FFFFFF"/>
        </w:rPr>
        <w:t>Competing interests</w:t>
      </w:r>
    </w:p>
    <w:p w14:paraId="7012D614" w14:textId="24BCC4CA" w:rsidR="003E6F94" w:rsidRPr="003E6F94" w:rsidRDefault="003E6F94" w:rsidP="003E6F94">
      <w:pPr>
        <w:contextualSpacing/>
        <w:rPr>
          <w:shd w:val="clear" w:color="auto" w:fill="FFFFFF"/>
        </w:rPr>
      </w:pPr>
      <w:r w:rsidRPr="00724662">
        <w:rPr>
          <w:shd w:val="clear" w:color="auto" w:fill="FFFFFF"/>
        </w:rPr>
        <w:t xml:space="preserve">All authors </w:t>
      </w:r>
      <w:r>
        <w:rPr>
          <w:shd w:val="clear" w:color="auto" w:fill="FFFFFF"/>
        </w:rPr>
        <w:t>declare no conflict of interest</w:t>
      </w:r>
    </w:p>
    <w:p w14:paraId="59FFC376" w14:textId="53C3CC48" w:rsidR="003E6F94" w:rsidRPr="003E6F94" w:rsidRDefault="003E6F94" w:rsidP="003E6F94">
      <w:pPr>
        <w:contextualSpacing/>
        <w:rPr>
          <w:b/>
          <w:shd w:val="clear" w:color="auto" w:fill="FFFFFF"/>
        </w:rPr>
      </w:pPr>
      <w:r w:rsidRPr="003E6F94">
        <w:rPr>
          <w:b/>
          <w:shd w:val="clear" w:color="auto" w:fill="FFFFFF"/>
        </w:rPr>
        <w:t>Funding</w:t>
      </w:r>
    </w:p>
    <w:p w14:paraId="4C0B3685" w14:textId="77777777" w:rsidR="003E6F94" w:rsidRDefault="003E6F94" w:rsidP="003E6F94">
      <w:pPr>
        <w:contextualSpacing/>
        <w:rPr>
          <w:shd w:val="clear" w:color="auto" w:fill="FFFFFF"/>
        </w:rPr>
      </w:pPr>
      <w:r>
        <w:rPr>
          <w:shd w:val="clear" w:color="auto" w:fill="FFFFFF"/>
        </w:rPr>
        <w:t>Funding for the PhD project that provided this study was obtained from the BBSRC, Lawes Agricultural trust and Reading University.</w:t>
      </w:r>
    </w:p>
    <w:p w14:paraId="0D607AF7" w14:textId="068F8C6F" w:rsidR="003E6F94" w:rsidRPr="003E6F94" w:rsidRDefault="003E6F94" w:rsidP="003E6F94">
      <w:pPr>
        <w:contextualSpacing/>
        <w:rPr>
          <w:shd w:val="clear" w:color="auto" w:fill="FFFFFF"/>
        </w:rPr>
      </w:pPr>
      <w:r w:rsidRPr="00EA5D05">
        <w:rPr>
          <w:b/>
        </w:rPr>
        <w:t>Author contributions:</w:t>
      </w:r>
    </w:p>
    <w:p w14:paraId="72C97177" w14:textId="495A0FF3" w:rsidR="00850B3D" w:rsidRDefault="003E6F94" w:rsidP="003E6F94">
      <w:pPr>
        <w:contextualSpacing/>
        <w:rPr>
          <w:shd w:val="clear" w:color="auto" w:fill="FFFFFF"/>
        </w:rPr>
      </w:pPr>
      <w:r>
        <w:t>Suzanne Harris: Investigation; methodology; analysis writing- original draft; writing- review and editing.</w:t>
      </w:r>
      <w:r w:rsidRPr="00850B3D">
        <w:t xml:space="preserve"> Andrea Monteagudo-Mera</w:t>
      </w:r>
      <w:r>
        <w:t>: methodology; analysis; writing- review and editing. Ondrej Kosik: methodology; writing- review and editing. Dimitris Charalampopoulos: conceptualization; funding; supervision; writing- review and editing</w:t>
      </w:r>
      <w:r w:rsidRPr="00850B3D">
        <w:t xml:space="preserve"> Peter Shewry</w:t>
      </w:r>
      <w:r>
        <w:t>: conceptualization; funding; supervision;writing- review and editing.</w:t>
      </w:r>
      <w:r w:rsidRPr="00850B3D">
        <w:t xml:space="preserve"> Alison Lovegrove</w:t>
      </w:r>
      <w:r>
        <w:t>: conceptualization; funding; supervision; writing- review and editing</w:t>
      </w:r>
      <w:r w:rsidR="001D6D4B" w:rsidRPr="00724662">
        <w:br/>
      </w:r>
      <w:r w:rsidR="001D6D4B" w:rsidRPr="00724662">
        <w:rPr>
          <w:shd w:val="clear" w:color="auto" w:fill="FFFFFF"/>
        </w:rPr>
        <w:t>This article does not contain any studies with human participants or animals performed by any of the authors.</w:t>
      </w:r>
    </w:p>
    <w:p w14:paraId="068873C3" w14:textId="56DB67B2" w:rsidR="00850B3D" w:rsidRPr="00850B3D" w:rsidRDefault="00850B3D" w:rsidP="00EA5D05">
      <w:pPr>
        <w:contextualSpacing/>
      </w:pPr>
    </w:p>
    <w:p w14:paraId="0DD0B18E" w14:textId="42833CFA" w:rsidR="001D6D4B" w:rsidRPr="00724662" w:rsidRDefault="001D6D4B" w:rsidP="001D6D4B">
      <w:pPr>
        <w:jc w:val="center"/>
        <w:rPr>
          <w:shd w:val="clear" w:color="auto" w:fill="FFFFFF"/>
        </w:rPr>
      </w:pPr>
      <w:r w:rsidRPr="00724662">
        <w:br/>
      </w:r>
    </w:p>
    <w:p w14:paraId="1A384225" w14:textId="77777777" w:rsidR="001D6D4B" w:rsidRPr="008122BE" w:rsidRDefault="001D6D4B" w:rsidP="001D6D4B">
      <w:pPr>
        <w:spacing w:line="360" w:lineRule="auto"/>
        <w:jc w:val="center"/>
        <w:rPr>
          <w:b/>
        </w:rPr>
      </w:pPr>
      <w:r>
        <w:rPr>
          <w:b/>
        </w:rPr>
        <w:t>References</w:t>
      </w:r>
    </w:p>
    <w:p w14:paraId="4746745C" w14:textId="77777777" w:rsidR="0089195C" w:rsidRPr="0089195C" w:rsidRDefault="001D6D4B" w:rsidP="0089195C">
      <w:pPr>
        <w:pStyle w:val="Bibliography"/>
        <w:rPr>
          <w:rFonts w:ascii="Calibri" w:hAnsi="Calibri"/>
        </w:rPr>
      </w:pPr>
      <w:r>
        <w:fldChar w:fldCharType="begin"/>
      </w:r>
      <w:r w:rsidR="0089195C">
        <w:instrText xml:space="preserve"> ADDIN ZOTERO_BIBL {"uncited":[],"omitted":[],"custom":[]} CSL_BIBLIOGRAPHY </w:instrText>
      </w:r>
      <w:r>
        <w:fldChar w:fldCharType="separate"/>
      </w:r>
      <w:r w:rsidR="0089195C" w:rsidRPr="0089195C">
        <w:rPr>
          <w:rFonts w:ascii="Calibri" w:hAnsi="Calibri"/>
        </w:rPr>
        <w:t xml:space="preserve">Barcenilla, A., Pryde, S.E., Martin, J.C., Duncan, S.H., Stewart, C.S., Henderson, C., and Flint, H.J. (2000). Phylogenetic Relationships of Butyrate-Producing Bacteria from the Human Gut. Appl. Environ. Microbiol. </w:t>
      </w:r>
      <w:r w:rsidR="0089195C" w:rsidRPr="0089195C">
        <w:rPr>
          <w:rFonts w:ascii="Calibri" w:hAnsi="Calibri"/>
          <w:i/>
          <w:iCs/>
        </w:rPr>
        <w:t>66</w:t>
      </w:r>
      <w:r w:rsidR="0089195C" w:rsidRPr="0089195C">
        <w:rPr>
          <w:rFonts w:ascii="Calibri" w:hAnsi="Calibri"/>
        </w:rPr>
        <w:t>, 1654–1661.</w:t>
      </w:r>
    </w:p>
    <w:p w14:paraId="74EAB606" w14:textId="77777777" w:rsidR="0089195C" w:rsidRPr="0089195C" w:rsidRDefault="0089195C" w:rsidP="0089195C">
      <w:pPr>
        <w:pStyle w:val="Bibliography"/>
        <w:rPr>
          <w:rFonts w:ascii="Calibri" w:hAnsi="Calibri"/>
        </w:rPr>
      </w:pPr>
      <w:r w:rsidRPr="0089195C">
        <w:rPr>
          <w:rFonts w:ascii="Calibri" w:hAnsi="Calibri"/>
        </w:rPr>
        <w:t xml:space="preserve">Bereswill, S., Fischer, A., Plickert, R., Haag, L.-M., Otto, B., Kühl, A.A., Dashti, J.I., Zautner, A.E., Muñoz, M., and Loddenkemper, C. (2011). Novel murine infection models provide deep insights into the “menage a trois” of </w:t>
      </w:r>
      <w:r w:rsidRPr="000E44CD">
        <w:rPr>
          <w:rFonts w:ascii="Calibri" w:hAnsi="Calibri"/>
          <w:i/>
        </w:rPr>
        <w:t>Campylobacter jejuni,</w:t>
      </w:r>
      <w:r w:rsidRPr="0089195C">
        <w:rPr>
          <w:rFonts w:ascii="Calibri" w:hAnsi="Calibri"/>
        </w:rPr>
        <w:t xml:space="preserve"> microbiota and host innate immunity. PloS One </w:t>
      </w:r>
      <w:r w:rsidRPr="0089195C">
        <w:rPr>
          <w:rFonts w:ascii="Calibri" w:hAnsi="Calibri"/>
          <w:i/>
          <w:iCs/>
        </w:rPr>
        <w:t>6</w:t>
      </w:r>
      <w:r w:rsidRPr="0089195C">
        <w:rPr>
          <w:rFonts w:ascii="Calibri" w:hAnsi="Calibri"/>
        </w:rPr>
        <w:t>, e20953.</w:t>
      </w:r>
    </w:p>
    <w:p w14:paraId="6B5604C1" w14:textId="77777777" w:rsidR="0089195C" w:rsidRPr="0089195C" w:rsidRDefault="0089195C" w:rsidP="0089195C">
      <w:pPr>
        <w:pStyle w:val="Bibliography"/>
        <w:rPr>
          <w:rFonts w:ascii="Calibri" w:hAnsi="Calibri"/>
        </w:rPr>
      </w:pPr>
      <w:r w:rsidRPr="0089195C">
        <w:rPr>
          <w:rFonts w:ascii="Calibri" w:hAnsi="Calibri"/>
        </w:rPr>
        <w:t xml:space="preserve">Bindels, L.B., Delzenne, N.M., Cani, P.D., and Walter, J. (2015). Towards a more comprehensive concept for prebiotics. Nat. Rev. Gastroenterol. Hepatol. </w:t>
      </w:r>
      <w:r w:rsidRPr="0089195C">
        <w:rPr>
          <w:rFonts w:ascii="Calibri" w:hAnsi="Calibri"/>
          <w:i/>
          <w:iCs/>
        </w:rPr>
        <w:t>12</w:t>
      </w:r>
      <w:r w:rsidRPr="0089195C">
        <w:rPr>
          <w:rFonts w:ascii="Calibri" w:hAnsi="Calibri"/>
        </w:rPr>
        <w:t>, 303–310.</w:t>
      </w:r>
    </w:p>
    <w:p w14:paraId="5E0154A0" w14:textId="77777777" w:rsidR="0089195C" w:rsidRPr="0089195C" w:rsidRDefault="0089195C" w:rsidP="0089195C">
      <w:pPr>
        <w:pStyle w:val="Bibliography"/>
        <w:rPr>
          <w:rFonts w:ascii="Calibri" w:hAnsi="Calibri"/>
        </w:rPr>
      </w:pPr>
      <w:r w:rsidRPr="0089195C">
        <w:rPr>
          <w:rFonts w:ascii="Calibri" w:hAnsi="Calibri"/>
        </w:rPr>
        <w:t xml:space="preserve">Blaut, M. (2002). Relationship of prebiotics and food to intestinal microflora. Eur. J. Nutr. </w:t>
      </w:r>
      <w:r w:rsidRPr="0089195C">
        <w:rPr>
          <w:rFonts w:ascii="Calibri" w:hAnsi="Calibri"/>
          <w:i/>
          <w:iCs/>
        </w:rPr>
        <w:t>41</w:t>
      </w:r>
      <w:r w:rsidRPr="0089195C">
        <w:rPr>
          <w:rFonts w:ascii="Calibri" w:hAnsi="Calibri"/>
        </w:rPr>
        <w:t>, i11–i16.</w:t>
      </w:r>
    </w:p>
    <w:p w14:paraId="74186958" w14:textId="77777777" w:rsidR="0089195C" w:rsidRPr="0089195C" w:rsidRDefault="0089195C" w:rsidP="0089195C">
      <w:pPr>
        <w:pStyle w:val="Bibliography"/>
        <w:rPr>
          <w:rFonts w:ascii="Calibri" w:hAnsi="Calibri"/>
        </w:rPr>
      </w:pPr>
      <w:r w:rsidRPr="0089195C">
        <w:rPr>
          <w:rFonts w:ascii="Calibri" w:hAnsi="Calibri"/>
        </w:rPr>
        <w:t xml:space="preserve">Cummings, J.H., and Macfarlane, G.T. (1997). Collaborative JPEN-Clinical Nutrition Scientific Publications Role of intestinal bacteria in nutrient metabolism. J. Parenter. Enter. Nutr. </w:t>
      </w:r>
      <w:r w:rsidRPr="0089195C">
        <w:rPr>
          <w:rFonts w:ascii="Calibri" w:hAnsi="Calibri"/>
          <w:i/>
          <w:iCs/>
        </w:rPr>
        <w:t>21</w:t>
      </w:r>
      <w:r w:rsidRPr="0089195C">
        <w:rPr>
          <w:rFonts w:ascii="Calibri" w:hAnsi="Calibri"/>
        </w:rPr>
        <w:t>, 357–365.</w:t>
      </w:r>
    </w:p>
    <w:p w14:paraId="678E5266" w14:textId="77777777" w:rsidR="0089195C" w:rsidRPr="0089195C" w:rsidRDefault="0089195C" w:rsidP="0089195C">
      <w:pPr>
        <w:pStyle w:val="Bibliography"/>
        <w:rPr>
          <w:rFonts w:ascii="Calibri" w:hAnsi="Calibri"/>
        </w:rPr>
      </w:pPr>
      <w:r w:rsidRPr="0089195C">
        <w:rPr>
          <w:rFonts w:ascii="Calibri" w:hAnsi="Calibri"/>
        </w:rPr>
        <w:t xml:space="preserve">Cummings, J.H., Pomare, E.W., Branch, W.J., Naylor, C.P., and Macfarlane, G.T. (1987). Short chain fatty acids in human large intestine, portal, hepatic and venous blood. Gut </w:t>
      </w:r>
      <w:r w:rsidRPr="0089195C">
        <w:rPr>
          <w:rFonts w:ascii="Calibri" w:hAnsi="Calibri"/>
          <w:i/>
          <w:iCs/>
        </w:rPr>
        <w:t>28</w:t>
      </w:r>
      <w:r w:rsidRPr="0089195C">
        <w:rPr>
          <w:rFonts w:ascii="Calibri" w:hAnsi="Calibri"/>
        </w:rPr>
        <w:t>, 1221–1227.</w:t>
      </w:r>
    </w:p>
    <w:p w14:paraId="59FBEF97" w14:textId="77777777" w:rsidR="0089195C" w:rsidRPr="0089195C" w:rsidRDefault="0089195C" w:rsidP="0089195C">
      <w:pPr>
        <w:pStyle w:val="Bibliography"/>
        <w:rPr>
          <w:rFonts w:ascii="Calibri" w:hAnsi="Calibri"/>
        </w:rPr>
      </w:pPr>
      <w:r w:rsidRPr="0089195C">
        <w:rPr>
          <w:rFonts w:ascii="Calibri" w:hAnsi="Calibri"/>
        </w:rPr>
        <w:t xml:space="preserve">Fincher, G.B., and Stone, B.A. (1974). A Water-soluble Arabinogalactan-Peptide From Wheat Endosperm. Aust. J. Biol. Sci. </w:t>
      </w:r>
      <w:r w:rsidRPr="0089195C">
        <w:rPr>
          <w:rFonts w:ascii="Calibri" w:hAnsi="Calibri"/>
          <w:i/>
          <w:iCs/>
        </w:rPr>
        <w:t>27</w:t>
      </w:r>
      <w:r w:rsidRPr="0089195C">
        <w:rPr>
          <w:rFonts w:ascii="Calibri" w:hAnsi="Calibri"/>
        </w:rPr>
        <w:t>, 117–132.</w:t>
      </w:r>
    </w:p>
    <w:p w14:paraId="31235A35" w14:textId="77777777" w:rsidR="0089195C" w:rsidRPr="0089195C" w:rsidRDefault="0089195C" w:rsidP="0089195C">
      <w:pPr>
        <w:pStyle w:val="Bibliography"/>
        <w:rPr>
          <w:rFonts w:ascii="Calibri" w:hAnsi="Calibri"/>
        </w:rPr>
      </w:pPr>
      <w:r w:rsidRPr="0089195C">
        <w:rPr>
          <w:rFonts w:ascii="Calibri" w:hAnsi="Calibri"/>
        </w:rPr>
        <w:t xml:space="preserve">Franks, A.H., Harmsen, H.J.M., Raangs, G.C., Jansen, G.J., Schut, F., and Welling, G.W. (1998). Variations of Bacterial Populations in Human Feces Measured by Fluorescent In Situ Hybridization with Group-Specific 16S rRNA-Targeted Oligonucleotide Probes. Appl Env. Microbiol </w:t>
      </w:r>
      <w:r w:rsidRPr="0089195C">
        <w:rPr>
          <w:rFonts w:ascii="Calibri" w:hAnsi="Calibri"/>
          <w:i/>
          <w:iCs/>
        </w:rPr>
        <w:t>64</w:t>
      </w:r>
      <w:r w:rsidRPr="0089195C">
        <w:rPr>
          <w:rFonts w:ascii="Calibri" w:hAnsi="Calibri"/>
        </w:rPr>
        <w:t>, 3336–3345.</w:t>
      </w:r>
    </w:p>
    <w:p w14:paraId="344881BD" w14:textId="77777777" w:rsidR="0089195C" w:rsidRPr="0089195C" w:rsidRDefault="0089195C" w:rsidP="0089195C">
      <w:pPr>
        <w:pStyle w:val="Bibliography"/>
        <w:rPr>
          <w:rFonts w:ascii="Calibri" w:hAnsi="Calibri"/>
        </w:rPr>
      </w:pPr>
      <w:r w:rsidRPr="0089195C">
        <w:rPr>
          <w:rFonts w:ascii="Calibri" w:hAnsi="Calibri"/>
        </w:rPr>
        <w:t xml:space="preserve">Fukuda, S., Toh, H., Hase, K., Oshima, K., Nakanishi, Y., Yoshimura, K., Tobe, T., Clarke, J.M., Topping, D.L., Suzuki, T., et al. (2011). Bifidobacteria can protect from enteropathogenic infection through production of acetate. Nature </w:t>
      </w:r>
      <w:r w:rsidRPr="0089195C">
        <w:rPr>
          <w:rFonts w:ascii="Calibri" w:hAnsi="Calibri"/>
          <w:i/>
          <w:iCs/>
        </w:rPr>
        <w:t>469</w:t>
      </w:r>
      <w:r w:rsidRPr="0089195C">
        <w:rPr>
          <w:rFonts w:ascii="Calibri" w:hAnsi="Calibri"/>
        </w:rPr>
        <w:t>, 543–547.</w:t>
      </w:r>
    </w:p>
    <w:p w14:paraId="5CA60B5F" w14:textId="77777777" w:rsidR="0089195C" w:rsidRPr="0089195C" w:rsidRDefault="0089195C" w:rsidP="0089195C">
      <w:pPr>
        <w:pStyle w:val="Bibliography"/>
        <w:rPr>
          <w:rFonts w:ascii="Calibri" w:hAnsi="Calibri"/>
        </w:rPr>
      </w:pPr>
      <w:r w:rsidRPr="0089195C">
        <w:rPr>
          <w:rFonts w:ascii="Calibri" w:hAnsi="Calibri"/>
        </w:rPr>
        <w:t xml:space="preserve">Garry, B.P., Fogarty, M., Curran, T.P., O’Connell, M.J., and O’Doherty, J.V. (2007). The effect of cereal type and enzyme addition on pig performance, intestinal microflora, and ammonia and odour emissions. Animal </w:t>
      </w:r>
      <w:r w:rsidRPr="0089195C">
        <w:rPr>
          <w:rFonts w:ascii="Calibri" w:hAnsi="Calibri"/>
          <w:i/>
          <w:iCs/>
        </w:rPr>
        <w:t>1</w:t>
      </w:r>
      <w:r w:rsidRPr="0089195C">
        <w:rPr>
          <w:rFonts w:ascii="Calibri" w:hAnsi="Calibri"/>
        </w:rPr>
        <w:t>, 751–757.</w:t>
      </w:r>
    </w:p>
    <w:p w14:paraId="690F21F0" w14:textId="77777777" w:rsidR="0089195C" w:rsidRPr="0089195C" w:rsidRDefault="0089195C" w:rsidP="0089195C">
      <w:pPr>
        <w:pStyle w:val="Bibliography"/>
        <w:rPr>
          <w:rFonts w:ascii="Calibri" w:hAnsi="Calibri"/>
        </w:rPr>
      </w:pPr>
      <w:r w:rsidRPr="0089195C">
        <w:rPr>
          <w:rFonts w:ascii="Calibri" w:hAnsi="Calibri"/>
        </w:rPr>
        <w:t xml:space="preserve">Gibson, G.R. (1999). Dietary Modulation of the Human Gut Microflora Using the Prebiotics Oligofructose and Inulin. J. Nutr. </w:t>
      </w:r>
      <w:r w:rsidRPr="0089195C">
        <w:rPr>
          <w:rFonts w:ascii="Calibri" w:hAnsi="Calibri"/>
          <w:i/>
          <w:iCs/>
        </w:rPr>
        <w:t>129</w:t>
      </w:r>
      <w:r w:rsidRPr="0089195C">
        <w:rPr>
          <w:rFonts w:ascii="Calibri" w:hAnsi="Calibri"/>
        </w:rPr>
        <w:t>, 1438S-1441S.</w:t>
      </w:r>
    </w:p>
    <w:p w14:paraId="0495D9A5" w14:textId="77777777" w:rsidR="0089195C" w:rsidRPr="0089195C" w:rsidRDefault="0089195C" w:rsidP="0089195C">
      <w:pPr>
        <w:pStyle w:val="Bibliography"/>
        <w:rPr>
          <w:rFonts w:ascii="Calibri" w:hAnsi="Calibri"/>
        </w:rPr>
      </w:pPr>
      <w:r w:rsidRPr="0089195C">
        <w:rPr>
          <w:rFonts w:ascii="Calibri" w:hAnsi="Calibri"/>
        </w:rPr>
        <w:t xml:space="preserve">Gibson, G.R., Hutkins, R., Sanders, M.E., Prescott, S.L., Reimer, R.A., Salminen, S.J., Scott, K., Stanton, C., Swanson, K.S., Cani, P.D., et al. (2017). Expert consensus document: The International Scientific Association for Probiotics and Prebiotics (ISAPP) consensus statement on the definition and scope of prebiotics. Nat. Rev. Gastroenterol. Hepatol. </w:t>
      </w:r>
      <w:r w:rsidRPr="0089195C">
        <w:rPr>
          <w:rFonts w:ascii="Calibri" w:hAnsi="Calibri"/>
          <w:i/>
          <w:iCs/>
        </w:rPr>
        <w:t>14</w:t>
      </w:r>
      <w:r w:rsidRPr="0089195C">
        <w:rPr>
          <w:rFonts w:ascii="Calibri" w:hAnsi="Calibri"/>
        </w:rPr>
        <w:t>, 491–502.</w:t>
      </w:r>
    </w:p>
    <w:p w14:paraId="03CB402C" w14:textId="77777777" w:rsidR="0089195C" w:rsidRPr="0089195C" w:rsidRDefault="0089195C" w:rsidP="0089195C">
      <w:pPr>
        <w:pStyle w:val="Bibliography"/>
        <w:rPr>
          <w:rFonts w:ascii="Calibri" w:hAnsi="Calibri"/>
        </w:rPr>
      </w:pPr>
      <w:r w:rsidRPr="0089195C">
        <w:rPr>
          <w:rFonts w:ascii="Calibri" w:hAnsi="Calibri"/>
        </w:rPr>
        <w:t xml:space="preserve">Govers, M.J. a. P., Gannon, N.J., Dunshea, F.R., Gibson, P.R., and Muir, J.G. (1999). Wheat bran affects the site of fermentation of resistant starch and luminal indexes related to colon cancer risk: a study in pigs. Gut </w:t>
      </w:r>
      <w:r w:rsidRPr="0089195C">
        <w:rPr>
          <w:rFonts w:ascii="Calibri" w:hAnsi="Calibri"/>
          <w:i/>
          <w:iCs/>
        </w:rPr>
        <w:t>45</w:t>
      </w:r>
      <w:r w:rsidRPr="0089195C">
        <w:rPr>
          <w:rFonts w:ascii="Calibri" w:hAnsi="Calibri"/>
        </w:rPr>
        <w:t>, 840–847.</w:t>
      </w:r>
    </w:p>
    <w:p w14:paraId="2769986D" w14:textId="77777777" w:rsidR="0089195C" w:rsidRPr="0089195C" w:rsidRDefault="0089195C" w:rsidP="0089195C">
      <w:pPr>
        <w:pStyle w:val="Bibliography"/>
        <w:rPr>
          <w:rFonts w:ascii="Calibri" w:hAnsi="Calibri"/>
        </w:rPr>
      </w:pPr>
      <w:r w:rsidRPr="0089195C">
        <w:rPr>
          <w:rFonts w:ascii="Calibri" w:hAnsi="Calibri"/>
        </w:rPr>
        <w:t xml:space="preserve">Grootaert, C., Van den Abbeele, P., Marzorati, M., Broekaert, W.F., Courtin, C.M., Delcour, J.A., Verstraete, W., and Van de Wiele, T. (2009). Comparison of prebiotic effects of arabinoxylan oligosaccharides and inulin in a simulator of the human intestinal microbial ecosystem. FEMS Microbiol. Ecol. </w:t>
      </w:r>
      <w:r w:rsidRPr="0089195C">
        <w:rPr>
          <w:rFonts w:ascii="Calibri" w:hAnsi="Calibri"/>
          <w:i/>
          <w:iCs/>
        </w:rPr>
        <w:t>69</w:t>
      </w:r>
      <w:r w:rsidRPr="0089195C">
        <w:rPr>
          <w:rFonts w:ascii="Calibri" w:hAnsi="Calibri"/>
        </w:rPr>
        <w:t>, 231–242.</w:t>
      </w:r>
    </w:p>
    <w:p w14:paraId="1909492B" w14:textId="06D02FEF" w:rsidR="0089195C" w:rsidRPr="0089195C" w:rsidRDefault="0089195C" w:rsidP="0089195C">
      <w:pPr>
        <w:pStyle w:val="Bibliography"/>
        <w:rPr>
          <w:rFonts w:ascii="Calibri" w:hAnsi="Calibri"/>
        </w:rPr>
      </w:pPr>
      <w:r w:rsidRPr="0089195C">
        <w:rPr>
          <w:rFonts w:ascii="Calibri" w:hAnsi="Calibri"/>
        </w:rPr>
        <w:t>Harmsen, H.J.M., Wildeboer-Veloo, A.C.M., Grijpstra, J., Knol, J., Degener, J.E., and Welling, G.W. (2000). Development of 16S rRNA-Based Probes for the</w:t>
      </w:r>
      <w:r w:rsidR="000E44CD">
        <w:rPr>
          <w:rFonts w:ascii="Calibri" w:hAnsi="Calibri"/>
        </w:rPr>
        <w:t xml:space="preserve"> </w:t>
      </w:r>
      <w:r w:rsidRPr="000E44CD">
        <w:rPr>
          <w:rFonts w:ascii="Calibri" w:hAnsi="Calibri"/>
          <w:i/>
        </w:rPr>
        <w:t xml:space="preserve">Coriobacterium </w:t>
      </w:r>
      <w:r w:rsidRPr="0089195C">
        <w:rPr>
          <w:rFonts w:ascii="Calibri" w:hAnsi="Calibri"/>
        </w:rPr>
        <w:t xml:space="preserve">Group and the </w:t>
      </w:r>
      <w:r w:rsidRPr="000E44CD">
        <w:rPr>
          <w:rFonts w:ascii="Calibri" w:hAnsi="Calibri"/>
          <w:i/>
        </w:rPr>
        <w:t>Atopobium</w:t>
      </w:r>
      <w:r w:rsidRPr="0089195C">
        <w:rPr>
          <w:rFonts w:ascii="Calibri" w:hAnsi="Calibri"/>
        </w:rPr>
        <w:t xml:space="preserve"> Cluster and Their Application for Enumeration of Coriobacteriaceaein Human Feces from Volunteers of Different Age Groups. Appl Env. Microbiol </w:t>
      </w:r>
      <w:r w:rsidRPr="0089195C">
        <w:rPr>
          <w:rFonts w:ascii="Calibri" w:hAnsi="Calibri"/>
          <w:i/>
          <w:iCs/>
        </w:rPr>
        <w:t>66</w:t>
      </w:r>
      <w:r w:rsidRPr="0089195C">
        <w:rPr>
          <w:rFonts w:ascii="Calibri" w:hAnsi="Calibri"/>
        </w:rPr>
        <w:t>, 4523–4527.</w:t>
      </w:r>
    </w:p>
    <w:p w14:paraId="1448B99C" w14:textId="77777777" w:rsidR="0089195C" w:rsidRPr="0089195C" w:rsidRDefault="0089195C" w:rsidP="0089195C">
      <w:pPr>
        <w:pStyle w:val="Bibliography"/>
        <w:rPr>
          <w:rFonts w:ascii="Calibri" w:hAnsi="Calibri"/>
        </w:rPr>
      </w:pPr>
      <w:r w:rsidRPr="0089195C">
        <w:rPr>
          <w:rFonts w:ascii="Calibri" w:hAnsi="Calibri"/>
        </w:rPr>
        <w:t xml:space="preserve">Haskå, L., Nyman, M., and Andersson, R. (2008). Distribution and characterisation of fructan in wheat milling fractions. J. Cereal Sci. </w:t>
      </w:r>
      <w:r w:rsidRPr="0089195C">
        <w:rPr>
          <w:rFonts w:ascii="Calibri" w:hAnsi="Calibri"/>
          <w:i/>
          <w:iCs/>
        </w:rPr>
        <w:t>48</w:t>
      </w:r>
      <w:r w:rsidRPr="0089195C">
        <w:rPr>
          <w:rFonts w:ascii="Calibri" w:hAnsi="Calibri"/>
        </w:rPr>
        <w:t>, 768–774.</w:t>
      </w:r>
    </w:p>
    <w:p w14:paraId="450557FC" w14:textId="77777777" w:rsidR="0089195C" w:rsidRPr="0089195C" w:rsidRDefault="0089195C" w:rsidP="0089195C">
      <w:pPr>
        <w:pStyle w:val="Bibliography"/>
        <w:rPr>
          <w:rFonts w:ascii="Calibri" w:hAnsi="Calibri"/>
        </w:rPr>
      </w:pPr>
      <w:r w:rsidRPr="0089195C">
        <w:rPr>
          <w:rFonts w:ascii="Calibri" w:hAnsi="Calibri"/>
        </w:rPr>
        <w:t xml:space="preserve">Hold, G.L., Schwiertz, A., Aminov, R.I., Blaut, M., and Flint, H.J. (2003). Oligonucleotide Probes That Detect Quantitatively Significant Groups of Butyrate-Producing Bacteria in Human Feces. Appl Env. Microbiol </w:t>
      </w:r>
      <w:r w:rsidRPr="0089195C">
        <w:rPr>
          <w:rFonts w:ascii="Calibri" w:hAnsi="Calibri"/>
          <w:i/>
          <w:iCs/>
        </w:rPr>
        <w:t>69</w:t>
      </w:r>
      <w:r w:rsidRPr="0089195C">
        <w:rPr>
          <w:rFonts w:ascii="Calibri" w:hAnsi="Calibri"/>
        </w:rPr>
        <w:t>, 4320–4324.</w:t>
      </w:r>
    </w:p>
    <w:p w14:paraId="790D2EDE" w14:textId="77777777" w:rsidR="0089195C" w:rsidRPr="0089195C" w:rsidRDefault="0089195C" w:rsidP="0089195C">
      <w:pPr>
        <w:pStyle w:val="Bibliography"/>
        <w:rPr>
          <w:rFonts w:ascii="Calibri" w:hAnsi="Calibri"/>
        </w:rPr>
      </w:pPr>
      <w:r w:rsidRPr="0089195C">
        <w:rPr>
          <w:rFonts w:ascii="Calibri" w:hAnsi="Calibri"/>
        </w:rPr>
        <w:t xml:space="preserve">Hughes, S.A., Shewry, P.R., Li, L., Gibson, G.R., Sanz, M.L., and Rastall, R.A. (2007). In Vitro Fermentation by Human Fecal Microflora of Wheat Arabinoxylans. J. Agric. Food Chem. </w:t>
      </w:r>
      <w:r w:rsidRPr="0089195C">
        <w:rPr>
          <w:rFonts w:ascii="Calibri" w:hAnsi="Calibri"/>
          <w:i/>
          <w:iCs/>
        </w:rPr>
        <w:t>55</w:t>
      </w:r>
      <w:r w:rsidRPr="0089195C">
        <w:rPr>
          <w:rFonts w:ascii="Calibri" w:hAnsi="Calibri"/>
        </w:rPr>
        <w:t>, 4589–4595.</w:t>
      </w:r>
    </w:p>
    <w:p w14:paraId="09CBF011" w14:textId="77777777" w:rsidR="0089195C" w:rsidRPr="0089195C" w:rsidRDefault="0089195C" w:rsidP="0089195C">
      <w:pPr>
        <w:pStyle w:val="Bibliography"/>
        <w:rPr>
          <w:rFonts w:ascii="Calibri" w:hAnsi="Calibri"/>
        </w:rPr>
      </w:pPr>
      <w:r w:rsidRPr="0089195C">
        <w:rPr>
          <w:rFonts w:ascii="Calibri" w:hAnsi="Calibri"/>
        </w:rPr>
        <w:t xml:space="preserve">Hughes, S.A., Shewry, P.R., Gibson, G.R., McCleary, B.V., and Rastall, R.A. (2008). In vitro fermentation of oat and barley derived β-glucans by human faecal microbiota: In vitro fermentation of cereal β-glucans. FEMS Microbiol. Ecol. </w:t>
      </w:r>
      <w:r w:rsidRPr="0089195C">
        <w:rPr>
          <w:rFonts w:ascii="Calibri" w:hAnsi="Calibri"/>
          <w:i/>
          <w:iCs/>
        </w:rPr>
        <w:t>64</w:t>
      </w:r>
      <w:r w:rsidRPr="0089195C">
        <w:rPr>
          <w:rFonts w:ascii="Calibri" w:hAnsi="Calibri"/>
        </w:rPr>
        <w:t>, 482–493.</w:t>
      </w:r>
    </w:p>
    <w:p w14:paraId="6FC56190" w14:textId="77777777" w:rsidR="0089195C" w:rsidRPr="0089195C" w:rsidRDefault="0089195C" w:rsidP="0089195C">
      <w:pPr>
        <w:pStyle w:val="Bibliography"/>
        <w:rPr>
          <w:rFonts w:ascii="Calibri" w:hAnsi="Calibri"/>
        </w:rPr>
      </w:pPr>
      <w:r w:rsidRPr="0089195C">
        <w:rPr>
          <w:rFonts w:ascii="Calibri" w:hAnsi="Calibri"/>
        </w:rPr>
        <w:t xml:space="preserve">JMares, D., and Stone, B. (1973). Studies on Wheat Endosperm I. Chemical Composition and Ultrastructure of the Cell Walls. Aust. J. Biol. Sci. </w:t>
      </w:r>
      <w:r w:rsidRPr="0089195C">
        <w:rPr>
          <w:rFonts w:ascii="Calibri" w:hAnsi="Calibri"/>
          <w:i/>
          <w:iCs/>
        </w:rPr>
        <w:t>26</w:t>
      </w:r>
      <w:r w:rsidRPr="0089195C">
        <w:rPr>
          <w:rFonts w:ascii="Calibri" w:hAnsi="Calibri"/>
        </w:rPr>
        <w:t>, 793.</w:t>
      </w:r>
    </w:p>
    <w:p w14:paraId="023CC3A8" w14:textId="77777777" w:rsidR="0089195C" w:rsidRPr="0089195C" w:rsidRDefault="0089195C" w:rsidP="0089195C">
      <w:pPr>
        <w:pStyle w:val="Bibliography"/>
        <w:rPr>
          <w:rFonts w:ascii="Calibri" w:hAnsi="Calibri"/>
        </w:rPr>
      </w:pPr>
      <w:r w:rsidRPr="0089195C">
        <w:rPr>
          <w:rFonts w:ascii="Calibri" w:hAnsi="Calibri"/>
        </w:rPr>
        <w:t xml:space="preserve">Johansson, L., Tuomainen, P., Ylinen, M., Ekholm, P., and Virkki, L. (2004). Structural analysis of water-soluble and -insoluble β-glucans of whole-grain oats and barley. Carbohydr. Polym. </w:t>
      </w:r>
      <w:r w:rsidRPr="0089195C">
        <w:rPr>
          <w:rFonts w:ascii="Calibri" w:hAnsi="Calibri"/>
          <w:i/>
          <w:iCs/>
        </w:rPr>
        <w:t>58</w:t>
      </w:r>
      <w:r w:rsidRPr="0089195C">
        <w:rPr>
          <w:rFonts w:ascii="Calibri" w:hAnsi="Calibri"/>
        </w:rPr>
        <w:t>, 267–274.</w:t>
      </w:r>
    </w:p>
    <w:p w14:paraId="702ABEB3" w14:textId="77777777" w:rsidR="0089195C" w:rsidRPr="0089195C" w:rsidRDefault="0089195C" w:rsidP="0089195C">
      <w:pPr>
        <w:pStyle w:val="Bibliography"/>
        <w:rPr>
          <w:rFonts w:ascii="Calibri" w:hAnsi="Calibri"/>
        </w:rPr>
      </w:pPr>
      <w:r w:rsidRPr="0089195C">
        <w:rPr>
          <w:rFonts w:ascii="Calibri" w:hAnsi="Calibri"/>
        </w:rPr>
        <w:t xml:space="preserve">Kim, H.J., and White, P.J. (2009). In Vitro Fermentation of Oat Flours from Typical and High β-Glucan Oat Lines. J. Agric. Food Chem. </w:t>
      </w:r>
      <w:r w:rsidRPr="0089195C">
        <w:rPr>
          <w:rFonts w:ascii="Calibri" w:hAnsi="Calibri"/>
          <w:i/>
          <w:iCs/>
        </w:rPr>
        <w:t>57</w:t>
      </w:r>
      <w:r w:rsidRPr="0089195C">
        <w:rPr>
          <w:rFonts w:ascii="Calibri" w:hAnsi="Calibri"/>
        </w:rPr>
        <w:t>, 7529–7536.</w:t>
      </w:r>
    </w:p>
    <w:p w14:paraId="32E2BB7D" w14:textId="77777777" w:rsidR="0089195C" w:rsidRPr="0089195C" w:rsidRDefault="0089195C" w:rsidP="0089195C">
      <w:pPr>
        <w:pStyle w:val="Bibliography"/>
        <w:rPr>
          <w:rFonts w:ascii="Calibri" w:hAnsi="Calibri"/>
        </w:rPr>
      </w:pPr>
      <w:r w:rsidRPr="0089195C">
        <w:rPr>
          <w:rFonts w:ascii="Calibri" w:hAnsi="Calibri"/>
        </w:rPr>
        <w:t>Langendijk, P.S., Schut, F., Jansen, G.J., Raangs, G.C., Kamphuis, G.R., Wilkinson, M.H., and Welling, G.W. (1995). Quantitative fluorescence in situ hybridization of</w:t>
      </w:r>
      <w:r w:rsidRPr="00FB6768">
        <w:rPr>
          <w:rFonts w:ascii="Calibri" w:hAnsi="Calibri"/>
          <w:i/>
        </w:rPr>
        <w:t xml:space="preserve"> Bifidobacterium spp</w:t>
      </w:r>
      <w:r w:rsidRPr="0089195C">
        <w:rPr>
          <w:rFonts w:ascii="Calibri" w:hAnsi="Calibri"/>
        </w:rPr>
        <w:t xml:space="preserve">. with genus-specific 16S rRNA-targeted probes and its application in fecal samples. Appl Env. Microbiol </w:t>
      </w:r>
      <w:r w:rsidRPr="0089195C">
        <w:rPr>
          <w:rFonts w:ascii="Calibri" w:hAnsi="Calibri"/>
          <w:i/>
          <w:iCs/>
        </w:rPr>
        <w:t>61</w:t>
      </w:r>
      <w:r w:rsidRPr="0089195C">
        <w:rPr>
          <w:rFonts w:ascii="Calibri" w:hAnsi="Calibri"/>
        </w:rPr>
        <w:t>, 3069–3075.</w:t>
      </w:r>
    </w:p>
    <w:p w14:paraId="3F3F6887" w14:textId="77777777" w:rsidR="0089195C" w:rsidRPr="0089195C" w:rsidRDefault="0089195C" w:rsidP="0089195C">
      <w:pPr>
        <w:pStyle w:val="Bibliography"/>
        <w:rPr>
          <w:rFonts w:ascii="Calibri" w:hAnsi="Calibri"/>
        </w:rPr>
      </w:pPr>
      <w:r w:rsidRPr="0089195C">
        <w:rPr>
          <w:rFonts w:ascii="Calibri" w:hAnsi="Calibri"/>
        </w:rPr>
        <w:t xml:space="preserve">Li, W., Cui, S.W., and Kakuda, Y. (2006). Extraction, fractionation, structural and physical characterization of wheat β-d-glucans. Carbohydr. Polym. </w:t>
      </w:r>
      <w:r w:rsidRPr="0089195C">
        <w:rPr>
          <w:rFonts w:ascii="Calibri" w:hAnsi="Calibri"/>
          <w:i/>
          <w:iCs/>
        </w:rPr>
        <w:t>63</w:t>
      </w:r>
      <w:r w:rsidRPr="0089195C">
        <w:rPr>
          <w:rFonts w:ascii="Calibri" w:hAnsi="Calibri"/>
        </w:rPr>
        <w:t>, 408–416.</w:t>
      </w:r>
    </w:p>
    <w:p w14:paraId="7E99CCC5" w14:textId="77777777" w:rsidR="0089195C" w:rsidRPr="0089195C" w:rsidRDefault="0089195C" w:rsidP="0089195C">
      <w:pPr>
        <w:pStyle w:val="Bibliography"/>
        <w:rPr>
          <w:rFonts w:ascii="Calibri" w:hAnsi="Calibri"/>
        </w:rPr>
      </w:pPr>
      <w:r w:rsidRPr="0089195C">
        <w:rPr>
          <w:rFonts w:ascii="Calibri" w:hAnsi="Calibri"/>
        </w:rPr>
        <w:t xml:space="preserve">Manz, W., Amann, R., Ludwig, W., Vancanneyt, M., and Schleifer, K.-H. (1996). Application of a suite of 16S rRNA-specific oligonucleotide probes designed to investigate bacteria of the phylum </w:t>
      </w:r>
      <w:r w:rsidRPr="000E44CD">
        <w:rPr>
          <w:rFonts w:ascii="Calibri" w:hAnsi="Calibri"/>
          <w:i/>
        </w:rPr>
        <w:t>cytophaga-flavobacter-bacteroides</w:t>
      </w:r>
      <w:r w:rsidRPr="0089195C">
        <w:rPr>
          <w:rFonts w:ascii="Calibri" w:hAnsi="Calibri"/>
        </w:rPr>
        <w:t xml:space="preserve"> in the natural environment. Microbiology </w:t>
      </w:r>
      <w:r w:rsidRPr="0089195C">
        <w:rPr>
          <w:rFonts w:ascii="Calibri" w:hAnsi="Calibri"/>
          <w:i/>
          <w:iCs/>
        </w:rPr>
        <w:t>142</w:t>
      </w:r>
      <w:r w:rsidRPr="0089195C">
        <w:rPr>
          <w:rFonts w:ascii="Calibri" w:hAnsi="Calibri"/>
        </w:rPr>
        <w:t>, 1097–1106.</w:t>
      </w:r>
    </w:p>
    <w:p w14:paraId="6D519793" w14:textId="77777777" w:rsidR="0089195C" w:rsidRPr="0089195C" w:rsidRDefault="0089195C" w:rsidP="0089195C">
      <w:pPr>
        <w:pStyle w:val="Bibliography"/>
        <w:rPr>
          <w:rFonts w:ascii="Calibri" w:hAnsi="Calibri"/>
        </w:rPr>
      </w:pPr>
      <w:r w:rsidRPr="0089195C">
        <w:rPr>
          <w:rFonts w:ascii="Calibri" w:hAnsi="Calibri"/>
        </w:rPr>
        <w:t xml:space="preserve">Pryde, S.E., Duncan, S.H., Hold, G.L., Stewart, C.S., and Flint, H.J. (2002). The microbiology of butyrate formation in the human colon. FEMS Microbiol. Lett. </w:t>
      </w:r>
      <w:r w:rsidRPr="0089195C">
        <w:rPr>
          <w:rFonts w:ascii="Calibri" w:hAnsi="Calibri"/>
          <w:i/>
          <w:iCs/>
        </w:rPr>
        <w:t>217</w:t>
      </w:r>
      <w:r w:rsidRPr="0089195C">
        <w:rPr>
          <w:rFonts w:ascii="Calibri" w:hAnsi="Calibri"/>
        </w:rPr>
        <w:t>, 133–139.</w:t>
      </w:r>
    </w:p>
    <w:p w14:paraId="6E30E5E6" w14:textId="2CC6B9EC" w:rsidR="0089195C" w:rsidRPr="0089195C" w:rsidRDefault="0089195C" w:rsidP="0089195C">
      <w:pPr>
        <w:pStyle w:val="Bibliography"/>
        <w:rPr>
          <w:rFonts w:ascii="Calibri" w:hAnsi="Calibri"/>
        </w:rPr>
      </w:pPr>
      <w:r w:rsidRPr="0089195C">
        <w:rPr>
          <w:rFonts w:ascii="Calibri" w:hAnsi="Calibri"/>
        </w:rPr>
        <w:t>Salyers, A.A., Palmer, J.K., and Wilkins, T.D. Laminarinase (p8-Glucanase) Activity inBacteroides from the Hu</w:t>
      </w:r>
      <w:r w:rsidR="00FB6768">
        <w:rPr>
          <w:rFonts w:ascii="Calibri" w:hAnsi="Calibri"/>
        </w:rPr>
        <w:t xml:space="preserve">man Colon. </w:t>
      </w:r>
      <w:r w:rsidR="00FB6768" w:rsidRPr="00FB6768">
        <w:rPr>
          <w:rFonts w:ascii="Calibri" w:hAnsi="Calibri"/>
        </w:rPr>
        <w:t>Appl. Environ. Microbiol., 33(5), pp.1118-1124.</w:t>
      </w:r>
    </w:p>
    <w:p w14:paraId="64F0A05D" w14:textId="77777777" w:rsidR="0089195C" w:rsidRPr="0089195C" w:rsidRDefault="0089195C" w:rsidP="0089195C">
      <w:pPr>
        <w:pStyle w:val="Bibliography"/>
        <w:rPr>
          <w:rFonts w:ascii="Calibri" w:hAnsi="Calibri"/>
        </w:rPr>
      </w:pPr>
      <w:r w:rsidRPr="0089195C">
        <w:rPr>
          <w:rFonts w:ascii="Calibri" w:hAnsi="Calibri"/>
        </w:rPr>
        <w:t xml:space="preserve">Shewry, P.R., and Hey, S.J. (2015). The contribution of wheat to human diet and health. Food Energy Secur. </w:t>
      </w:r>
      <w:r w:rsidRPr="0089195C">
        <w:rPr>
          <w:rFonts w:ascii="Calibri" w:hAnsi="Calibri"/>
          <w:i/>
          <w:iCs/>
        </w:rPr>
        <w:t>4</w:t>
      </w:r>
      <w:r w:rsidRPr="0089195C">
        <w:rPr>
          <w:rFonts w:ascii="Calibri" w:hAnsi="Calibri"/>
        </w:rPr>
        <w:t>, 178–202.</w:t>
      </w:r>
    </w:p>
    <w:p w14:paraId="7E44FAB4" w14:textId="77777777" w:rsidR="0089195C" w:rsidRPr="0089195C" w:rsidRDefault="0089195C" w:rsidP="0089195C">
      <w:pPr>
        <w:pStyle w:val="Bibliography"/>
        <w:rPr>
          <w:rFonts w:ascii="Calibri" w:hAnsi="Calibri"/>
        </w:rPr>
      </w:pPr>
      <w:r w:rsidRPr="0089195C">
        <w:rPr>
          <w:rFonts w:ascii="Calibri" w:hAnsi="Calibri"/>
        </w:rPr>
        <w:t xml:space="preserve">Siljeström, M., and Asp, N.-G. (1985). Resistant starch formation during baking -effect of baking time and temperature and variations in the recipe. Z. Für Lebensm.-Unters. Forsch. </w:t>
      </w:r>
      <w:r w:rsidRPr="0089195C">
        <w:rPr>
          <w:rFonts w:ascii="Calibri" w:hAnsi="Calibri"/>
          <w:i/>
          <w:iCs/>
        </w:rPr>
        <w:t>181</w:t>
      </w:r>
      <w:r w:rsidRPr="0089195C">
        <w:rPr>
          <w:rFonts w:ascii="Calibri" w:hAnsi="Calibri"/>
        </w:rPr>
        <w:t>, 4–8.</w:t>
      </w:r>
    </w:p>
    <w:p w14:paraId="3752D350" w14:textId="77777777" w:rsidR="0089195C" w:rsidRPr="0089195C" w:rsidRDefault="0089195C" w:rsidP="0089195C">
      <w:pPr>
        <w:pStyle w:val="Bibliography"/>
        <w:rPr>
          <w:rFonts w:ascii="Calibri" w:hAnsi="Calibri"/>
        </w:rPr>
      </w:pPr>
      <w:r w:rsidRPr="0089195C">
        <w:rPr>
          <w:rFonts w:ascii="Calibri" w:hAnsi="Calibri"/>
        </w:rPr>
        <w:t>Singh, J. (1997).</w:t>
      </w:r>
      <w:r w:rsidRPr="000E44CD">
        <w:rPr>
          <w:rFonts w:ascii="Calibri" w:hAnsi="Calibri"/>
          <w:i/>
        </w:rPr>
        <w:t xml:space="preserve"> Bifidobacterium longum</w:t>
      </w:r>
      <w:r w:rsidRPr="0089195C">
        <w:rPr>
          <w:rFonts w:ascii="Calibri" w:hAnsi="Calibri"/>
        </w:rPr>
        <w:t xml:space="preserve">, a lactic acid-producing intestinal bacterium inhibits colon cancer and modulates the intermediate biomarkers of colon carcinogenesis. Carcinogenesis </w:t>
      </w:r>
      <w:r w:rsidRPr="0089195C">
        <w:rPr>
          <w:rFonts w:ascii="Calibri" w:hAnsi="Calibri"/>
          <w:i/>
          <w:iCs/>
        </w:rPr>
        <w:t>18</w:t>
      </w:r>
      <w:r w:rsidRPr="0089195C">
        <w:rPr>
          <w:rFonts w:ascii="Calibri" w:hAnsi="Calibri"/>
        </w:rPr>
        <w:t>, 833–841.</w:t>
      </w:r>
    </w:p>
    <w:p w14:paraId="7F816AB7" w14:textId="77777777" w:rsidR="0089195C" w:rsidRPr="0089195C" w:rsidRDefault="0089195C" w:rsidP="0089195C">
      <w:pPr>
        <w:pStyle w:val="Bibliography"/>
        <w:rPr>
          <w:rFonts w:ascii="Calibri" w:hAnsi="Calibri"/>
        </w:rPr>
      </w:pPr>
      <w:r w:rsidRPr="0089195C">
        <w:rPr>
          <w:rFonts w:ascii="Calibri" w:hAnsi="Calibri"/>
        </w:rPr>
        <w:t xml:space="preserve">Steer, T., Thane, C., Stephen, A., and Jebb, S. (2008). Bread in the diet: consumption and contribution to nutrient intakes of British adults. Proc. Nutr. Soc. </w:t>
      </w:r>
      <w:r w:rsidRPr="0089195C">
        <w:rPr>
          <w:rFonts w:ascii="Calibri" w:hAnsi="Calibri"/>
          <w:i/>
          <w:iCs/>
        </w:rPr>
        <w:t>67</w:t>
      </w:r>
      <w:r w:rsidRPr="0089195C">
        <w:rPr>
          <w:rFonts w:ascii="Calibri" w:hAnsi="Calibri"/>
        </w:rPr>
        <w:t>.</w:t>
      </w:r>
    </w:p>
    <w:p w14:paraId="22E7F9B3" w14:textId="77777777" w:rsidR="0089195C" w:rsidRPr="0089195C" w:rsidRDefault="0089195C" w:rsidP="0089195C">
      <w:pPr>
        <w:pStyle w:val="Bibliography"/>
        <w:rPr>
          <w:rFonts w:ascii="Calibri" w:hAnsi="Calibri"/>
        </w:rPr>
      </w:pPr>
      <w:r w:rsidRPr="0089195C">
        <w:rPr>
          <w:rFonts w:ascii="Calibri" w:hAnsi="Calibri"/>
        </w:rPr>
        <w:t xml:space="preserve">Stewart, M.L., Timm, D.A., and Slavin, J.L. (2008). Fructooligosaccharides exhibit more rapid fermentation than long-chain inulin in an in vitro fermentation system. Nutr. Res. </w:t>
      </w:r>
      <w:r w:rsidRPr="0089195C">
        <w:rPr>
          <w:rFonts w:ascii="Calibri" w:hAnsi="Calibri"/>
          <w:i/>
          <w:iCs/>
        </w:rPr>
        <w:t>28</w:t>
      </w:r>
      <w:r w:rsidRPr="0089195C">
        <w:rPr>
          <w:rFonts w:ascii="Calibri" w:hAnsi="Calibri"/>
        </w:rPr>
        <w:t>, 329–334.</w:t>
      </w:r>
    </w:p>
    <w:p w14:paraId="38630E63" w14:textId="77777777" w:rsidR="0089195C" w:rsidRPr="0089195C" w:rsidRDefault="0089195C" w:rsidP="0089195C">
      <w:pPr>
        <w:pStyle w:val="Bibliography"/>
        <w:rPr>
          <w:rFonts w:ascii="Calibri" w:hAnsi="Calibri"/>
        </w:rPr>
      </w:pPr>
      <w:r w:rsidRPr="0089195C">
        <w:rPr>
          <w:rFonts w:ascii="Calibri" w:hAnsi="Calibri"/>
        </w:rPr>
        <w:t xml:space="preserve">Van Craeyveld, V., Swennen, K., Dornez, E., Van de Wiele, T., Marzorati, M., Verstraete, W., Delaedt, Y., Onagbesan, O., Decuypere, E., Buyse, J., et al. (2008). Structurally Different Wheat-Derived Arabinoxylooligosaccharides Have Different Prebiotic and Fermentation Properties in Rats. J. Nutr. </w:t>
      </w:r>
      <w:r w:rsidRPr="0089195C">
        <w:rPr>
          <w:rFonts w:ascii="Calibri" w:hAnsi="Calibri"/>
          <w:i/>
          <w:iCs/>
        </w:rPr>
        <w:t>138</w:t>
      </w:r>
      <w:r w:rsidRPr="0089195C">
        <w:rPr>
          <w:rFonts w:ascii="Calibri" w:hAnsi="Calibri"/>
        </w:rPr>
        <w:t>, 2348–2355.</w:t>
      </w:r>
    </w:p>
    <w:p w14:paraId="4B2BB4F2" w14:textId="77777777" w:rsidR="0089195C" w:rsidRPr="0089195C" w:rsidRDefault="0089195C" w:rsidP="0089195C">
      <w:pPr>
        <w:pStyle w:val="Bibliography"/>
        <w:rPr>
          <w:rFonts w:ascii="Calibri" w:hAnsi="Calibri"/>
        </w:rPr>
      </w:pPr>
      <w:r w:rsidRPr="0089195C">
        <w:rPr>
          <w:rFonts w:ascii="Calibri" w:hAnsi="Calibri"/>
        </w:rPr>
        <w:t xml:space="preserve">Vanderhaeghen, S., Lacroix, C., and Schwab, C. (2015). Methanogen communities in stools of humans of different age and health status and co-occurrence with bacteria. FEMS Microbiol. Lett. </w:t>
      </w:r>
      <w:r w:rsidRPr="0089195C">
        <w:rPr>
          <w:rFonts w:ascii="Calibri" w:hAnsi="Calibri"/>
          <w:i/>
          <w:iCs/>
        </w:rPr>
        <w:t>362</w:t>
      </w:r>
      <w:r w:rsidRPr="0089195C">
        <w:rPr>
          <w:rFonts w:ascii="Calibri" w:hAnsi="Calibri"/>
        </w:rPr>
        <w:t>.</w:t>
      </w:r>
    </w:p>
    <w:p w14:paraId="66C97E9B" w14:textId="77777777" w:rsidR="0089195C" w:rsidRPr="0089195C" w:rsidRDefault="0089195C" w:rsidP="0089195C">
      <w:pPr>
        <w:pStyle w:val="Bibliography"/>
        <w:rPr>
          <w:rFonts w:ascii="Calibri" w:hAnsi="Calibri"/>
        </w:rPr>
      </w:pPr>
      <w:r w:rsidRPr="0089195C">
        <w:rPr>
          <w:rFonts w:ascii="Calibri" w:hAnsi="Calibri"/>
        </w:rPr>
        <w:t xml:space="preserve">Walker, A.W., Duncan, S.H., McWilliam Leitch, E.C., Child, M.W., and Flint, H.J. (2005). pH and Peptide Supply Can Radically Alter Bacterial Populations and Short-Chain Fatty Acid Ratios within Microbial Communities from the Human Colon. Appl. Environ. Microbiol. </w:t>
      </w:r>
      <w:r w:rsidRPr="0089195C">
        <w:rPr>
          <w:rFonts w:ascii="Calibri" w:hAnsi="Calibri"/>
          <w:i/>
          <w:iCs/>
        </w:rPr>
        <w:t>71</w:t>
      </w:r>
      <w:r w:rsidRPr="0089195C">
        <w:rPr>
          <w:rFonts w:ascii="Calibri" w:hAnsi="Calibri"/>
        </w:rPr>
        <w:t>, 3692–3700.</w:t>
      </w:r>
    </w:p>
    <w:p w14:paraId="5B0AE037" w14:textId="77777777" w:rsidR="0089195C" w:rsidRPr="0089195C" w:rsidRDefault="0089195C" w:rsidP="0089195C">
      <w:pPr>
        <w:pStyle w:val="Bibliography"/>
        <w:rPr>
          <w:rFonts w:ascii="Calibri" w:hAnsi="Calibri"/>
        </w:rPr>
      </w:pPr>
      <w:r w:rsidRPr="0089195C">
        <w:rPr>
          <w:rFonts w:ascii="Calibri" w:hAnsi="Calibri"/>
        </w:rPr>
        <w:t xml:space="preserve">Wang, Y., Ames, N.P., Tun, H.M., Tosh, S.M., Jones, P.J., and Khafipour, E. (2016). High Molecular Weight Barley β-Glucan Alters Gut Microbiota Toward Reduced Cardiovascular Disease Risk. Front. Microbiol. </w:t>
      </w:r>
      <w:r w:rsidRPr="0089195C">
        <w:rPr>
          <w:rFonts w:ascii="Calibri" w:hAnsi="Calibri"/>
          <w:i/>
          <w:iCs/>
        </w:rPr>
        <w:t>7</w:t>
      </w:r>
      <w:r w:rsidRPr="0089195C">
        <w:rPr>
          <w:rFonts w:ascii="Calibri" w:hAnsi="Calibri"/>
        </w:rPr>
        <w:t>.</w:t>
      </w:r>
    </w:p>
    <w:p w14:paraId="4B488B00" w14:textId="77777777" w:rsidR="0089195C" w:rsidRPr="0089195C" w:rsidRDefault="0089195C" w:rsidP="0089195C">
      <w:pPr>
        <w:pStyle w:val="Bibliography"/>
        <w:rPr>
          <w:rFonts w:ascii="Calibri" w:hAnsi="Calibri"/>
        </w:rPr>
      </w:pPr>
      <w:r w:rsidRPr="0089195C">
        <w:rPr>
          <w:rFonts w:ascii="Calibri" w:hAnsi="Calibri"/>
        </w:rPr>
        <w:t xml:space="preserve">Zanotti, I., Turroni, F., Piemontese, A., Mancabelli, L., Milani, C., Viappiani, A., Prevedini, G., Sanchez, B., Margolles, A., Elviri, L., et al. (2015). Evidence for cholesterol-lowering activity by </w:t>
      </w:r>
      <w:r w:rsidRPr="00FB6768">
        <w:rPr>
          <w:rFonts w:ascii="Calibri" w:hAnsi="Calibri"/>
          <w:i/>
        </w:rPr>
        <w:t>Bifidobacterium bifidum</w:t>
      </w:r>
      <w:r w:rsidRPr="0089195C">
        <w:rPr>
          <w:rFonts w:ascii="Calibri" w:hAnsi="Calibri"/>
        </w:rPr>
        <w:t xml:space="preserve"> PRL2010 through gut microbiota modulation. Appl. Microbiol. Biotechnol. </w:t>
      </w:r>
      <w:r w:rsidRPr="0089195C">
        <w:rPr>
          <w:rFonts w:ascii="Calibri" w:hAnsi="Calibri"/>
          <w:i/>
          <w:iCs/>
        </w:rPr>
        <w:t>99</w:t>
      </w:r>
      <w:r w:rsidRPr="0089195C">
        <w:rPr>
          <w:rFonts w:ascii="Calibri" w:hAnsi="Calibri"/>
        </w:rPr>
        <w:t>, 6813–6829.</w:t>
      </w:r>
    </w:p>
    <w:p w14:paraId="46BE3ABC" w14:textId="15CE8CE6" w:rsidR="001D6D4B" w:rsidRPr="000C0633" w:rsidRDefault="001D6D4B" w:rsidP="001D6D4B">
      <w:pPr>
        <w:spacing w:line="360" w:lineRule="auto"/>
        <w:jc w:val="both"/>
      </w:pPr>
      <w:r>
        <w:fldChar w:fldCharType="end"/>
      </w:r>
    </w:p>
    <w:p w14:paraId="73EA6453" w14:textId="6A24FB5F" w:rsidR="001D6D4B" w:rsidRDefault="001D6D4B">
      <w:r>
        <w:br w:type="page"/>
      </w:r>
    </w:p>
    <w:p w14:paraId="1B1F08D0" w14:textId="11053D2D" w:rsidR="0021081E" w:rsidRPr="00DF163F" w:rsidRDefault="00BE07AC" w:rsidP="00AE4892">
      <w:pPr>
        <w:pStyle w:val="Caption"/>
        <w:spacing w:line="360" w:lineRule="auto"/>
        <w:jc w:val="both"/>
        <w:rPr>
          <w:color w:val="auto"/>
          <w:sz w:val="22"/>
        </w:rPr>
      </w:pPr>
      <w:r>
        <w:rPr>
          <w:color w:val="auto"/>
          <w:sz w:val="22"/>
        </w:rPr>
        <w:t xml:space="preserve">Table </w:t>
      </w:r>
      <w:r w:rsidR="00B87DC3">
        <w:rPr>
          <w:color w:val="auto"/>
          <w:sz w:val="22"/>
        </w:rPr>
        <w:t>1</w:t>
      </w:r>
      <w:r w:rsidR="0021081E" w:rsidRPr="00DF163F">
        <w:rPr>
          <w:color w:val="auto"/>
          <w:sz w:val="22"/>
        </w:rPr>
        <w:t xml:space="preserve">: % SCFA produced in </w:t>
      </w:r>
      <w:r w:rsidR="0021081E" w:rsidRPr="00DA3A41">
        <w:rPr>
          <w:i/>
          <w:color w:val="auto"/>
          <w:sz w:val="22"/>
        </w:rPr>
        <w:t>in vitro</w:t>
      </w:r>
      <w:r w:rsidR="0021081E" w:rsidRPr="00DF163F">
        <w:rPr>
          <w:color w:val="auto"/>
          <w:sz w:val="22"/>
        </w:rPr>
        <w:t xml:space="preserve"> colonic fermentation vessels at 24 </w:t>
      </w:r>
      <w:r w:rsidR="0021081E">
        <w:rPr>
          <w:color w:val="auto"/>
          <w:sz w:val="22"/>
        </w:rPr>
        <w:t>hours containing AX and β</w:t>
      </w:r>
      <w:r w:rsidR="0021081E" w:rsidRPr="00DF163F">
        <w:rPr>
          <w:color w:val="auto"/>
          <w:sz w:val="22"/>
        </w:rPr>
        <w:t xml:space="preserve">-glucan alone and combined in different ratios. </w:t>
      </w:r>
      <w:r w:rsidR="0021081E" w:rsidRPr="00DF163F">
        <w:rPr>
          <w:b w:val="0"/>
          <w:color w:val="auto"/>
          <w:sz w:val="22"/>
        </w:rPr>
        <w:t>FOS is the positive control, and no added polysaccharide (no tre</w:t>
      </w:r>
      <w:r w:rsidR="006F1207">
        <w:rPr>
          <w:b w:val="0"/>
          <w:color w:val="auto"/>
          <w:sz w:val="22"/>
        </w:rPr>
        <w:t>a</w:t>
      </w:r>
      <w:r w:rsidR="003056F8">
        <w:rPr>
          <w:b w:val="0"/>
          <w:color w:val="auto"/>
          <w:sz w:val="22"/>
        </w:rPr>
        <w:t>tment) is the negative control, n</w:t>
      </w:r>
      <w:r w:rsidR="006F1207">
        <w:rPr>
          <w:b w:val="0"/>
          <w:color w:val="auto"/>
          <w:sz w:val="22"/>
        </w:rPr>
        <w:t>=3</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1289"/>
        <w:gridCol w:w="1289"/>
        <w:gridCol w:w="1178"/>
      </w:tblGrid>
      <w:tr w:rsidR="0021081E" w:rsidRPr="00DF163F" w14:paraId="63145ADD" w14:textId="77777777" w:rsidTr="00EF4891">
        <w:trPr>
          <w:trHeight w:val="300"/>
        </w:trPr>
        <w:tc>
          <w:tcPr>
            <w:tcW w:w="0" w:type="auto"/>
            <w:shd w:val="clear" w:color="auto" w:fill="auto"/>
            <w:noWrap/>
            <w:vAlign w:val="bottom"/>
            <w:hideMark/>
          </w:tcPr>
          <w:p w14:paraId="10A1E46A" w14:textId="77777777" w:rsidR="0021081E" w:rsidRPr="00DF163F" w:rsidRDefault="0021081E" w:rsidP="009A3F76">
            <w:pPr>
              <w:spacing w:after="0" w:line="360" w:lineRule="auto"/>
              <w:jc w:val="both"/>
              <w:rPr>
                <w:rFonts w:eastAsia="Times New Roman"/>
                <w:sz w:val="20"/>
                <w:szCs w:val="20"/>
              </w:rPr>
            </w:pPr>
          </w:p>
        </w:tc>
        <w:tc>
          <w:tcPr>
            <w:tcW w:w="0" w:type="auto"/>
            <w:gridSpan w:val="3"/>
            <w:shd w:val="clear" w:color="auto" w:fill="auto"/>
            <w:noWrap/>
            <w:vAlign w:val="bottom"/>
            <w:hideMark/>
          </w:tcPr>
          <w:p w14:paraId="2DC4699C" w14:textId="77777777" w:rsidR="0021081E" w:rsidRPr="00A940EF" w:rsidRDefault="0021081E" w:rsidP="009A3F76">
            <w:pPr>
              <w:spacing w:after="0" w:line="360" w:lineRule="auto"/>
              <w:jc w:val="both"/>
              <w:rPr>
                <w:rFonts w:eastAsia="Times New Roman"/>
                <w:b/>
                <w:color w:val="000000"/>
                <w:sz w:val="22"/>
                <w:szCs w:val="22"/>
              </w:rPr>
            </w:pPr>
            <w:r w:rsidRPr="00A940EF">
              <w:rPr>
                <w:rFonts w:eastAsia="Times New Roman"/>
                <w:b/>
                <w:color w:val="000000"/>
                <w:sz w:val="22"/>
                <w:szCs w:val="22"/>
              </w:rPr>
              <w:t>SCFA (%)</w:t>
            </w:r>
          </w:p>
        </w:tc>
      </w:tr>
      <w:tr w:rsidR="0021081E" w:rsidRPr="00DF163F" w14:paraId="32A26115" w14:textId="77777777" w:rsidTr="00EF4891">
        <w:trPr>
          <w:trHeight w:val="300"/>
        </w:trPr>
        <w:tc>
          <w:tcPr>
            <w:tcW w:w="0" w:type="auto"/>
            <w:shd w:val="clear" w:color="auto" w:fill="auto"/>
            <w:noWrap/>
            <w:vAlign w:val="bottom"/>
            <w:hideMark/>
          </w:tcPr>
          <w:p w14:paraId="1EEEBE48" w14:textId="77777777" w:rsidR="0021081E" w:rsidRPr="00DF163F" w:rsidRDefault="0021081E" w:rsidP="009A3F76">
            <w:pPr>
              <w:spacing w:after="0" w:line="360" w:lineRule="auto"/>
              <w:jc w:val="both"/>
              <w:rPr>
                <w:rFonts w:eastAsia="Times New Roman"/>
                <w:color w:val="000000"/>
                <w:sz w:val="22"/>
                <w:szCs w:val="22"/>
              </w:rPr>
            </w:pPr>
          </w:p>
        </w:tc>
        <w:tc>
          <w:tcPr>
            <w:tcW w:w="0" w:type="auto"/>
            <w:shd w:val="clear" w:color="auto" w:fill="auto"/>
            <w:noWrap/>
            <w:vAlign w:val="bottom"/>
            <w:hideMark/>
          </w:tcPr>
          <w:p w14:paraId="48069C82" w14:textId="77777777" w:rsidR="0021081E" w:rsidRPr="00A940EF" w:rsidRDefault="0021081E" w:rsidP="009A3F76">
            <w:pPr>
              <w:spacing w:after="0" w:line="360" w:lineRule="auto"/>
              <w:jc w:val="both"/>
              <w:rPr>
                <w:rFonts w:eastAsia="Times New Roman"/>
                <w:b/>
                <w:color w:val="000000"/>
                <w:sz w:val="22"/>
                <w:szCs w:val="22"/>
              </w:rPr>
            </w:pPr>
            <w:r w:rsidRPr="00A940EF">
              <w:rPr>
                <w:rFonts w:eastAsia="Times New Roman"/>
                <w:b/>
                <w:color w:val="000000"/>
                <w:sz w:val="22"/>
                <w:szCs w:val="22"/>
              </w:rPr>
              <w:t>Acetate</w:t>
            </w:r>
          </w:p>
        </w:tc>
        <w:tc>
          <w:tcPr>
            <w:tcW w:w="0" w:type="auto"/>
            <w:shd w:val="clear" w:color="auto" w:fill="auto"/>
            <w:noWrap/>
            <w:vAlign w:val="bottom"/>
            <w:hideMark/>
          </w:tcPr>
          <w:p w14:paraId="40AF0496" w14:textId="77777777" w:rsidR="0021081E" w:rsidRPr="00A940EF" w:rsidRDefault="0021081E" w:rsidP="009A3F76">
            <w:pPr>
              <w:spacing w:after="0" w:line="360" w:lineRule="auto"/>
              <w:jc w:val="both"/>
              <w:rPr>
                <w:rFonts w:eastAsia="Times New Roman"/>
                <w:b/>
                <w:color w:val="000000"/>
                <w:sz w:val="22"/>
                <w:szCs w:val="22"/>
              </w:rPr>
            </w:pPr>
            <w:r w:rsidRPr="00A940EF">
              <w:rPr>
                <w:rFonts w:eastAsia="Times New Roman"/>
                <w:b/>
                <w:color w:val="000000"/>
                <w:sz w:val="22"/>
                <w:szCs w:val="22"/>
              </w:rPr>
              <w:t>Propionate</w:t>
            </w:r>
          </w:p>
        </w:tc>
        <w:tc>
          <w:tcPr>
            <w:tcW w:w="0" w:type="auto"/>
            <w:shd w:val="clear" w:color="auto" w:fill="auto"/>
            <w:noWrap/>
            <w:vAlign w:val="bottom"/>
            <w:hideMark/>
          </w:tcPr>
          <w:p w14:paraId="154FD4C6" w14:textId="77777777" w:rsidR="0021081E" w:rsidRPr="00A940EF" w:rsidRDefault="0021081E" w:rsidP="009A3F76">
            <w:pPr>
              <w:spacing w:after="0" w:line="360" w:lineRule="auto"/>
              <w:jc w:val="both"/>
              <w:rPr>
                <w:rFonts w:eastAsia="Times New Roman"/>
                <w:b/>
                <w:color w:val="000000"/>
                <w:sz w:val="22"/>
                <w:szCs w:val="22"/>
              </w:rPr>
            </w:pPr>
            <w:r w:rsidRPr="00A940EF">
              <w:rPr>
                <w:rFonts w:eastAsia="Times New Roman"/>
                <w:b/>
                <w:color w:val="000000"/>
                <w:sz w:val="22"/>
                <w:szCs w:val="22"/>
              </w:rPr>
              <w:t>Butyrate</w:t>
            </w:r>
          </w:p>
        </w:tc>
      </w:tr>
      <w:tr w:rsidR="0021081E" w:rsidRPr="00DF163F" w14:paraId="33004230" w14:textId="77777777" w:rsidTr="00EF4891">
        <w:trPr>
          <w:trHeight w:val="300"/>
        </w:trPr>
        <w:tc>
          <w:tcPr>
            <w:tcW w:w="0" w:type="auto"/>
            <w:shd w:val="clear" w:color="auto" w:fill="auto"/>
            <w:noWrap/>
            <w:vAlign w:val="bottom"/>
            <w:hideMark/>
          </w:tcPr>
          <w:p w14:paraId="1A734277"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No treatment</w:t>
            </w:r>
          </w:p>
        </w:tc>
        <w:tc>
          <w:tcPr>
            <w:tcW w:w="0" w:type="auto"/>
            <w:shd w:val="clear" w:color="auto" w:fill="auto"/>
            <w:noWrap/>
            <w:vAlign w:val="bottom"/>
            <w:hideMark/>
          </w:tcPr>
          <w:p w14:paraId="52C98EEB" w14:textId="752ECD36"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47.2</w:t>
            </w:r>
            <w:r w:rsidR="003E5275">
              <w:rPr>
                <w:rFonts w:eastAsia="Times New Roman"/>
                <w:color w:val="000000"/>
                <w:sz w:val="22"/>
                <w:szCs w:val="22"/>
              </w:rPr>
              <w:t xml:space="preserve"> (±</w:t>
            </w:r>
            <w:r w:rsidR="003056F8">
              <w:rPr>
                <w:rFonts w:eastAsia="Times New Roman"/>
                <w:color w:val="000000"/>
                <w:sz w:val="22"/>
                <w:szCs w:val="22"/>
              </w:rPr>
              <w:t>13.5)</w:t>
            </w:r>
          </w:p>
        </w:tc>
        <w:tc>
          <w:tcPr>
            <w:tcW w:w="0" w:type="auto"/>
            <w:shd w:val="clear" w:color="auto" w:fill="auto"/>
            <w:noWrap/>
            <w:vAlign w:val="bottom"/>
            <w:hideMark/>
          </w:tcPr>
          <w:p w14:paraId="197CB659" w14:textId="634417B8"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37.0</w:t>
            </w:r>
            <w:r w:rsidR="003056F8">
              <w:rPr>
                <w:rFonts w:eastAsia="Times New Roman"/>
                <w:color w:val="000000"/>
                <w:sz w:val="22"/>
                <w:szCs w:val="22"/>
              </w:rPr>
              <w:t xml:space="preserve"> (±7.8)</w:t>
            </w:r>
          </w:p>
        </w:tc>
        <w:tc>
          <w:tcPr>
            <w:tcW w:w="0" w:type="auto"/>
            <w:shd w:val="clear" w:color="auto" w:fill="auto"/>
            <w:noWrap/>
            <w:vAlign w:val="bottom"/>
            <w:hideMark/>
          </w:tcPr>
          <w:p w14:paraId="606C3A2A" w14:textId="6CC0C10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15.7</w:t>
            </w:r>
            <w:r w:rsidR="003056F8">
              <w:rPr>
                <w:rFonts w:eastAsia="Times New Roman"/>
                <w:color w:val="000000"/>
                <w:sz w:val="22"/>
                <w:szCs w:val="22"/>
              </w:rPr>
              <w:t xml:space="preserve"> (±4.1)</w:t>
            </w:r>
          </w:p>
        </w:tc>
      </w:tr>
      <w:tr w:rsidR="0021081E" w:rsidRPr="00DF163F" w14:paraId="64220160" w14:textId="77777777" w:rsidTr="00EF4891">
        <w:trPr>
          <w:trHeight w:val="300"/>
        </w:trPr>
        <w:tc>
          <w:tcPr>
            <w:tcW w:w="0" w:type="auto"/>
            <w:shd w:val="clear" w:color="auto" w:fill="auto"/>
            <w:noWrap/>
            <w:vAlign w:val="bottom"/>
            <w:hideMark/>
          </w:tcPr>
          <w:p w14:paraId="2BF7F89D"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FOS</w:t>
            </w:r>
          </w:p>
        </w:tc>
        <w:tc>
          <w:tcPr>
            <w:tcW w:w="0" w:type="auto"/>
            <w:shd w:val="clear" w:color="auto" w:fill="auto"/>
            <w:noWrap/>
            <w:vAlign w:val="bottom"/>
            <w:hideMark/>
          </w:tcPr>
          <w:p w14:paraId="63097C52" w14:textId="66472234"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70.0</w:t>
            </w:r>
            <w:r w:rsidR="003056F8">
              <w:rPr>
                <w:rFonts w:eastAsia="Times New Roman"/>
                <w:color w:val="000000"/>
                <w:sz w:val="22"/>
                <w:szCs w:val="22"/>
              </w:rPr>
              <w:t xml:space="preserve"> (±8.0)</w:t>
            </w:r>
          </w:p>
        </w:tc>
        <w:tc>
          <w:tcPr>
            <w:tcW w:w="0" w:type="auto"/>
            <w:shd w:val="clear" w:color="auto" w:fill="auto"/>
            <w:noWrap/>
            <w:vAlign w:val="bottom"/>
            <w:hideMark/>
          </w:tcPr>
          <w:p w14:paraId="7DF33518" w14:textId="0D849392"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15.4</w:t>
            </w:r>
            <w:r w:rsidR="003056F8">
              <w:rPr>
                <w:rFonts w:eastAsia="Times New Roman"/>
                <w:color w:val="000000"/>
                <w:sz w:val="22"/>
                <w:szCs w:val="22"/>
              </w:rPr>
              <w:t xml:space="preserve"> (±4.3)</w:t>
            </w:r>
          </w:p>
        </w:tc>
        <w:tc>
          <w:tcPr>
            <w:tcW w:w="0" w:type="auto"/>
            <w:shd w:val="clear" w:color="auto" w:fill="auto"/>
            <w:noWrap/>
            <w:vAlign w:val="bottom"/>
            <w:hideMark/>
          </w:tcPr>
          <w:p w14:paraId="7648DBB7" w14:textId="355A065E"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14.6</w:t>
            </w:r>
            <w:r w:rsidR="003056F8">
              <w:rPr>
                <w:rFonts w:eastAsia="Times New Roman"/>
                <w:color w:val="000000"/>
                <w:sz w:val="22"/>
                <w:szCs w:val="22"/>
              </w:rPr>
              <w:t xml:space="preserve"> (±4.6)</w:t>
            </w:r>
          </w:p>
        </w:tc>
      </w:tr>
      <w:tr w:rsidR="0021081E" w:rsidRPr="00DF163F" w14:paraId="0A980E26" w14:textId="77777777" w:rsidTr="00EF4891">
        <w:trPr>
          <w:trHeight w:val="300"/>
        </w:trPr>
        <w:tc>
          <w:tcPr>
            <w:tcW w:w="0" w:type="auto"/>
            <w:shd w:val="clear" w:color="auto" w:fill="auto"/>
            <w:noWrap/>
            <w:vAlign w:val="bottom"/>
            <w:hideMark/>
          </w:tcPr>
          <w:p w14:paraId="079BB07F"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AX</w:t>
            </w:r>
          </w:p>
        </w:tc>
        <w:tc>
          <w:tcPr>
            <w:tcW w:w="0" w:type="auto"/>
            <w:shd w:val="clear" w:color="auto" w:fill="auto"/>
            <w:noWrap/>
            <w:vAlign w:val="bottom"/>
            <w:hideMark/>
          </w:tcPr>
          <w:p w14:paraId="7ACEABD5" w14:textId="4EB08CC0"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73.5</w:t>
            </w:r>
            <w:r w:rsidR="003056F8">
              <w:rPr>
                <w:rFonts w:eastAsia="Times New Roman"/>
                <w:color w:val="000000"/>
                <w:sz w:val="22"/>
                <w:szCs w:val="22"/>
              </w:rPr>
              <w:t xml:space="preserve"> (±16.1)</w:t>
            </w:r>
          </w:p>
        </w:tc>
        <w:tc>
          <w:tcPr>
            <w:tcW w:w="0" w:type="auto"/>
            <w:shd w:val="clear" w:color="auto" w:fill="auto"/>
            <w:noWrap/>
            <w:vAlign w:val="bottom"/>
            <w:hideMark/>
          </w:tcPr>
          <w:p w14:paraId="65A31751" w14:textId="574AD914"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15.4</w:t>
            </w:r>
            <w:r w:rsidR="003056F8">
              <w:rPr>
                <w:rFonts w:eastAsia="Times New Roman"/>
                <w:color w:val="000000"/>
                <w:sz w:val="22"/>
                <w:szCs w:val="22"/>
              </w:rPr>
              <w:t xml:space="preserve"> (±3.6)</w:t>
            </w:r>
          </w:p>
        </w:tc>
        <w:tc>
          <w:tcPr>
            <w:tcW w:w="0" w:type="auto"/>
            <w:shd w:val="clear" w:color="auto" w:fill="auto"/>
            <w:noWrap/>
            <w:vAlign w:val="bottom"/>
            <w:hideMark/>
          </w:tcPr>
          <w:p w14:paraId="3CC271E4" w14:textId="227B6061"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11.1</w:t>
            </w:r>
            <w:r w:rsidR="003056F8">
              <w:rPr>
                <w:rFonts w:eastAsia="Times New Roman"/>
                <w:color w:val="000000"/>
                <w:sz w:val="22"/>
                <w:szCs w:val="22"/>
              </w:rPr>
              <w:t xml:space="preserve"> (±4.3)</w:t>
            </w:r>
          </w:p>
        </w:tc>
      </w:tr>
      <w:tr w:rsidR="0021081E" w:rsidRPr="00DF163F" w14:paraId="7B919BB5" w14:textId="77777777" w:rsidTr="00EF4891">
        <w:trPr>
          <w:trHeight w:val="300"/>
        </w:trPr>
        <w:tc>
          <w:tcPr>
            <w:tcW w:w="0" w:type="auto"/>
            <w:shd w:val="clear" w:color="auto" w:fill="auto"/>
            <w:noWrap/>
            <w:vAlign w:val="bottom"/>
            <w:hideMark/>
          </w:tcPr>
          <w:p w14:paraId="066384E0"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AX 3:1 β-glucan</w:t>
            </w:r>
          </w:p>
        </w:tc>
        <w:tc>
          <w:tcPr>
            <w:tcW w:w="0" w:type="auto"/>
            <w:shd w:val="clear" w:color="auto" w:fill="auto"/>
            <w:noWrap/>
            <w:vAlign w:val="bottom"/>
            <w:hideMark/>
          </w:tcPr>
          <w:p w14:paraId="32ED3A47" w14:textId="60BD20FE"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74.9</w:t>
            </w:r>
            <w:r w:rsidR="003056F8">
              <w:rPr>
                <w:rFonts w:eastAsia="Times New Roman"/>
                <w:color w:val="000000"/>
                <w:sz w:val="22"/>
                <w:szCs w:val="22"/>
              </w:rPr>
              <w:t xml:space="preserve"> (±10.6)</w:t>
            </w:r>
          </w:p>
        </w:tc>
        <w:tc>
          <w:tcPr>
            <w:tcW w:w="0" w:type="auto"/>
            <w:shd w:val="clear" w:color="auto" w:fill="auto"/>
            <w:noWrap/>
            <w:vAlign w:val="bottom"/>
            <w:hideMark/>
          </w:tcPr>
          <w:p w14:paraId="51E17269" w14:textId="2D4AB9CA"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15.5</w:t>
            </w:r>
            <w:r w:rsidR="003056F8">
              <w:rPr>
                <w:rFonts w:eastAsia="Times New Roman"/>
                <w:color w:val="000000"/>
                <w:sz w:val="22"/>
                <w:szCs w:val="22"/>
              </w:rPr>
              <w:t xml:space="preserve"> (±4.7)</w:t>
            </w:r>
          </w:p>
        </w:tc>
        <w:tc>
          <w:tcPr>
            <w:tcW w:w="0" w:type="auto"/>
            <w:shd w:val="clear" w:color="auto" w:fill="auto"/>
            <w:noWrap/>
            <w:vAlign w:val="bottom"/>
            <w:hideMark/>
          </w:tcPr>
          <w:p w14:paraId="50EEFDF6" w14:textId="1413D28F"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9.6</w:t>
            </w:r>
            <w:r w:rsidR="003056F8">
              <w:rPr>
                <w:rFonts w:eastAsia="Times New Roman"/>
                <w:color w:val="000000"/>
                <w:sz w:val="22"/>
                <w:szCs w:val="22"/>
              </w:rPr>
              <w:t xml:space="preserve"> (±2.8)</w:t>
            </w:r>
          </w:p>
        </w:tc>
      </w:tr>
      <w:tr w:rsidR="0021081E" w:rsidRPr="00DF163F" w14:paraId="1C7B2418" w14:textId="77777777" w:rsidTr="00EF4891">
        <w:trPr>
          <w:trHeight w:val="300"/>
        </w:trPr>
        <w:tc>
          <w:tcPr>
            <w:tcW w:w="0" w:type="auto"/>
            <w:shd w:val="clear" w:color="auto" w:fill="auto"/>
            <w:noWrap/>
            <w:vAlign w:val="bottom"/>
            <w:hideMark/>
          </w:tcPr>
          <w:p w14:paraId="1C0F6AB0"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AX 1:1 β-glucan</w:t>
            </w:r>
          </w:p>
        </w:tc>
        <w:tc>
          <w:tcPr>
            <w:tcW w:w="0" w:type="auto"/>
            <w:shd w:val="clear" w:color="auto" w:fill="auto"/>
            <w:noWrap/>
            <w:vAlign w:val="bottom"/>
            <w:hideMark/>
          </w:tcPr>
          <w:p w14:paraId="167CA633" w14:textId="7B918D58"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72.0</w:t>
            </w:r>
            <w:r w:rsidR="003056F8">
              <w:rPr>
                <w:rFonts w:eastAsia="Times New Roman"/>
                <w:color w:val="000000"/>
                <w:sz w:val="22"/>
                <w:szCs w:val="22"/>
              </w:rPr>
              <w:t xml:space="preserve"> (±25.3)</w:t>
            </w:r>
          </w:p>
        </w:tc>
        <w:tc>
          <w:tcPr>
            <w:tcW w:w="0" w:type="auto"/>
            <w:shd w:val="clear" w:color="auto" w:fill="auto"/>
            <w:noWrap/>
            <w:vAlign w:val="bottom"/>
            <w:hideMark/>
          </w:tcPr>
          <w:p w14:paraId="4700B836" w14:textId="2017F3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12.0</w:t>
            </w:r>
            <w:r w:rsidR="003056F8">
              <w:rPr>
                <w:rFonts w:eastAsia="Times New Roman"/>
                <w:color w:val="000000"/>
                <w:sz w:val="22"/>
                <w:szCs w:val="22"/>
              </w:rPr>
              <w:t xml:space="preserve"> (±3.7)</w:t>
            </w:r>
          </w:p>
        </w:tc>
        <w:tc>
          <w:tcPr>
            <w:tcW w:w="0" w:type="auto"/>
            <w:shd w:val="clear" w:color="auto" w:fill="auto"/>
            <w:noWrap/>
            <w:vAlign w:val="bottom"/>
            <w:hideMark/>
          </w:tcPr>
          <w:p w14:paraId="01A7C69D" w14:textId="1E0B9312"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15.9</w:t>
            </w:r>
            <w:r w:rsidR="003056F8">
              <w:rPr>
                <w:rFonts w:eastAsia="Times New Roman"/>
                <w:color w:val="000000"/>
                <w:sz w:val="22"/>
                <w:szCs w:val="22"/>
              </w:rPr>
              <w:t xml:space="preserve"> (±5.4)</w:t>
            </w:r>
          </w:p>
        </w:tc>
      </w:tr>
      <w:tr w:rsidR="0021081E" w:rsidRPr="00DF163F" w14:paraId="4CB820FB" w14:textId="77777777" w:rsidTr="00EF4891">
        <w:trPr>
          <w:trHeight w:val="300"/>
        </w:trPr>
        <w:tc>
          <w:tcPr>
            <w:tcW w:w="0" w:type="auto"/>
            <w:shd w:val="clear" w:color="auto" w:fill="auto"/>
            <w:noWrap/>
            <w:vAlign w:val="bottom"/>
            <w:hideMark/>
          </w:tcPr>
          <w:p w14:paraId="3B2462E5"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AX 1:3 β-glucan</w:t>
            </w:r>
          </w:p>
        </w:tc>
        <w:tc>
          <w:tcPr>
            <w:tcW w:w="0" w:type="auto"/>
            <w:shd w:val="clear" w:color="auto" w:fill="auto"/>
            <w:noWrap/>
            <w:vAlign w:val="bottom"/>
            <w:hideMark/>
          </w:tcPr>
          <w:p w14:paraId="7DF2B6AE" w14:textId="4976100D"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63.0</w:t>
            </w:r>
            <w:r w:rsidR="003056F8">
              <w:rPr>
                <w:rFonts w:eastAsia="Times New Roman"/>
                <w:color w:val="000000"/>
                <w:sz w:val="22"/>
                <w:szCs w:val="22"/>
              </w:rPr>
              <w:t xml:space="preserve"> (±16.5)</w:t>
            </w:r>
          </w:p>
        </w:tc>
        <w:tc>
          <w:tcPr>
            <w:tcW w:w="0" w:type="auto"/>
            <w:shd w:val="clear" w:color="auto" w:fill="auto"/>
            <w:noWrap/>
            <w:vAlign w:val="bottom"/>
            <w:hideMark/>
          </w:tcPr>
          <w:p w14:paraId="63571E4E" w14:textId="698D4B75"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19.3</w:t>
            </w:r>
            <w:r w:rsidR="003056F8">
              <w:rPr>
                <w:rFonts w:eastAsia="Times New Roman"/>
                <w:color w:val="000000"/>
                <w:sz w:val="22"/>
                <w:szCs w:val="22"/>
              </w:rPr>
              <w:t xml:space="preserve"> (±5.7)</w:t>
            </w:r>
          </w:p>
        </w:tc>
        <w:tc>
          <w:tcPr>
            <w:tcW w:w="0" w:type="auto"/>
            <w:shd w:val="clear" w:color="auto" w:fill="auto"/>
            <w:noWrap/>
            <w:vAlign w:val="bottom"/>
            <w:hideMark/>
          </w:tcPr>
          <w:p w14:paraId="20328229" w14:textId="5C56AFEB"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17.7</w:t>
            </w:r>
            <w:r w:rsidR="003056F8">
              <w:rPr>
                <w:rFonts w:eastAsia="Times New Roman"/>
                <w:color w:val="000000"/>
                <w:sz w:val="22"/>
                <w:szCs w:val="22"/>
              </w:rPr>
              <w:t xml:space="preserve"> </w:t>
            </w:r>
            <w:r w:rsidR="009A3F76">
              <w:rPr>
                <w:rFonts w:eastAsia="Times New Roman"/>
                <w:color w:val="000000"/>
                <w:sz w:val="22"/>
                <w:szCs w:val="22"/>
              </w:rPr>
              <w:t>(±</w:t>
            </w:r>
            <w:r w:rsidR="003056F8">
              <w:rPr>
                <w:rFonts w:eastAsia="Times New Roman"/>
                <w:color w:val="000000"/>
                <w:sz w:val="22"/>
                <w:szCs w:val="22"/>
              </w:rPr>
              <w:t>4.5)</w:t>
            </w:r>
          </w:p>
        </w:tc>
      </w:tr>
      <w:tr w:rsidR="0021081E" w:rsidRPr="00DF163F" w14:paraId="52B9B1B5" w14:textId="77777777" w:rsidTr="00EF4891">
        <w:trPr>
          <w:trHeight w:val="300"/>
        </w:trPr>
        <w:tc>
          <w:tcPr>
            <w:tcW w:w="0" w:type="auto"/>
            <w:shd w:val="clear" w:color="auto" w:fill="auto"/>
            <w:noWrap/>
            <w:vAlign w:val="bottom"/>
            <w:hideMark/>
          </w:tcPr>
          <w:p w14:paraId="4ED61EF7" w14:textId="7777777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B glucan</w:t>
            </w:r>
          </w:p>
        </w:tc>
        <w:tc>
          <w:tcPr>
            <w:tcW w:w="0" w:type="auto"/>
            <w:shd w:val="clear" w:color="auto" w:fill="auto"/>
            <w:noWrap/>
            <w:vAlign w:val="bottom"/>
            <w:hideMark/>
          </w:tcPr>
          <w:p w14:paraId="076EC526" w14:textId="2A11BBF1"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45.3</w:t>
            </w:r>
            <w:r w:rsidR="003056F8">
              <w:rPr>
                <w:rFonts w:eastAsia="Times New Roman"/>
                <w:color w:val="000000"/>
                <w:sz w:val="22"/>
                <w:szCs w:val="22"/>
              </w:rPr>
              <w:t xml:space="preserve"> (±10.3)</w:t>
            </w:r>
          </w:p>
        </w:tc>
        <w:tc>
          <w:tcPr>
            <w:tcW w:w="0" w:type="auto"/>
            <w:shd w:val="clear" w:color="auto" w:fill="auto"/>
            <w:noWrap/>
            <w:vAlign w:val="bottom"/>
            <w:hideMark/>
          </w:tcPr>
          <w:p w14:paraId="3F8DE6FF" w14:textId="65432C87" w:rsidR="0021081E" w:rsidRPr="00DF163F" w:rsidRDefault="0021081E" w:rsidP="009A3F76">
            <w:pPr>
              <w:spacing w:after="0" w:line="360" w:lineRule="auto"/>
              <w:jc w:val="both"/>
              <w:rPr>
                <w:rFonts w:eastAsia="Times New Roman"/>
                <w:color w:val="000000"/>
                <w:sz w:val="22"/>
                <w:szCs w:val="22"/>
              </w:rPr>
            </w:pPr>
            <w:r w:rsidRPr="00DF163F">
              <w:rPr>
                <w:rFonts w:eastAsia="Times New Roman"/>
                <w:color w:val="000000"/>
                <w:sz w:val="22"/>
                <w:szCs w:val="22"/>
              </w:rPr>
              <w:t>44.9</w:t>
            </w:r>
            <w:r w:rsidR="003056F8">
              <w:rPr>
                <w:rFonts w:eastAsia="Times New Roman"/>
                <w:color w:val="000000"/>
                <w:sz w:val="22"/>
                <w:szCs w:val="22"/>
              </w:rPr>
              <w:t xml:space="preserve"> (±17.5)</w:t>
            </w:r>
          </w:p>
        </w:tc>
        <w:tc>
          <w:tcPr>
            <w:tcW w:w="0" w:type="auto"/>
            <w:shd w:val="clear" w:color="auto" w:fill="auto"/>
            <w:noWrap/>
            <w:vAlign w:val="bottom"/>
            <w:hideMark/>
          </w:tcPr>
          <w:p w14:paraId="41E39436" w14:textId="576E701E" w:rsidR="0021081E" w:rsidRPr="00DF163F" w:rsidRDefault="0021081E" w:rsidP="009A3F76">
            <w:pPr>
              <w:keepNext/>
              <w:spacing w:after="0" w:line="360" w:lineRule="auto"/>
              <w:jc w:val="both"/>
              <w:rPr>
                <w:rFonts w:eastAsia="Times New Roman"/>
                <w:color w:val="000000"/>
                <w:sz w:val="22"/>
                <w:szCs w:val="22"/>
              </w:rPr>
            </w:pPr>
            <w:r w:rsidRPr="00DF163F">
              <w:rPr>
                <w:rFonts w:eastAsia="Times New Roman"/>
                <w:color w:val="000000"/>
                <w:sz w:val="22"/>
                <w:szCs w:val="22"/>
              </w:rPr>
              <w:t>9.7</w:t>
            </w:r>
            <w:r w:rsidR="003056F8">
              <w:rPr>
                <w:rFonts w:eastAsia="Times New Roman"/>
                <w:color w:val="000000"/>
                <w:sz w:val="22"/>
                <w:szCs w:val="22"/>
              </w:rPr>
              <w:t xml:space="preserve"> (±1.3)</w:t>
            </w:r>
          </w:p>
        </w:tc>
      </w:tr>
    </w:tbl>
    <w:p w14:paraId="309D0CC9" w14:textId="0F110672" w:rsidR="00C41381" w:rsidRDefault="009A3F76" w:rsidP="00AE4892">
      <w:pPr>
        <w:spacing w:line="360" w:lineRule="auto"/>
        <w:jc w:val="both"/>
      </w:pPr>
      <w:r>
        <w:br w:type="textWrapping" w:clear="all"/>
      </w:r>
    </w:p>
    <w:p w14:paraId="1B30F7CB" w14:textId="1FDEDD36" w:rsidR="00A2460B" w:rsidRDefault="00A2460B" w:rsidP="00AE4892">
      <w:pPr>
        <w:spacing w:line="360" w:lineRule="auto"/>
        <w:jc w:val="both"/>
      </w:pPr>
    </w:p>
    <w:p w14:paraId="43D92A7F" w14:textId="7F99C040" w:rsidR="00A2460B" w:rsidRDefault="00A2460B" w:rsidP="00AE4892">
      <w:pPr>
        <w:spacing w:line="360" w:lineRule="auto"/>
        <w:jc w:val="both"/>
      </w:pPr>
    </w:p>
    <w:p w14:paraId="487154AE" w14:textId="77777777" w:rsidR="00A2460B" w:rsidRDefault="00A2460B" w:rsidP="00AE4892">
      <w:pPr>
        <w:spacing w:line="360" w:lineRule="auto"/>
        <w:jc w:val="both"/>
      </w:pPr>
    </w:p>
    <w:p w14:paraId="523E069B" w14:textId="7AE03DC0" w:rsidR="003D6F9C" w:rsidRDefault="00A2460B" w:rsidP="002B2822">
      <w:pPr>
        <w:jc w:val="both"/>
      </w:pPr>
      <w:r w:rsidRPr="00A2460B">
        <w:t>Figure 1: SCFA analysed by HPLC in batch cultures containing different substrates: Error bars indicate SEM (n = 3).  Significant differences between substrates at the same time point are indicated with * (P &lt; 0.05). One-way ANOVA with Tukey’s post hoc tests were used for statistical analysis.</w:t>
      </w:r>
    </w:p>
    <w:p w14:paraId="58D1ECE6" w14:textId="77777777" w:rsidR="00A2460B" w:rsidRDefault="00A2460B" w:rsidP="00A2460B">
      <w:pPr>
        <w:jc w:val="both"/>
      </w:pPr>
    </w:p>
    <w:p w14:paraId="29F61224" w14:textId="13716202" w:rsidR="003658EA" w:rsidRDefault="00A2460B" w:rsidP="000F5E3C">
      <w:pPr>
        <w:jc w:val="both"/>
      </w:pPr>
      <w:r>
        <w:t>Figure 2: Bacterial populations analysed by Flow-FISH in batch cultures containing different substrates: Error bars indicate SEM (n = 3).  Significant differences between substrates at the same time point are indicated with * (P &lt; 0.05).  One-way ANOVA with Tukey’s post hoc tests wer</w:t>
      </w:r>
      <w:r w:rsidR="000F5E3C">
        <w:t>e used for statistical analysis.</w:t>
      </w:r>
    </w:p>
    <w:p w14:paraId="7FC9B46C" w14:textId="77777777" w:rsidR="003658EA" w:rsidRDefault="003658EA">
      <w:r>
        <w:br w:type="page"/>
      </w:r>
    </w:p>
    <w:p w14:paraId="5318263B" w14:textId="2FBF4289" w:rsidR="003658EA" w:rsidRDefault="007E1606" w:rsidP="003658EA">
      <w:r>
        <w:rPr>
          <w:noProof/>
        </w:rPr>
        <w:object w:dxaOrig="1440" w:dyaOrig="1440" w14:anchorId="799F0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226.25pt;width:260.7pt;height:220.6pt;z-index:251658240;mso-wrap-edited:f;mso-width-percent:0;mso-height-percent:0;mso-position-horizontal:absolute;mso-position-horizontal-relative:text;mso-position-vertical:absolute;mso-position-vertical-relative:text;mso-width-percent:0;mso-height-percent:0">
            <v:imagedata r:id="rId10" o:title=""/>
            <w10:wrap type="square"/>
          </v:shape>
          <o:OLEObject Type="Embed" ProgID="Prism7.Document" ShapeID="_x0000_s1026" DrawAspect="Content" ObjectID="_1637407666" r:id="rId11"/>
        </w:object>
      </w:r>
      <w:r w:rsidR="003658EA">
        <w:rPr>
          <w:noProof/>
        </w:rPr>
        <w:object w:dxaOrig="7452" w:dyaOrig="5685" w14:anchorId="65FBAA33">
          <v:shape id="_x0000_i1026" type="#_x0000_t75" alt="" style="width:259.5pt;height:223.5pt" o:ole="">
            <v:imagedata r:id="rId12" o:title=""/>
          </v:shape>
          <o:OLEObject Type="Embed" ProgID="Prism7.Document" ShapeID="_x0000_i1026" DrawAspect="Content" ObjectID="_1637407662" r:id="rId13"/>
        </w:object>
      </w:r>
      <w:r w:rsidR="003658EA">
        <w:rPr>
          <w:noProof/>
        </w:rPr>
        <w:object w:dxaOrig="7452" w:dyaOrig="5685" w14:anchorId="02BD49D0">
          <v:shape id="_x0000_i1027" type="#_x0000_t75" alt="" style="width:265.5pt;height:223.5pt" o:ole="">
            <v:imagedata r:id="rId14" o:title=""/>
          </v:shape>
          <o:OLEObject Type="Embed" ProgID="Prism7.Document" ShapeID="_x0000_i1027" DrawAspect="Content" ObjectID="_1637407663" r:id="rId15"/>
        </w:object>
      </w:r>
      <w:r w:rsidR="003658EA" w:rsidRPr="00512227">
        <w:t xml:space="preserve"> </w:t>
      </w:r>
    </w:p>
    <w:p w14:paraId="53D1DC56" w14:textId="77777777" w:rsidR="003658EA" w:rsidRDefault="003658EA" w:rsidP="003658EA"/>
    <w:p w14:paraId="34FEB36C" w14:textId="77777777" w:rsidR="003658EA" w:rsidRDefault="007E1606" w:rsidP="003658EA">
      <w:pPr>
        <w:spacing w:line="360" w:lineRule="auto"/>
        <w:jc w:val="both"/>
      </w:pPr>
      <w:r>
        <w:rPr>
          <w:noProof/>
        </w:rPr>
        <w:object w:dxaOrig="1440" w:dyaOrig="1440" w14:anchorId="3E5D92E8">
          <v:shape id="_x0000_s1027" type="#_x0000_t75" alt="" style="position:absolute;left:0;text-align:left;margin-left:-17pt;margin-top:219.45pt;width:217.75pt;height:194.75pt;z-index:251660288;mso-wrap-edited:f;mso-position-horizontal-relative:text;mso-position-vertical-relative:text">
            <v:imagedata r:id="rId16" o:title=""/>
            <w10:wrap type="square"/>
          </v:shape>
          <o:OLEObject Type="Embed" ProgID="Prism7.Document" ShapeID="_x0000_s1027" DrawAspect="Content" ObjectID="_1637407667" r:id="rId17"/>
        </w:object>
      </w:r>
      <w:r>
        <w:rPr>
          <w:noProof/>
        </w:rPr>
        <w:object w:dxaOrig="1440" w:dyaOrig="1440" w14:anchorId="26D99A56">
          <v:shape id="_x0000_s1028" type="#_x0000_t75" alt="" style="position:absolute;left:0;text-align:left;margin-left:-28.2pt;margin-top:.1pt;width:231.35pt;height:202pt;z-index:251661312;mso-wrap-edited:f;mso-position-horizontal-relative:text;mso-position-vertical-relative:text">
            <v:imagedata r:id="rId18" o:title=""/>
            <w10:wrap type="square"/>
          </v:shape>
          <o:OLEObject Type="Embed" ProgID="Prism7.Document" ShapeID="_x0000_s1028" DrawAspect="Content" ObjectID="_1637407668" r:id="rId19"/>
        </w:object>
      </w:r>
      <w:r w:rsidR="003658EA">
        <w:rPr>
          <w:noProof/>
        </w:rPr>
        <w:object w:dxaOrig="6375" w:dyaOrig="5686" w14:anchorId="050296BC">
          <v:shape id="_x0000_i1030" type="#_x0000_t75" alt="" style="width:232.5pt;height:208.5pt" o:ole="">
            <v:imagedata r:id="rId20" o:title=""/>
          </v:shape>
          <o:OLEObject Type="Embed" ProgID="Prism7.Document" ShapeID="_x0000_i1030" DrawAspect="Content" ObjectID="_1637407664" r:id="rId21"/>
        </w:object>
      </w:r>
      <w:r w:rsidR="003658EA">
        <w:rPr>
          <w:noProof/>
        </w:rPr>
        <w:object w:dxaOrig="6533" w:dyaOrig="6017" w14:anchorId="4F5D5455">
          <v:shape id="_x0000_i1031" type="#_x0000_t75" alt="" style="width:225.75pt;height:209.25pt" o:ole="">
            <v:imagedata r:id="rId22" o:title=""/>
          </v:shape>
          <o:OLEObject Type="Embed" ProgID="Prism7.Document" ShapeID="_x0000_i1031" DrawAspect="Content" ObjectID="_1637407665" r:id="rId23"/>
        </w:object>
      </w:r>
    </w:p>
    <w:p w14:paraId="2A360A75" w14:textId="77777777" w:rsidR="003658EA" w:rsidRDefault="003658EA" w:rsidP="003658EA"/>
    <w:p w14:paraId="763BE445" w14:textId="77777777" w:rsidR="003658EA" w:rsidRDefault="003658EA" w:rsidP="003658EA"/>
    <w:p w14:paraId="72B12CFD" w14:textId="77777777" w:rsidR="003658EA" w:rsidRDefault="003658EA" w:rsidP="003658EA">
      <w:r>
        <w:t xml:space="preserve">  </w:t>
      </w:r>
    </w:p>
    <w:p w14:paraId="1217E4EB" w14:textId="77777777" w:rsidR="003658EA" w:rsidRDefault="003658EA" w:rsidP="003658EA"/>
    <w:p w14:paraId="39B5BA5A" w14:textId="77777777" w:rsidR="003658EA" w:rsidRDefault="003658EA" w:rsidP="003658EA"/>
    <w:p w14:paraId="0BBAE444" w14:textId="77777777" w:rsidR="003658EA" w:rsidRPr="00D129C0" w:rsidRDefault="003658EA" w:rsidP="003658EA">
      <w:r>
        <w:t xml:space="preserve">  </w:t>
      </w:r>
      <w:r w:rsidRPr="00D129C0">
        <w:t xml:space="preserve"> </w:t>
      </w:r>
    </w:p>
    <w:p w14:paraId="5768461A" w14:textId="77777777" w:rsidR="003658EA" w:rsidRDefault="003658EA" w:rsidP="003658EA"/>
    <w:p w14:paraId="607F7EAC" w14:textId="77777777" w:rsidR="003658EA" w:rsidRDefault="003658EA" w:rsidP="003658EA">
      <w:pPr>
        <w:jc w:val="both"/>
      </w:pPr>
    </w:p>
    <w:p w14:paraId="162B7324" w14:textId="77777777" w:rsidR="003658EA" w:rsidRDefault="003658EA" w:rsidP="003658EA">
      <w:pPr>
        <w:jc w:val="both"/>
      </w:pPr>
    </w:p>
    <w:p w14:paraId="1B59A5E6" w14:textId="77777777" w:rsidR="003658EA" w:rsidRDefault="003658EA" w:rsidP="003658EA">
      <w:pPr>
        <w:spacing w:line="360" w:lineRule="auto"/>
        <w:jc w:val="both"/>
      </w:pPr>
    </w:p>
    <w:p w14:paraId="0672FFA4" w14:textId="77777777" w:rsidR="003658EA" w:rsidRPr="005C70A8" w:rsidRDefault="003658EA" w:rsidP="003658EA">
      <w:pPr>
        <w:pStyle w:val="Caption"/>
        <w:keepNext/>
        <w:spacing w:line="360" w:lineRule="auto"/>
        <w:jc w:val="center"/>
        <w:rPr>
          <w:rFonts w:cstheme="minorHAnsi"/>
          <w:b w:val="0"/>
          <w:color w:val="212121"/>
          <w:sz w:val="25"/>
          <w:szCs w:val="25"/>
          <w:shd w:val="clear" w:color="auto" w:fill="FFFFFF"/>
        </w:rPr>
      </w:pPr>
      <w:r>
        <w:rPr>
          <w:rFonts w:cstheme="minorHAnsi"/>
          <w:b w:val="0"/>
          <w:color w:val="212121"/>
          <w:sz w:val="25"/>
          <w:szCs w:val="25"/>
          <w:shd w:val="clear" w:color="auto" w:fill="FFFFFF"/>
        </w:rPr>
        <w:t>AMB Express</w:t>
      </w:r>
    </w:p>
    <w:p w14:paraId="04C5EB68" w14:textId="77777777" w:rsidR="003658EA" w:rsidRPr="005C70A8" w:rsidRDefault="003658EA" w:rsidP="003658EA">
      <w:pPr>
        <w:spacing w:line="360" w:lineRule="auto"/>
        <w:jc w:val="center"/>
        <w:rPr>
          <w:rFonts w:cstheme="minorHAnsi"/>
        </w:rPr>
      </w:pPr>
      <w:r w:rsidRPr="005C70A8">
        <w:rPr>
          <w:rFonts w:cstheme="minorHAnsi"/>
        </w:rPr>
        <w:t>Comparative prebiotic activity of mixtures of cereal grain polysaccharides</w:t>
      </w:r>
    </w:p>
    <w:p w14:paraId="37E4AA6E" w14:textId="77777777" w:rsidR="003658EA" w:rsidRPr="005C70A8" w:rsidRDefault="003658EA" w:rsidP="003658EA">
      <w:pPr>
        <w:pStyle w:val="Heading1"/>
        <w:numPr>
          <w:ilvl w:val="0"/>
          <w:numId w:val="0"/>
        </w:numPr>
        <w:spacing w:line="360" w:lineRule="auto"/>
        <w:jc w:val="center"/>
        <w:rPr>
          <w:rFonts w:cstheme="minorHAnsi"/>
        </w:rPr>
      </w:pPr>
      <w:r w:rsidRPr="005C70A8">
        <w:rPr>
          <w:rFonts w:cstheme="minorHAnsi"/>
        </w:rPr>
        <w:t>Suzanne Harris</w:t>
      </w:r>
      <w:r w:rsidRPr="005C70A8">
        <w:rPr>
          <w:rFonts w:cstheme="minorHAnsi"/>
          <w:vertAlign w:val="superscript"/>
        </w:rPr>
        <w:t>1,2</w:t>
      </w:r>
      <w:r w:rsidRPr="005C70A8">
        <w:rPr>
          <w:rFonts w:cstheme="minorHAnsi"/>
        </w:rPr>
        <w:t>, Andrea Monteagudo-Mera</w:t>
      </w:r>
      <w:r w:rsidRPr="005C70A8">
        <w:rPr>
          <w:rFonts w:cstheme="minorHAnsi"/>
          <w:vertAlign w:val="superscript"/>
        </w:rPr>
        <w:t>1</w:t>
      </w:r>
      <w:r w:rsidRPr="005C70A8">
        <w:rPr>
          <w:rFonts w:cstheme="minorHAnsi"/>
        </w:rPr>
        <w:t>, Ondrej Kosik</w:t>
      </w:r>
      <w:r w:rsidRPr="005C70A8">
        <w:rPr>
          <w:rFonts w:cstheme="minorHAnsi"/>
          <w:vertAlign w:val="superscript"/>
        </w:rPr>
        <w:t>2</w:t>
      </w:r>
      <w:r w:rsidRPr="005C70A8">
        <w:rPr>
          <w:rFonts w:cstheme="minorHAnsi"/>
        </w:rPr>
        <w:t>, Dimitris Charalampopoulos</w:t>
      </w:r>
      <w:r w:rsidRPr="005C70A8">
        <w:rPr>
          <w:rFonts w:cstheme="minorHAnsi"/>
          <w:vertAlign w:val="superscript"/>
        </w:rPr>
        <w:t>1</w:t>
      </w:r>
      <w:r w:rsidRPr="005C70A8">
        <w:rPr>
          <w:rFonts w:cstheme="minorHAnsi"/>
        </w:rPr>
        <w:t>, Peter Shewry</w:t>
      </w:r>
      <w:r w:rsidRPr="005C70A8">
        <w:rPr>
          <w:rFonts w:cstheme="minorHAnsi"/>
          <w:vertAlign w:val="superscript"/>
        </w:rPr>
        <w:t>1,2</w:t>
      </w:r>
      <w:r w:rsidRPr="005C70A8">
        <w:rPr>
          <w:rFonts w:cstheme="minorHAnsi"/>
        </w:rPr>
        <w:t>, Alison Lovegrove</w:t>
      </w:r>
      <w:r w:rsidRPr="005C70A8">
        <w:rPr>
          <w:rFonts w:cstheme="minorHAnsi"/>
          <w:vertAlign w:val="superscript"/>
        </w:rPr>
        <w:t>2</w:t>
      </w:r>
    </w:p>
    <w:p w14:paraId="5A6B19E6" w14:textId="77777777" w:rsidR="003658EA" w:rsidRPr="005C70A8" w:rsidRDefault="003658EA" w:rsidP="003658EA">
      <w:pPr>
        <w:spacing w:line="360" w:lineRule="auto"/>
        <w:jc w:val="center"/>
        <w:rPr>
          <w:rFonts w:cstheme="minorHAnsi"/>
        </w:rPr>
      </w:pPr>
      <w:r w:rsidRPr="005C70A8">
        <w:rPr>
          <w:rFonts w:cstheme="minorHAnsi"/>
          <w:vertAlign w:val="superscript"/>
        </w:rPr>
        <w:t>1</w:t>
      </w:r>
      <w:r w:rsidRPr="005C70A8">
        <w:rPr>
          <w:rFonts w:cstheme="minorHAnsi"/>
        </w:rPr>
        <w:t>Department of Food and Nutritional Sciences, University of Reading, Whiteknights, PO Box 226, Reading RG6 6AP, UK</w:t>
      </w:r>
    </w:p>
    <w:p w14:paraId="59CD6186" w14:textId="77777777" w:rsidR="003658EA" w:rsidRPr="005C70A8" w:rsidRDefault="003658EA" w:rsidP="003658EA">
      <w:pPr>
        <w:spacing w:line="360" w:lineRule="auto"/>
        <w:jc w:val="center"/>
        <w:rPr>
          <w:rFonts w:cstheme="minorHAnsi"/>
        </w:rPr>
      </w:pPr>
      <w:r w:rsidRPr="005C70A8">
        <w:rPr>
          <w:rFonts w:cstheme="minorHAnsi"/>
          <w:vertAlign w:val="superscript"/>
        </w:rPr>
        <w:t>2</w:t>
      </w:r>
      <w:r w:rsidRPr="005C70A8">
        <w:rPr>
          <w:rFonts w:cstheme="minorHAnsi"/>
        </w:rPr>
        <w:t>Department of Plant Science, Rothamsted Research, Harpenden, AL5 2JQ, Hertfordshire, UK</w:t>
      </w:r>
    </w:p>
    <w:p w14:paraId="37232AC5" w14:textId="77777777" w:rsidR="003658EA" w:rsidRPr="005C70A8" w:rsidRDefault="003658EA" w:rsidP="003658EA">
      <w:pPr>
        <w:spacing w:line="360" w:lineRule="auto"/>
        <w:jc w:val="center"/>
        <w:rPr>
          <w:rFonts w:cstheme="minorHAnsi"/>
        </w:rPr>
      </w:pPr>
      <w:r w:rsidRPr="005C70A8">
        <w:rPr>
          <w:rFonts w:cstheme="minorHAnsi"/>
        </w:rPr>
        <w:t>Corresponding author: Suzanne.harris@quadram.ac.uk, +44 (0)1603 255000</w:t>
      </w:r>
    </w:p>
    <w:p w14:paraId="5B2CA048" w14:textId="77777777" w:rsidR="003658EA" w:rsidRDefault="003658EA" w:rsidP="003658EA">
      <w:pPr>
        <w:pStyle w:val="Caption"/>
        <w:keepNext/>
        <w:spacing w:line="360" w:lineRule="auto"/>
        <w:jc w:val="both"/>
        <w:rPr>
          <w:rFonts w:ascii="Segoe UI" w:hAnsi="Segoe UI" w:cs="Segoe UI"/>
          <w:color w:val="212121"/>
          <w:sz w:val="25"/>
          <w:szCs w:val="25"/>
          <w:shd w:val="clear" w:color="auto" w:fill="FFFFFF"/>
        </w:rPr>
      </w:pPr>
    </w:p>
    <w:p w14:paraId="5A0DC664" w14:textId="77777777" w:rsidR="003658EA" w:rsidRDefault="003658EA" w:rsidP="003658EA">
      <w:pPr>
        <w:pStyle w:val="Caption"/>
        <w:keepNext/>
        <w:spacing w:line="360" w:lineRule="auto"/>
        <w:jc w:val="both"/>
        <w:rPr>
          <w:rFonts w:ascii="Segoe UI" w:hAnsi="Segoe UI" w:cs="Segoe UI"/>
          <w:color w:val="212121"/>
          <w:sz w:val="25"/>
          <w:szCs w:val="25"/>
          <w:shd w:val="clear" w:color="auto" w:fill="FFFFFF"/>
        </w:rPr>
      </w:pPr>
    </w:p>
    <w:p w14:paraId="5D80DB2B" w14:textId="77777777" w:rsidR="003658EA" w:rsidRDefault="003658EA" w:rsidP="003658EA">
      <w:pPr>
        <w:pStyle w:val="Caption"/>
        <w:keepNext/>
        <w:spacing w:line="360" w:lineRule="auto"/>
        <w:jc w:val="both"/>
        <w:rPr>
          <w:rFonts w:ascii="Segoe UI" w:hAnsi="Segoe UI" w:cs="Segoe UI"/>
          <w:color w:val="212121"/>
          <w:sz w:val="25"/>
          <w:szCs w:val="25"/>
          <w:shd w:val="clear" w:color="auto" w:fill="FFFFFF"/>
        </w:rPr>
      </w:pPr>
    </w:p>
    <w:p w14:paraId="3364EF97" w14:textId="77777777" w:rsidR="003658EA" w:rsidRDefault="003658EA" w:rsidP="003658EA">
      <w:pPr>
        <w:pStyle w:val="Caption"/>
        <w:keepNext/>
        <w:spacing w:line="360" w:lineRule="auto"/>
        <w:jc w:val="both"/>
        <w:rPr>
          <w:rFonts w:ascii="Segoe UI" w:hAnsi="Segoe UI" w:cs="Segoe UI"/>
          <w:color w:val="212121"/>
          <w:sz w:val="25"/>
          <w:szCs w:val="25"/>
          <w:shd w:val="clear" w:color="auto" w:fill="FFFFFF"/>
        </w:rPr>
      </w:pPr>
    </w:p>
    <w:p w14:paraId="42484E12" w14:textId="77777777" w:rsidR="003658EA" w:rsidRDefault="003658EA" w:rsidP="003658EA">
      <w:pPr>
        <w:pStyle w:val="Caption"/>
        <w:keepNext/>
        <w:spacing w:line="360" w:lineRule="auto"/>
        <w:jc w:val="both"/>
        <w:rPr>
          <w:rFonts w:ascii="Segoe UI" w:hAnsi="Segoe UI" w:cs="Segoe UI"/>
          <w:color w:val="212121"/>
          <w:sz w:val="25"/>
          <w:szCs w:val="25"/>
          <w:shd w:val="clear" w:color="auto" w:fill="FFFFFF"/>
        </w:rPr>
      </w:pPr>
    </w:p>
    <w:p w14:paraId="6AE7D6B0" w14:textId="77777777" w:rsidR="003658EA" w:rsidRDefault="003658EA" w:rsidP="003658EA"/>
    <w:p w14:paraId="5B240915" w14:textId="77777777" w:rsidR="003658EA" w:rsidRDefault="003658EA" w:rsidP="003658EA"/>
    <w:p w14:paraId="107D613E" w14:textId="77777777" w:rsidR="003658EA" w:rsidRDefault="003658EA" w:rsidP="003658EA"/>
    <w:p w14:paraId="35084F9B" w14:textId="77777777" w:rsidR="003658EA" w:rsidRDefault="003658EA" w:rsidP="003658EA"/>
    <w:p w14:paraId="1AE2BD1C" w14:textId="77777777" w:rsidR="003658EA" w:rsidRDefault="003658EA" w:rsidP="003658EA"/>
    <w:p w14:paraId="077D9FCF" w14:textId="77777777" w:rsidR="003658EA" w:rsidRDefault="003658EA" w:rsidP="003658EA"/>
    <w:p w14:paraId="79688A5C" w14:textId="77777777" w:rsidR="003658EA" w:rsidRDefault="003658EA" w:rsidP="003658EA"/>
    <w:p w14:paraId="3A90D42C" w14:textId="77777777" w:rsidR="003658EA" w:rsidRDefault="003658EA" w:rsidP="003658EA"/>
    <w:p w14:paraId="6128736D" w14:textId="77777777" w:rsidR="003658EA" w:rsidRDefault="003658EA" w:rsidP="003658EA"/>
    <w:p w14:paraId="67E0F576" w14:textId="77777777" w:rsidR="003658EA" w:rsidRPr="005C70A8" w:rsidRDefault="003658EA" w:rsidP="003658EA"/>
    <w:p w14:paraId="3C359A0B" w14:textId="77777777" w:rsidR="003658EA" w:rsidRPr="005C70A8" w:rsidRDefault="003658EA" w:rsidP="003658EA"/>
    <w:p w14:paraId="6F635A3B" w14:textId="77777777" w:rsidR="003658EA" w:rsidRPr="00283058" w:rsidRDefault="003658EA" w:rsidP="003658EA">
      <w:pPr>
        <w:pStyle w:val="Caption"/>
        <w:keepNext/>
        <w:spacing w:line="360" w:lineRule="auto"/>
        <w:jc w:val="both"/>
        <w:rPr>
          <w:color w:val="auto"/>
        </w:rPr>
      </w:pPr>
      <w:r w:rsidRPr="00283058">
        <w:rPr>
          <w:color w:val="auto"/>
        </w:rPr>
        <w:t xml:space="preserve">Table </w:t>
      </w:r>
      <w:r>
        <w:rPr>
          <w:color w:val="auto"/>
        </w:rPr>
        <w:t>S</w:t>
      </w:r>
      <w:r w:rsidRPr="00283058">
        <w:rPr>
          <w:color w:val="auto"/>
        </w:rPr>
        <w:fldChar w:fldCharType="begin"/>
      </w:r>
      <w:r w:rsidRPr="00283058">
        <w:rPr>
          <w:color w:val="auto"/>
        </w:rPr>
        <w:instrText xml:space="preserve"> SEQ Table \* ARABIC </w:instrText>
      </w:r>
      <w:r w:rsidRPr="00283058">
        <w:rPr>
          <w:color w:val="auto"/>
        </w:rPr>
        <w:fldChar w:fldCharType="separate"/>
      </w:r>
      <w:r>
        <w:rPr>
          <w:noProof/>
          <w:color w:val="auto"/>
        </w:rPr>
        <w:t>1</w:t>
      </w:r>
      <w:r w:rsidRPr="00283058">
        <w:rPr>
          <w:color w:val="auto"/>
        </w:rPr>
        <w:fldChar w:fldCharType="end"/>
      </w:r>
      <w:r w:rsidRPr="00283058">
        <w:rPr>
          <w:color w:val="auto"/>
        </w:rPr>
        <w:t xml:space="preserve">: </w:t>
      </w:r>
      <w:r w:rsidRPr="000B2253">
        <w:rPr>
          <w:color w:val="auto"/>
        </w:rPr>
        <w:t>16S rRNA-targeted oligonucleotide probes</w:t>
      </w:r>
    </w:p>
    <w:tbl>
      <w:tblPr>
        <w:tblW w:w="0" w:type="auto"/>
        <w:jc w:val="center"/>
        <w:tblLook w:val="04A0" w:firstRow="1" w:lastRow="0" w:firstColumn="1" w:lastColumn="0" w:noHBand="0" w:noVBand="1"/>
      </w:tblPr>
      <w:tblGrid>
        <w:gridCol w:w="1123"/>
        <w:gridCol w:w="2654"/>
        <w:gridCol w:w="1300"/>
        <w:gridCol w:w="1864"/>
        <w:gridCol w:w="2075"/>
      </w:tblGrid>
      <w:tr w:rsidR="003658EA" w:rsidRPr="008D3393" w14:paraId="194D785D" w14:textId="77777777" w:rsidTr="00A53996">
        <w:trPr>
          <w:trHeight w:val="29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1897927" w14:textId="77777777" w:rsidR="003658EA" w:rsidRPr="008D3393" w:rsidRDefault="003658EA" w:rsidP="00A53996">
            <w:pPr>
              <w:spacing w:after="0" w:line="240" w:lineRule="auto"/>
              <w:contextualSpacing/>
              <w:jc w:val="both"/>
              <w:rPr>
                <w:rFonts w:eastAsia="Times New Roman"/>
                <w:b/>
                <w:sz w:val="20"/>
              </w:rPr>
            </w:pPr>
            <w:r w:rsidRPr="008D3393">
              <w:rPr>
                <w:rFonts w:eastAsia="Times New Roman"/>
                <w:b/>
                <w:sz w:val="20"/>
              </w:rPr>
              <w:t>Probe Name</w:t>
            </w:r>
          </w:p>
        </w:tc>
        <w:tc>
          <w:tcPr>
            <w:tcW w:w="0" w:type="auto"/>
            <w:tcBorders>
              <w:top w:val="single" w:sz="4" w:space="0" w:color="auto"/>
              <w:left w:val="nil"/>
              <w:bottom w:val="single" w:sz="4" w:space="0" w:color="auto"/>
              <w:right w:val="single" w:sz="4" w:space="0" w:color="auto"/>
            </w:tcBorders>
            <w:vAlign w:val="center"/>
            <w:hideMark/>
          </w:tcPr>
          <w:p w14:paraId="21F9A06A" w14:textId="77777777" w:rsidR="003658EA" w:rsidRPr="008D3393" w:rsidRDefault="003658EA" w:rsidP="00A53996">
            <w:pPr>
              <w:spacing w:after="0" w:line="240" w:lineRule="auto"/>
              <w:contextualSpacing/>
              <w:jc w:val="both"/>
              <w:rPr>
                <w:rFonts w:eastAsia="Times New Roman"/>
                <w:b/>
                <w:sz w:val="20"/>
              </w:rPr>
            </w:pPr>
            <w:r w:rsidRPr="008D3393">
              <w:rPr>
                <w:rFonts w:eastAsia="Times New Roman"/>
                <w:b/>
                <w:sz w:val="20"/>
              </w:rPr>
              <w:t>Sequence (5’ to 3’)</w:t>
            </w:r>
          </w:p>
        </w:tc>
        <w:tc>
          <w:tcPr>
            <w:tcW w:w="1300" w:type="dxa"/>
            <w:tcBorders>
              <w:top w:val="single" w:sz="4" w:space="0" w:color="auto"/>
              <w:left w:val="nil"/>
              <w:bottom w:val="single" w:sz="4" w:space="0" w:color="auto"/>
              <w:right w:val="single" w:sz="4" w:space="0" w:color="auto"/>
            </w:tcBorders>
            <w:noWrap/>
            <w:vAlign w:val="bottom"/>
            <w:hideMark/>
          </w:tcPr>
          <w:p w14:paraId="008BD4C9" w14:textId="77777777" w:rsidR="003658EA" w:rsidRPr="008D3393" w:rsidRDefault="003658EA" w:rsidP="00A53996">
            <w:pPr>
              <w:spacing w:after="0" w:line="240" w:lineRule="auto"/>
              <w:contextualSpacing/>
              <w:jc w:val="both"/>
              <w:rPr>
                <w:rFonts w:eastAsia="Times New Roman"/>
                <w:b/>
                <w:sz w:val="20"/>
              </w:rPr>
            </w:pPr>
            <w:r w:rsidRPr="008D3393">
              <w:rPr>
                <w:rFonts w:eastAsia="Times New Roman"/>
                <w:b/>
                <w:sz w:val="20"/>
              </w:rPr>
              <w:t>Fluorescence</w:t>
            </w:r>
          </w:p>
        </w:tc>
        <w:tc>
          <w:tcPr>
            <w:tcW w:w="1864" w:type="dxa"/>
            <w:tcBorders>
              <w:top w:val="single" w:sz="4" w:space="0" w:color="auto"/>
              <w:left w:val="nil"/>
              <w:bottom w:val="single" w:sz="4" w:space="0" w:color="auto"/>
              <w:right w:val="single" w:sz="4" w:space="0" w:color="auto"/>
            </w:tcBorders>
          </w:tcPr>
          <w:p w14:paraId="0F6EC112" w14:textId="77777777" w:rsidR="003658EA" w:rsidRPr="008D3393" w:rsidRDefault="003658EA" w:rsidP="00A53996">
            <w:pPr>
              <w:spacing w:after="0" w:line="240" w:lineRule="auto"/>
              <w:contextualSpacing/>
              <w:jc w:val="both"/>
              <w:rPr>
                <w:rFonts w:eastAsia="Times New Roman"/>
                <w:b/>
                <w:sz w:val="20"/>
              </w:rPr>
            </w:pPr>
            <w:r w:rsidRPr="008D3393">
              <w:rPr>
                <w:rFonts w:eastAsia="Times New Roman"/>
                <w:b/>
                <w:sz w:val="20"/>
              </w:rPr>
              <w:t xml:space="preserve">Targeted Bacteria </w:t>
            </w:r>
          </w:p>
        </w:tc>
        <w:tc>
          <w:tcPr>
            <w:tcW w:w="2075" w:type="dxa"/>
            <w:tcBorders>
              <w:top w:val="single" w:sz="4" w:space="0" w:color="auto"/>
              <w:left w:val="nil"/>
              <w:bottom w:val="single" w:sz="4" w:space="0" w:color="auto"/>
              <w:right w:val="single" w:sz="4" w:space="0" w:color="auto"/>
            </w:tcBorders>
          </w:tcPr>
          <w:p w14:paraId="26F17CCC" w14:textId="77777777" w:rsidR="003658EA" w:rsidRPr="008D3393" w:rsidRDefault="003658EA" w:rsidP="00A53996">
            <w:pPr>
              <w:spacing w:after="0" w:line="240" w:lineRule="auto"/>
              <w:contextualSpacing/>
              <w:jc w:val="both"/>
              <w:rPr>
                <w:rFonts w:eastAsia="Times New Roman"/>
                <w:b/>
                <w:sz w:val="20"/>
              </w:rPr>
            </w:pPr>
          </w:p>
        </w:tc>
      </w:tr>
      <w:tr w:rsidR="003658EA" w:rsidRPr="008D3393" w14:paraId="736E03E1"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4C0F463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Non Eub</w:t>
            </w:r>
          </w:p>
        </w:tc>
        <w:tc>
          <w:tcPr>
            <w:tcW w:w="0" w:type="auto"/>
            <w:tcBorders>
              <w:top w:val="nil"/>
              <w:left w:val="nil"/>
              <w:bottom w:val="single" w:sz="4" w:space="0" w:color="auto"/>
              <w:right w:val="single" w:sz="4" w:space="0" w:color="auto"/>
            </w:tcBorders>
            <w:vAlign w:val="center"/>
            <w:hideMark/>
          </w:tcPr>
          <w:p w14:paraId="0106681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ACTCCTACGGGAGGCAGC</w:t>
            </w:r>
          </w:p>
        </w:tc>
        <w:tc>
          <w:tcPr>
            <w:tcW w:w="1300" w:type="dxa"/>
            <w:tcBorders>
              <w:top w:val="nil"/>
              <w:left w:val="nil"/>
              <w:bottom w:val="single" w:sz="4" w:space="0" w:color="auto"/>
              <w:right w:val="single" w:sz="4" w:space="0" w:color="auto"/>
            </w:tcBorders>
            <w:noWrap/>
            <w:vAlign w:val="bottom"/>
            <w:hideMark/>
          </w:tcPr>
          <w:p w14:paraId="6DD3247F"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Alexa-488</w:t>
            </w:r>
          </w:p>
        </w:tc>
        <w:tc>
          <w:tcPr>
            <w:tcW w:w="1864" w:type="dxa"/>
            <w:tcBorders>
              <w:top w:val="nil"/>
              <w:left w:val="nil"/>
              <w:bottom w:val="single" w:sz="4" w:space="0" w:color="auto"/>
              <w:right w:val="single" w:sz="4" w:space="0" w:color="auto"/>
            </w:tcBorders>
          </w:tcPr>
          <w:p w14:paraId="582C118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None</w:t>
            </w:r>
          </w:p>
        </w:tc>
        <w:tc>
          <w:tcPr>
            <w:tcW w:w="2075" w:type="dxa"/>
            <w:tcBorders>
              <w:top w:val="nil"/>
              <w:left w:val="nil"/>
              <w:bottom w:val="single" w:sz="4" w:space="0" w:color="auto"/>
              <w:right w:val="single" w:sz="4" w:space="0" w:color="auto"/>
            </w:tcBorders>
          </w:tcPr>
          <w:p w14:paraId="2DAA2584" w14:textId="77777777" w:rsidR="003658EA" w:rsidRPr="008D3393" w:rsidRDefault="003658EA" w:rsidP="00A53996">
            <w:pPr>
              <w:spacing w:after="0" w:line="240" w:lineRule="auto"/>
              <w:contextualSpacing/>
              <w:jc w:val="both"/>
              <w:rPr>
                <w:rFonts w:eastAsia="Times New Roman"/>
                <w:sz w:val="20"/>
              </w:rPr>
            </w:pPr>
            <w:r w:rsidRPr="00BD5658">
              <w:rPr>
                <w:rFonts w:eastAsia="Times New Roman"/>
                <w:noProof/>
                <w:sz w:val="20"/>
              </w:rPr>
              <w:t>Wallner et al., 1993</w:t>
            </w:r>
            <w:r w:rsidRPr="008D3393">
              <w:rPr>
                <w:rFonts w:eastAsia="Times New Roman"/>
                <w:noProof/>
                <w:sz w:val="20"/>
              </w:rPr>
              <w:t>)</w:t>
            </w:r>
          </w:p>
        </w:tc>
      </w:tr>
      <w:tr w:rsidR="003658EA" w:rsidRPr="008D3393" w14:paraId="1E5B1A7C"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5E97C12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w:t>
            </w:r>
          </w:p>
        </w:tc>
        <w:tc>
          <w:tcPr>
            <w:tcW w:w="0" w:type="auto"/>
            <w:tcBorders>
              <w:top w:val="nil"/>
              <w:left w:val="nil"/>
              <w:bottom w:val="single" w:sz="4" w:space="0" w:color="auto"/>
              <w:right w:val="single" w:sz="4" w:space="0" w:color="auto"/>
            </w:tcBorders>
            <w:vAlign w:val="center"/>
            <w:hideMark/>
          </w:tcPr>
          <w:p w14:paraId="7ED9DD1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GCTGCCTCCCGTAGGAGT</w:t>
            </w:r>
          </w:p>
        </w:tc>
        <w:tc>
          <w:tcPr>
            <w:tcW w:w="1300" w:type="dxa"/>
            <w:tcBorders>
              <w:top w:val="nil"/>
              <w:left w:val="nil"/>
              <w:bottom w:val="single" w:sz="4" w:space="0" w:color="auto"/>
              <w:right w:val="single" w:sz="4" w:space="0" w:color="auto"/>
            </w:tcBorders>
            <w:noWrap/>
            <w:vAlign w:val="bottom"/>
            <w:hideMark/>
          </w:tcPr>
          <w:p w14:paraId="0703B91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Alexa-488</w:t>
            </w:r>
          </w:p>
        </w:tc>
        <w:tc>
          <w:tcPr>
            <w:tcW w:w="1864" w:type="dxa"/>
            <w:tcBorders>
              <w:top w:val="nil"/>
              <w:left w:val="nil"/>
              <w:bottom w:val="single" w:sz="4" w:space="0" w:color="auto"/>
              <w:right w:val="single" w:sz="4" w:space="0" w:color="auto"/>
            </w:tcBorders>
          </w:tcPr>
          <w:p w14:paraId="34E0530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val="restart"/>
            <w:tcBorders>
              <w:top w:val="nil"/>
              <w:left w:val="nil"/>
              <w:right w:val="single" w:sz="4" w:space="0" w:color="auto"/>
            </w:tcBorders>
          </w:tcPr>
          <w:p w14:paraId="1CDE7C81" w14:textId="77777777" w:rsidR="003658EA" w:rsidRPr="008D3393" w:rsidRDefault="003658EA" w:rsidP="00A53996">
            <w:pPr>
              <w:spacing w:after="0" w:line="240" w:lineRule="auto"/>
              <w:contextualSpacing/>
              <w:jc w:val="both"/>
              <w:rPr>
                <w:rFonts w:eastAsia="Times New Roman"/>
                <w:sz w:val="20"/>
              </w:rPr>
            </w:pPr>
            <w:r w:rsidRPr="00BD5658">
              <w:rPr>
                <w:rFonts w:eastAsia="Times New Roman"/>
                <w:noProof/>
                <w:sz w:val="20"/>
              </w:rPr>
              <w:t>Daims et al., 1999</w:t>
            </w:r>
            <w:r w:rsidRPr="008D3393">
              <w:rPr>
                <w:rFonts w:eastAsia="Times New Roman"/>
                <w:noProof/>
                <w:sz w:val="20"/>
              </w:rPr>
              <w:t>)</w:t>
            </w:r>
          </w:p>
        </w:tc>
      </w:tr>
      <w:tr w:rsidR="003658EA" w:rsidRPr="008D3393" w14:paraId="751A2146"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2813D4A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Eub338II*</w:t>
            </w:r>
          </w:p>
        </w:tc>
        <w:tc>
          <w:tcPr>
            <w:tcW w:w="0" w:type="auto"/>
            <w:tcBorders>
              <w:top w:val="nil"/>
              <w:left w:val="nil"/>
              <w:bottom w:val="single" w:sz="4" w:space="0" w:color="auto"/>
              <w:right w:val="single" w:sz="4" w:space="0" w:color="auto"/>
            </w:tcBorders>
            <w:vAlign w:val="center"/>
            <w:hideMark/>
          </w:tcPr>
          <w:p w14:paraId="1BD2AB3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GCAGCCACCCGTAGGTGT</w:t>
            </w:r>
          </w:p>
        </w:tc>
        <w:tc>
          <w:tcPr>
            <w:tcW w:w="1300" w:type="dxa"/>
            <w:tcBorders>
              <w:top w:val="nil"/>
              <w:left w:val="nil"/>
              <w:bottom w:val="single" w:sz="4" w:space="0" w:color="auto"/>
              <w:right w:val="single" w:sz="4" w:space="0" w:color="auto"/>
            </w:tcBorders>
            <w:noWrap/>
            <w:vAlign w:val="bottom"/>
            <w:hideMark/>
          </w:tcPr>
          <w:p w14:paraId="7BFF49EC"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Alexa-488</w:t>
            </w:r>
          </w:p>
        </w:tc>
        <w:tc>
          <w:tcPr>
            <w:tcW w:w="1864" w:type="dxa"/>
            <w:tcBorders>
              <w:top w:val="nil"/>
              <w:left w:val="nil"/>
              <w:bottom w:val="single" w:sz="4" w:space="0" w:color="auto"/>
              <w:right w:val="single" w:sz="4" w:space="0" w:color="auto"/>
            </w:tcBorders>
          </w:tcPr>
          <w:p w14:paraId="0BC3E6FC"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tcBorders>
              <w:left w:val="nil"/>
              <w:right w:val="single" w:sz="4" w:space="0" w:color="auto"/>
            </w:tcBorders>
          </w:tcPr>
          <w:p w14:paraId="75811BF3" w14:textId="77777777" w:rsidR="003658EA" w:rsidRPr="008D3393" w:rsidRDefault="003658EA" w:rsidP="00A53996">
            <w:pPr>
              <w:spacing w:after="0" w:line="240" w:lineRule="auto"/>
              <w:contextualSpacing/>
              <w:jc w:val="both"/>
              <w:rPr>
                <w:rFonts w:eastAsia="Times New Roman"/>
                <w:sz w:val="20"/>
              </w:rPr>
            </w:pPr>
          </w:p>
        </w:tc>
      </w:tr>
      <w:tr w:rsidR="003658EA" w:rsidRPr="008D3393" w14:paraId="066FFABE"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067B7F2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Eub338III*</w:t>
            </w:r>
          </w:p>
        </w:tc>
        <w:tc>
          <w:tcPr>
            <w:tcW w:w="0" w:type="auto"/>
            <w:tcBorders>
              <w:top w:val="nil"/>
              <w:left w:val="nil"/>
              <w:bottom w:val="single" w:sz="4" w:space="0" w:color="auto"/>
              <w:right w:val="single" w:sz="4" w:space="0" w:color="auto"/>
            </w:tcBorders>
            <w:vAlign w:val="center"/>
            <w:hideMark/>
          </w:tcPr>
          <w:p w14:paraId="4AC8E2D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GCTGCCACCCGTAGGTGT</w:t>
            </w:r>
          </w:p>
        </w:tc>
        <w:tc>
          <w:tcPr>
            <w:tcW w:w="1300" w:type="dxa"/>
            <w:tcBorders>
              <w:top w:val="nil"/>
              <w:left w:val="nil"/>
              <w:bottom w:val="single" w:sz="4" w:space="0" w:color="auto"/>
              <w:right w:val="single" w:sz="4" w:space="0" w:color="auto"/>
            </w:tcBorders>
            <w:noWrap/>
            <w:vAlign w:val="bottom"/>
            <w:hideMark/>
          </w:tcPr>
          <w:p w14:paraId="17B3216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Alexa-488</w:t>
            </w:r>
          </w:p>
        </w:tc>
        <w:tc>
          <w:tcPr>
            <w:tcW w:w="1864" w:type="dxa"/>
            <w:tcBorders>
              <w:top w:val="nil"/>
              <w:left w:val="nil"/>
              <w:bottom w:val="single" w:sz="4" w:space="0" w:color="auto"/>
              <w:right w:val="single" w:sz="4" w:space="0" w:color="auto"/>
            </w:tcBorders>
          </w:tcPr>
          <w:p w14:paraId="4E1466D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tcBorders>
              <w:left w:val="nil"/>
              <w:bottom w:val="single" w:sz="4" w:space="0" w:color="auto"/>
              <w:right w:val="single" w:sz="4" w:space="0" w:color="auto"/>
            </w:tcBorders>
          </w:tcPr>
          <w:p w14:paraId="7FB9654B" w14:textId="77777777" w:rsidR="003658EA" w:rsidRPr="008D3393" w:rsidRDefault="003658EA" w:rsidP="00A53996">
            <w:pPr>
              <w:spacing w:after="0" w:line="240" w:lineRule="auto"/>
              <w:contextualSpacing/>
              <w:jc w:val="both"/>
              <w:rPr>
                <w:rFonts w:eastAsia="Times New Roman"/>
                <w:sz w:val="20"/>
              </w:rPr>
            </w:pPr>
          </w:p>
        </w:tc>
      </w:tr>
      <w:tr w:rsidR="003658EA" w:rsidRPr="008D3393" w14:paraId="65EF1DC9"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10F2EE51"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Non Eub</w:t>
            </w:r>
          </w:p>
        </w:tc>
        <w:tc>
          <w:tcPr>
            <w:tcW w:w="0" w:type="auto"/>
            <w:tcBorders>
              <w:top w:val="nil"/>
              <w:left w:val="nil"/>
              <w:bottom w:val="single" w:sz="4" w:space="0" w:color="auto"/>
              <w:right w:val="single" w:sz="4" w:space="0" w:color="auto"/>
            </w:tcBorders>
            <w:vAlign w:val="center"/>
            <w:hideMark/>
          </w:tcPr>
          <w:p w14:paraId="52AD621B"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ACTCCTACGGGAGGCAGC</w:t>
            </w:r>
          </w:p>
        </w:tc>
        <w:tc>
          <w:tcPr>
            <w:tcW w:w="1300" w:type="dxa"/>
            <w:tcBorders>
              <w:top w:val="nil"/>
              <w:left w:val="nil"/>
              <w:bottom w:val="single" w:sz="4" w:space="0" w:color="auto"/>
              <w:right w:val="single" w:sz="4" w:space="0" w:color="auto"/>
            </w:tcBorders>
            <w:noWrap/>
            <w:vAlign w:val="bottom"/>
            <w:hideMark/>
          </w:tcPr>
          <w:p w14:paraId="609986F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7CDC884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None</w:t>
            </w:r>
          </w:p>
        </w:tc>
        <w:tc>
          <w:tcPr>
            <w:tcW w:w="2075" w:type="dxa"/>
            <w:tcBorders>
              <w:top w:val="nil"/>
              <w:left w:val="nil"/>
              <w:bottom w:val="single" w:sz="4" w:space="0" w:color="auto"/>
              <w:right w:val="single" w:sz="4" w:space="0" w:color="auto"/>
            </w:tcBorders>
          </w:tcPr>
          <w:p w14:paraId="3365DD7F" w14:textId="77777777" w:rsidR="003658EA" w:rsidRPr="008D3393" w:rsidRDefault="003658EA" w:rsidP="00A53996">
            <w:pPr>
              <w:spacing w:after="0" w:line="240" w:lineRule="auto"/>
              <w:contextualSpacing/>
              <w:jc w:val="both"/>
              <w:rPr>
                <w:rFonts w:eastAsia="Times New Roman"/>
                <w:sz w:val="20"/>
              </w:rPr>
            </w:pPr>
            <w:r w:rsidRPr="00BD5658">
              <w:rPr>
                <w:rFonts w:eastAsia="Times New Roman"/>
                <w:noProof/>
                <w:sz w:val="20"/>
              </w:rPr>
              <w:t>Wallner et al., 1993</w:t>
            </w:r>
            <w:r w:rsidRPr="008D3393">
              <w:rPr>
                <w:rFonts w:eastAsia="Times New Roman"/>
                <w:noProof/>
                <w:sz w:val="20"/>
              </w:rPr>
              <w:t>)</w:t>
            </w:r>
          </w:p>
        </w:tc>
      </w:tr>
      <w:tr w:rsidR="003658EA" w:rsidRPr="008D3393" w14:paraId="60B73F79"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2156A141"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w:t>
            </w:r>
          </w:p>
        </w:tc>
        <w:tc>
          <w:tcPr>
            <w:tcW w:w="0" w:type="auto"/>
            <w:tcBorders>
              <w:top w:val="nil"/>
              <w:left w:val="nil"/>
              <w:bottom w:val="single" w:sz="4" w:space="0" w:color="auto"/>
              <w:right w:val="single" w:sz="4" w:space="0" w:color="auto"/>
            </w:tcBorders>
            <w:vAlign w:val="center"/>
            <w:hideMark/>
          </w:tcPr>
          <w:p w14:paraId="13751069"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GCTGCCTCCCGTAGGAGT</w:t>
            </w:r>
          </w:p>
        </w:tc>
        <w:tc>
          <w:tcPr>
            <w:tcW w:w="1300" w:type="dxa"/>
            <w:tcBorders>
              <w:top w:val="nil"/>
              <w:left w:val="nil"/>
              <w:bottom w:val="single" w:sz="4" w:space="0" w:color="auto"/>
              <w:right w:val="single" w:sz="4" w:space="0" w:color="auto"/>
            </w:tcBorders>
            <w:noWrap/>
            <w:vAlign w:val="bottom"/>
            <w:hideMark/>
          </w:tcPr>
          <w:p w14:paraId="0D033EC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508CE9DB"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val="restart"/>
            <w:tcBorders>
              <w:top w:val="nil"/>
              <w:left w:val="nil"/>
              <w:right w:val="single" w:sz="4" w:space="0" w:color="auto"/>
            </w:tcBorders>
          </w:tcPr>
          <w:p w14:paraId="48F456EB" w14:textId="77777777" w:rsidR="003658EA" w:rsidRPr="008D3393" w:rsidRDefault="003658EA" w:rsidP="00A53996">
            <w:pPr>
              <w:spacing w:after="0" w:line="240" w:lineRule="auto"/>
              <w:contextualSpacing/>
              <w:jc w:val="both"/>
              <w:rPr>
                <w:rFonts w:eastAsia="Times New Roman"/>
                <w:sz w:val="20"/>
              </w:rPr>
            </w:pPr>
            <w:r w:rsidRPr="00BD5658">
              <w:rPr>
                <w:rFonts w:eastAsia="Times New Roman"/>
                <w:noProof/>
                <w:sz w:val="20"/>
              </w:rPr>
              <w:t>Daims et al., 1999</w:t>
            </w:r>
            <w:r w:rsidRPr="008D3393">
              <w:rPr>
                <w:rFonts w:eastAsia="Times New Roman"/>
                <w:noProof/>
                <w:sz w:val="20"/>
              </w:rPr>
              <w:t>)</w:t>
            </w:r>
          </w:p>
        </w:tc>
      </w:tr>
      <w:tr w:rsidR="003658EA" w:rsidRPr="008D3393" w14:paraId="496A545C"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710AF77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Eub338II</w:t>
            </w:r>
          </w:p>
        </w:tc>
        <w:tc>
          <w:tcPr>
            <w:tcW w:w="0" w:type="auto"/>
            <w:tcBorders>
              <w:top w:val="nil"/>
              <w:left w:val="nil"/>
              <w:bottom w:val="single" w:sz="4" w:space="0" w:color="auto"/>
              <w:right w:val="single" w:sz="4" w:space="0" w:color="auto"/>
            </w:tcBorders>
            <w:vAlign w:val="center"/>
            <w:hideMark/>
          </w:tcPr>
          <w:p w14:paraId="4CC3BF3C"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GCAGCCACCCGTAGGTGT</w:t>
            </w:r>
          </w:p>
        </w:tc>
        <w:tc>
          <w:tcPr>
            <w:tcW w:w="1300" w:type="dxa"/>
            <w:tcBorders>
              <w:top w:val="nil"/>
              <w:left w:val="nil"/>
              <w:bottom w:val="single" w:sz="4" w:space="0" w:color="auto"/>
              <w:right w:val="single" w:sz="4" w:space="0" w:color="auto"/>
            </w:tcBorders>
            <w:noWrap/>
            <w:vAlign w:val="bottom"/>
            <w:hideMark/>
          </w:tcPr>
          <w:p w14:paraId="0C8C2D2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78ACE82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tcBorders>
              <w:left w:val="nil"/>
              <w:right w:val="single" w:sz="4" w:space="0" w:color="auto"/>
            </w:tcBorders>
          </w:tcPr>
          <w:p w14:paraId="1C53798A" w14:textId="77777777" w:rsidR="003658EA" w:rsidRPr="008D3393" w:rsidRDefault="003658EA" w:rsidP="00A53996">
            <w:pPr>
              <w:spacing w:after="0" w:line="240" w:lineRule="auto"/>
              <w:contextualSpacing/>
              <w:jc w:val="both"/>
              <w:rPr>
                <w:rFonts w:eastAsia="Times New Roman"/>
                <w:sz w:val="20"/>
              </w:rPr>
            </w:pPr>
          </w:p>
        </w:tc>
      </w:tr>
      <w:tr w:rsidR="003658EA" w:rsidRPr="008D3393" w14:paraId="2031B8D9"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0F33343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Eub338III</w:t>
            </w:r>
          </w:p>
        </w:tc>
        <w:tc>
          <w:tcPr>
            <w:tcW w:w="0" w:type="auto"/>
            <w:tcBorders>
              <w:top w:val="nil"/>
              <w:left w:val="nil"/>
              <w:bottom w:val="single" w:sz="4" w:space="0" w:color="auto"/>
              <w:right w:val="single" w:sz="4" w:space="0" w:color="auto"/>
            </w:tcBorders>
            <w:vAlign w:val="center"/>
            <w:hideMark/>
          </w:tcPr>
          <w:p w14:paraId="3A6750A4"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GCTGCCACCCGTAGGTGT</w:t>
            </w:r>
          </w:p>
        </w:tc>
        <w:tc>
          <w:tcPr>
            <w:tcW w:w="1300" w:type="dxa"/>
            <w:tcBorders>
              <w:top w:val="nil"/>
              <w:left w:val="nil"/>
              <w:bottom w:val="single" w:sz="4" w:space="0" w:color="auto"/>
              <w:right w:val="single" w:sz="4" w:space="0" w:color="auto"/>
            </w:tcBorders>
            <w:noWrap/>
            <w:vAlign w:val="bottom"/>
            <w:hideMark/>
          </w:tcPr>
          <w:p w14:paraId="288D6691"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53A48AF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All</w:t>
            </w:r>
          </w:p>
        </w:tc>
        <w:tc>
          <w:tcPr>
            <w:tcW w:w="2075" w:type="dxa"/>
            <w:vMerge/>
            <w:tcBorders>
              <w:left w:val="nil"/>
              <w:bottom w:val="single" w:sz="4" w:space="0" w:color="auto"/>
              <w:right w:val="single" w:sz="4" w:space="0" w:color="auto"/>
            </w:tcBorders>
          </w:tcPr>
          <w:p w14:paraId="6A74DC3B" w14:textId="77777777" w:rsidR="003658EA" w:rsidRPr="008D3393" w:rsidRDefault="003658EA" w:rsidP="00A53996">
            <w:pPr>
              <w:spacing w:after="0" w:line="240" w:lineRule="auto"/>
              <w:contextualSpacing/>
              <w:jc w:val="both"/>
              <w:rPr>
                <w:rFonts w:eastAsia="Times New Roman"/>
                <w:sz w:val="20"/>
              </w:rPr>
            </w:pPr>
          </w:p>
        </w:tc>
      </w:tr>
      <w:tr w:rsidR="003658EA" w:rsidRPr="008D3393" w14:paraId="0BA67CED"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2E8D2883"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Bif164</w:t>
            </w:r>
          </w:p>
        </w:tc>
        <w:tc>
          <w:tcPr>
            <w:tcW w:w="0" w:type="auto"/>
            <w:tcBorders>
              <w:top w:val="nil"/>
              <w:left w:val="nil"/>
              <w:bottom w:val="single" w:sz="4" w:space="0" w:color="auto"/>
              <w:right w:val="single" w:sz="4" w:space="0" w:color="auto"/>
            </w:tcBorders>
            <w:vAlign w:val="center"/>
            <w:hideMark/>
          </w:tcPr>
          <w:p w14:paraId="7857EE9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CATCCGGCATTACCACCC</w:t>
            </w:r>
          </w:p>
        </w:tc>
        <w:tc>
          <w:tcPr>
            <w:tcW w:w="1300" w:type="dxa"/>
            <w:tcBorders>
              <w:top w:val="nil"/>
              <w:left w:val="nil"/>
              <w:bottom w:val="single" w:sz="4" w:space="0" w:color="auto"/>
              <w:right w:val="single" w:sz="4" w:space="0" w:color="auto"/>
            </w:tcBorders>
            <w:noWrap/>
            <w:vAlign w:val="bottom"/>
            <w:hideMark/>
          </w:tcPr>
          <w:p w14:paraId="60694895"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421276A3"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Bifidobacterium</w:t>
            </w:r>
          </w:p>
        </w:tc>
        <w:tc>
          <w:tcPr>
            <w:tcW w:w="2075" w:type="dxa"/>
            <w:tcBorders>
              <w:top w:val="nil"/>
              <w:left w:val="nil"/>
              <w:bottom w:val="single" w:sz="4" w:space="0" w:color="auto"/>
              <w:right w:val="single" w:sz="4" w:space="0" w:color="auto"/>
            </w:tcBorders>
          </w:tcPr>
          <w:p w14:paraId="595E2461"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noProof/>
                <w:sz w:val="20"/>
              </w:rPr>
              <w:t>(</w:t>
            </w:r>
            <w:r w:rsidRPr="00BD5658">
              <w:rPr>
                <w:rFonts w:eastAsia="Times New Roman"/>
                <w:noProof/>
                <w:sz w:val="20"/>
              </w:rPr>
              <w:t>Langendijk et al., 1995</w:t>
            </w:r>
          </w:p>
        </w:tc>
      </w:tr>
      <w:tr w:rsidR="003658EA" w:rsidRPr="008D3393" w14:paraId="5D8B753F"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0D1341D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Lab158</w:t>
            </w:r>
          </w:p>
        </w:tc>
        <w:tc>
          <w:tcPr>
            <w:tcW w:w="0" w:type="auto"/>
            <w:tcBorders>
              <w:top w:val="nil"/>
              <w:left w:val="nil"/>
              <w:bottom w:val="single" w:sz="4" w:space="0" w:color="auto"/>
              <w:right w:val="single" w:sz="4" w:space="0" w:color="auto"/>
            </w:tcBorders>
            <w:vAlign w:val="center"/>
            <w:hideMark/>
          </w:tcPr>
          <w:p w14:paraId="36D2130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GGTATTAGCAYCTGTTTCCA</w:t>
            </w:r>
          </w:p>
        </w:tc>
        <w:tc>
          <w:tcPr>
            <w:tcW w:w="1300" w:type="dxa"/>
            <w:tcBorders>
              <w:top w:val="nil"/>
              <w:left w:val="nil"/>
              <w:bottom w:val="single" w:sz="4" w:space="0" w:color="auto"/>
              <w:right w:val="single" w:sz="4" w:space="0" w:color="auto"/>
            </w:tcBorders>
            <w:noWrap/>
            <w:vAlign w:val="bottom"/>
            <w:hideMark/>
          </w:tcPr>
          <w:p w14:paraId="34319ECF"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6EA630CE"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 xml:space="preserve">Lactobacillus </w:t>
            </w:r>
            <w:r w:rsidRPr="008D3393">
              <w:rPr>
                <w:rFonts w:eastAsia="Times New Roman"/>
                <w:sz w:val="20"/>
              </w:rPr>
              <w:t xml:space="preserve">and </w:t>
            </w:r>
            <w:r w:rsidRPr="008D3393">
              <w:rPr>
                <w:rFonts w:eastAsia="Times New Roman"/>
                <w:i/>
                <w:sz w:val="20"/>
              </w:rPr>
              <w:t>Enterococcus</w:t>
            </w:r>
          </w:p>
        </w:tc>
        <w:tc>
          <w:tcPr>
            <w:tcW w:w="2075" w:type="dxa"/>
            <w:tcBorders>
              <w:top w:val="nil"/>
              <w:left w:val="nil"/>
              <w:bottom w:val="single" w:sz="4" w:space="0" w:color="auto"/>
              <w:right w:val="single" w:sz="4" w:space="0" w:color="auto"/>
            </w:tcBorders>
          </w:tcPr>
          <w:p w14:paraId="78AB4538" w14:textId="77777777" w:rsidR="003658EA" w:rsidRPr="008D3393" w:rsidRDefault="003658EA" w:rsidP="00A53996">
            <w:pPr>
              <w:spacing w:after="0" w:line="240" w:lineRule="auto"/>
              <w:contextualSpacing/>
              <w:jc w:val="both"/>
              <w:rPr>
                <w:rFonts w:eastAsia="Times New Roman"/>
                <w:i/>
                <w:sz w:val="20"/>
              </w:rPr>
            </w:pPr>
            <w:r w:rsidRPr="00BD5658">
              <w:rPr>
                <w:rFonts w:eastAsia="Times New Roman"/>
                <w:noProof/>
                <w:sz w:val="20"/>
              </w:rPr>
              <w:t>H.J.M. Harmsen et al., 1999</w:t>
            </w:r>
            <w:r w:rsidRPr="008D3393">
              <w:rPr>
                <w:rFonts w:eastAsia="Times New Roman"/>
                <w:noProof/>
                <w:sz w:val="20"/>
              </w:rPr>
              <w:t>)</w:t>
            </w:r>
          </w:p>
        </w:tc>
      </w:tr>
      <w:tr w:rsidR="003658EA" w:rsidRPr="008D3393" w14:paraId="0A0BCEF9"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4A1DCE20"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Bac303</w:t>
            </w:r>
          </w:p>
        </w:tc>
        <w:tc>
          <w:tcPr>
            <w:tcW w:w="0" w:type="auto"/>
            <w:tcBorders>
              <w:top w:val="nil"/>
              <w:left w:val="nil"/>
              <w:bottom w:val="single" w:sz="4" w:space="0" w:color="auto"/>
              <w:right w:val="single" w:sz="4" w:space="0" w:color="auto"/>
            </w:tcBorders>
            <w:vAlign w:val="center"/>
            <w:hideMark/>
          </w:tcPr>
          <w:p w14:paraId="74796C1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CCAATGTGGGGGACCTT</w:t>
            </w:r>
          </w:p>
        </w:tc>
        <w:tc>
          <w:tcPr>
            <w:tcW w:w="1300" w:type="dxa"/>
            <w:tcBorders>
              <w:top w:val="nil"/>
              <w:left w:val="nil"/>
              <w:bottom w:val="single" w:sz="4" w:space="0" w:color="auto"/>
              <w:right w:val="single" w:sz="4" w:space="0" w:color="auto"/>
            </w:tcBorders>
            <w:noWrap/>
            <w:vAlign w:val="bottom"/>
            <w:hideMark/>
          </w:tcPr>
          <w:p w14:paraId="71351069"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1BC38CCD"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Bacteroides</w:t>
            </w:r>
          </w:p>
        </w:tc>
        <w:tc>
          <w:tcPr>
            <w:tcW w:w="2075" w:type="dxa"/>
            <w:tcBorders>
              <w:top w:val="nil"/>
              <w:left w:val="nil"/>
              <w:bottom w:val="single" w:sz="4" w:space="0" w:color="auto"/>
              <w:right w:val="single" w:sz="4" w:space="0" w:color="auto"/>
            </w:tcBorders>
          </w:tcPr>
          <w:p w14:paraId="37FD434E"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sz w:val="20"/>
              </w:rPr>
              <w:fldChar w:fldCharType="begin"/>
            </w:r>
            <w:r w:rsidRPr="008D3393">
              <w:rPr>
                <w:rFonts w:eastAsia="Times New Roman"/>
                <w:sz w:val="20"/>
              </w:rPr>
              <w:instrText xml:space="preserve"> ADDIN EN.CITE &lt;EndNote&gt;&lt;Cite&gt;&lt;Author&gt;Manz&lt;/Author&gt;&lt;Year&gt;1996&lt;/Year&gt;&lt;RecNum&gt;171&lt;/RecNum&gt;&lt;DisplayText&gt;(Manz et al., 1996)&lt;/DisplayText&gt;&lt;record&gt;&lt;rec-number&gt;171&lt;/rec-number&gt;&lt;foreign-keys&gt;&lt;key app="EN" db-id="0twssxz0302ffjefppxxvz53avw9svsw9azw"&gt;171&lt;/key&gt;&lt;/foreign-keys&gt;&lt;ref-type name="Journal Article"&gt;17&lt;/ref-type&gt;&lt;contributors&gt;&lt;authors&gt;&lt;author&gt;Manz, W.&lt;/author&gt;&lt;author&gt;Amann, R.&lt;/author&gt;&lt;author&gt;Ludwig, W.&lt;/author&gt;&lt;author&gt;Vancanneyt, M.&lt;/author&gt;&lt;author&gt;Schleifer, K. H.&lt;/author&gt;&lt;/authors&gt;&lt;/contributors&gt;&lt;auth-address&gt;Univ Munich,Lehrstuhl Mikrobiol,D-80290 Munich,Germany&amp;#xD;State Univ Ghent,Microbiol Lab,B-9000 Ghent,Belgium&lt;/auth-address&gt;&lt;titles&gt;&lt;title&gt;Application of a suite of 16S rRNA-specific oligonucleotide probes designed to investigate bacteria of the phylum cytophaga-flavobacter-bacteroides in the natural environment&lt;/title&gt;&lt;secondary-title&gt;Microbiology-Uk&lt;/secondary-title&gt;&lt;alt-title&gt;Microbiol-Uk&lt;/alt-title&gt;&lt;/titles&gt;&lt;periodical&gt;&lt;full-title&gt;Microbiology-Uk&lt;/full-title&gt;&lt;abbr-1&gt;Microbiol-Uk&lt;/abbr-1&gt;&lt;/periodical&gt;&lt;alt-periodical&gt;&lt;full-title&gt;Microbiology-Uk&lt;/full-title&gt;&lt;abbr-1&gt;Microbiol-Uk&lt;/abbr-1&gt;&lt;/alt-periodical&gt;&lt;pages&gt;1097-1106&lt;/pages&gt;&lt;volume&gt;142&lt;/volume&gt;&lt;keywords&gt;&lt;keyword&gt;16s rrna-targeted oligonucleotide probes&lt;/keyword&gt;&lt;keyword&gt;in situ hybridization&lt;/keyword&gt;&lt;keyword&gt;phylum cytophaga-flavobacter-bacteroides&lt;/keyword&gt;&lt;keyword&gt;flavobacteria-cytophaga group&lt;/keyword&gt;&lt;keyword&gt;bacteroides group&lt;/keyword&gt;&lt;keyword&gt;human fecal flora&lt;/keyword&gt;&lt;keyword&gt;oligodeoxynucleotide probes&lt;/keyword&gt;&lt;keyword&gt;activated-sludge&lt;/keyword&gt;&lt;keyword&gt;human feces&lt;/keyword&gt;&lt;keyword&gt;DNA probes&lt;/keyword&gt;&lt;keyword&gt;identification&lt;/keyword&gt;&lt;keyword&gt;cells&lt;/keyword&gt;&lt;keyword&gt;genus&lt;/keyword&gt;&lt;keyword&gt;reclassification&lt;/keyword&gt;&lt;keyword&gt;proteobacteria&lt;/keyword&gt;&lt;/keywords&gt;&lt;dates&gt;&lt;year&gt;1996&lt;/year&gt;&lt;pub-dates&gt;&lt;date&gt;May&lt;/date&gt;&lt;/pub-dates&gt;&lt;/dates&gt;&lt;isbn&gt;1350-0872&lt;/isbn&gt;&lt;accession-num&gt;WOS:A1996UL52700007&lt;/accession-num&gt;&lt;urls&gt;&lt;related-urls&gt;&lt;url&gt;&amp;lt;Go to ISI&amp;gt;://WOS:A1996UL52700007&lt;/url&gt;&lt;/related-urls&gt;&lt;/urls&gt;&lt;language&gt;English&lt;/language&gt;&lt;/record&gt;&lt;/Cite&gt;&lt;/EndNote&gt;</w:instrText>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Manz et al., 1996</w:t>
            </w:r>
            <w:r w:rsidRPr="008D3393">
              <w:rPr>
                <w:rFonts w:eastAsia="Times New Roman"/>
                <w:noProof/>
                <w:sz w:val="20"/>
              </w:rPr>
              <w:t>)</w:t>
            </w:r>
            <w:r w:rsidRPr="008D3393">
              <w:rPr>
                <w:rFonts w:eastAsia="Times New Roman"/>
                <w:sz w:val="20"/>
              </w:rPr>
              <w:fldChar w:fldCharType="end"/>
            </w:r>
          </w:p>
        </w:tc>
      </w:tr>
      <w:tr w:rsidR="003658EA" w:rsidRPr="008D3393" w14:paraId="10102C8B"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020FCC73"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Erec482</w:t>
            </w:r>
          </w:p>
        </w:tc>
        <w:tc>
          <w:tcPr>
            <w:tcW w:w="0" w:type="auto"/>
            <w:tcBorders>
              <w:top w:val="nil"/>
              <w:left w:val="nil"/>
              <w:bottom w:val="single" w:sz="4" w:space="0" w:color="auto"/>
              <w:right w:val="single" w:sz="4" w:space="0" w:color="auto"/>
            </w:tcBorders>
            <w:vAlign w:val="center"/>
            <w:hideMark/>
          </w:tcPr>
          <w:p w14:paraId="33230EC7"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GCTTCTTAGTCARGTACCG</w:t>
            </w:r>
          </w:p>
        </w:tc>
        <w:tc>
          <w:tcPr>
            <w:tcW w:w="1300" w:type="dxa"/>
            <w:tcBorders>
              <w:top w:val="nil"/>
              <w:left w:val="nil"/>
              <w:bottom w:val="single" w:sz="4" w:space="0" w:color="auto"/>
              <w:right w:val="single" w:sz="4" w:space="0" w:color="auto"/>
            </w:tcBorders>
            <w:noWrap/>
            <w:vAlign w:val="bottom"/>
            <w:hideMark/>
          </w:tcPr>
          <w:p w14:paraId="62FAA835"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4513E7C6" w14:textId="77777777" w:rsidR="003658EA" w:rsidRPr="008D3393" w:rsidRDefault="003658EA" w:rsidP="00A53996">
            <w:pPr>
              <w:spacing w:after="0" w:line="240" w:lineRule="auto"/>
              <w:contextualSpacing/>
              <w:jc w:val="both"/>
              <w:rPr>
                <w:rFonts w:eastAsia="Times New Roman"/>
                <w:sz w:val="20"/>
              </w:rPr>
            </w:pPr>
            <w:r w:rsidRPr="008D3393">
              <w:rPr>
                <w:rStyle w:val="Emphasis"/>
                <w:color w:val="000000"/>
                <w:sz w:val="20"/>
              </w:rPr>
              <w:t>Eubacterium rectale/Clostridium coccoides</w:t>
            </w:r>
            <w:r w:rsidRPr="008D3393">
              <w:rPr>
                <w:rStyle w:val="apple-converted-space"/>
                <w:color w:val="000000"/>
                <w:sz w:val="20"/>
              </w:rPr>
              <w:t> </w:t>
            </w:r>
            <w:r w:rsidRPr="008D3393">
              <w:rPr>
                <w:color w:val="000000"/>
                <w:sz w:val="20"/>
              </w:rPr>
              <w:t>cluster</w:t>
            </w:r>
          </w:p>
        </w:tc>
        <w:tc>
          <w:tcPr>
            <w:tcW w:w="2075" w:type="dxa"/>
            <w:tcBorders>
              <w:top w:val="nil"/>
              <w:left w:val="nil"/>
              <w:bottom w:val="single" w:sz="4" w:space="0" w:color="auto"/>
              <w:right w:val="single" w:sz="4" w:space="0" w:color="auto"/>
            </w:tcBorders>
          </w:tcPr>
          <w:p w14:paraId="27AF6DB3" w14:textId="77777777" w:rsidR="003658EA" w:rsidRPr="008D3393" w:rsidRDefault="003658EA" w:rsidP="00A53996">
            <w:pPr>
              <w:spacing w:after="0" w:line="240" w:lineRule="auto"/>
              <w:contextualSpacing/>
              <w:jc w:val="both"/>
              <w:rPr>
                <w:rStyle w:val="Emphasis"/>
                <w:color w:val="000000"/>
                <w:sz w:val="20"/>
              </w:rPr>
            </w:pPr>
            <w:r w:rsidRPr="008D3393">
              <w:rPr>
                <w:rFonts w:eastAsia="Times New Roman"/>
                <w:sz w:val="20"/>
              </w:rPr>
              <w:fldChar w:fldCharType="begin"/>
            </w:r>
            <w:r w:rsidRPr="008D3393">
              <w:rPr>
                <w:rFonts w:eastAsia="Times New Roman"/>
                <w:sz w:val="20"/>
              </w:rPr>
              <w:instrText xml:space="preserve"> ADDIN EN.CITE &lt;EndNote&gt;&lt;Cite&gt;&lt;Author&gt;Franks&lt;/Author&gt;&lt;Year&gt;1998&lt;/Year&gt;&lt;RecNum&gt;170&lt;/RecNum&gt;&lt;DisplayText&gt;(Franks et al., 1998)&lt;/DisplayText&gt;&lt;record&gt;&lt;rec-number&gt;170&lt;/rec-number&gt;&lt;foreign-keys&gt;&lt;key app="EN" db-id="0twssxz0302ffjefppxxvz53avw9svsw9azw"&gt;170&lt;/key&gt;&lt;/foreign-keys&gt;&lt;ref-type name="Journal Article"&gt;17&lt;/ref-type&gt;&lt;contributors&gt;&lt;authors&gt;&lt;author&gt;Franks, A. H.&lt;/author&gt;&lt;author&gt;Harmsen, H. J. M.&lt;/author&gt;&lt;author&gt;Raangs, G. C.&lt;/author&gt;&lt;author&gt;Jansen, G. J.&lt;/author&gt;&lt;author&gt;Schut, F.&lt;/author&gt;&lt;author&gt;Welling, G. W.&lt;/author&gt;&lt;/authors&gt;&lt;/contributors&gt;&lt;auth-address&gt;Univ Groningen, Dept Med Microbiol, NL-9700 RB Groningen, Netherlands&lt;/auth-address&gt;&lt;titles&gt;&lt;title&gt;Variations of bacterial populations in human feces measured by fluorescent in situ hybridization with group-specific 16S rRNA-Targeted oligonucleotide probes&lt;/title&gt;&lt;secondary-title&gt;Applied and Environmental Microbiology&lt;/secondary-title&gt;&lt;alt-title&gt;Appl Environ Microb&lt;/alt-title&gt;&lt;/titles&gt;&lt;periodical&gt;&lt;full-title&gt;Appl Environ Microbiol&lt;/full-title&gt;&lt;abbr-1&gt;Applied and environmental microbiology&lt;/abbr-1&gt;&lt;/periodical&gt;&lt;pages&gt;3336-3345&lt;/pages&gt;&lt;volume&gt;64&lt;/volume&gt;&lt;number&gt;9&lt;/number&gt;&lt;keywords&gt;&lt;keyword&gt;microbial-cells&lt;/keyword&gt;&lt;keyword&gt;fecal samples&lt;/keyword&gt;&lt;keyword&gt;bifidobacterium&lt;/keyword&gt;&lt;keyword&gt;identification&lt;/keyword&gt;&lt;keyword&gt;lactobacilli&lt;/keyword&gt;&lt;keyword&gt;colonization&lt;/keyword&gt;&lt;keyword&gt;microflora&lt;/keyword&gt;&lt;keyword&gt;pcr&lt;/keyword&gt;&lt;/keywords&gt;&lt;dates&gt;&lt;year&gt;1998&lt;/year&gt;&lt;pub-dates&gt;&lt;date&gt;Sep&lt;/date&gt;&lt;/pub-dates&gt;&lt;/dates&gt;&lt;isbn&gt;0099-2240&lt;/isbn&gt;&lt;accession-num&gt;WOS:000075892200032&lt;/accession-num&gt;&lt;urls&gt;&lt;related-urls&gt;&lt;url&gt;&amp;lt;Go to ISI&amp;gt;://WOS:000075892200032&lt;/url&gt;&lt;/related-urls&gt;&lt;/urls&gt;&lt;language&gt;English&lt;/language&gt;&lt;/record&gt;&lt;/Cite&gt;&lt;/EndNote&gt;</w:instrText>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Franks et al., 1998</w:t>
            </w:r>
            <w:r w:rsidRPr="008D3393">
              <w:rPr>
                <w:rFonts w:eastAsia="Times New Roman"/>
                <w:noProof/>
                <w:sz w:val="20"/>
              </w:rPr>
              <w:t>)</w:t>
            </w:r>
            <w:r w:rsidRPr="008D3393">
              <w:rPr>
                <w:rFonts w:eastAsia="Times New Roman"/>
                <w:sz w:val="20"/>
              </w:rPr>
              <w:fldChar w:fldCharType="end"/>
            </w:r>
          </w:p>
        </w:tc>
      </w:tr>
      <w:tr w:rsidR="003658EA" w:rsidRPr="008D3393" w14:paraId="291E9518"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5789930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Rrec584</w:t>
            </w:r>
          </w:p>
        </w:tc>
        <w:tc>
          <w:tcPr>
            <w:tcW w:w="0" w:type="auto"/>
            <w:tcBorders>
              <w:top w:val="nil"/>
              <w:left w:val="nil"/>
              <w:bottom w:val="single" w:sz="4" w:space="0" w:color="auto"/>
              <w:right w:val="single" w:sz="4" w:space="0" w:color="auto"/>
            </w:tcBorders>
            <w:vAlign w:val="center"/>
            <w:hideMark/>
          </w:tcPr>
          <w:p w14:paraId="53DA7F2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TCAGACTTGCCGYACCGC</w:t>
            </w:r>
          </w:p>
        </w:tc>
        <w:tc>
          <w:tcPr>
            <w:tcW w:w="1300" w:type="dxa"/>
            <w:tcBorders>
              <w:top w:val="nil"/>
              <w:left w:val="nil"/>
              <w:bottom w:val="single" w:sz="4" w:space="0" w:color="auto"/>
              <w:right w:val="single" w:sz="4" w:space="0" w:color="auto"/>
            </w:tcBorders>
            <w:noWrap/>
            <w:vAlign w:val="bottom"/>
            <w:hideMark/>
          </w:tcPr>
          <w:p w14:paraId="004C246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041D5039"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 xml:space="preserve">Roseburia </w:t>
            </w:r>
          </w:p>
        </w:tc>
        <w:tc>
          <w:tcPr>
            <w:tcW w:w="2075" w:type="dxa"/>
            <w:tcBorders>
              <w:top w:val="nil"/>
              <w:left w:val="nil"/>
              <w:bottom w:val="single" w:sz="4" w:space="0" w:color="auto"/>
              <w:right w:val="single" w:sz="4" w:space="0" w:color="auto"/>
            </w:tcBorders>
          </w:tcPr>
          <w:p w14:paraId="739B5526"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sz w:val="20"/>
              </w:rPr>
              <w:fldChar w:fldCharType="begin">
                <w:fldData xml:space="preserve">PEVuZE5vdGU+PENpdGU+PEF1dGhvcj5XYWxrZXI8L0F1dGhvcj48WWVhcj4yMDA1PC9ZZWFyPjxS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</w:fldData>
              </w:fldChar>
            </w:r>
            <w:r w:rsidRPr="008D3393">
              <w:rPr>
                <w:rFonts w:eastAsia="Times New Roman"/>
                <w:sz w:val="20"/>
              </w:rPr>
              <w:instrText xml:space="preserve"> ADDIN EN.CITE </w:instrText>
            </w:r>
            <w:r w:rsidRPr="008D3393">
              <w:rPr>
                <w:rFonts w:eastAsia="Times New Roman"/>
                <w:sz w:val="20"/>
              </w:rPr>
              <w:fldChar w:fldCharType="begin">
                <w:fldData xml:space="preserve">PEVuZE5vdGU+PENpdGU+PEF1dGhvcj5XYWxrZXI8L0F1dGhvcj48WWVhcj4yMDA1PC9ZZWFyPjxS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</w:fldData>
              </w:fldChar>
            </w:r>
            <w:r w:rsidRPr="008D3393">
              <w:rPr>
                <w:rFonts w:eastAsia="Times New Roman"/>
                <w:sz w:val="20"/>
              </w:rPr>
              <w:instrText xml:space="preserve"> ADDIN EN.CITE.DATA </w:instrText>
            </w:r>
            <w:r w:rsidRPr="008D3393">
              <w:rPr>
                <w:rFonts w:eastAsia="Times New Roman"/>
                <w:sz w:val="20"/>
              </w:rPr>
            </w:r>
            <w:r w:rsidRPr="008D3393">
              <w:rPr>
                <w:rFonts w:eastAsia="Times New Roman"/>
                <w:sz w:val="20"/>
              </w:rPr>
              <w:fldChar w:fldCharType="end"/>
            </w:r>
            <w:r w:rsidRPr="008D3393">
              <w:rPr>
                <w:rFonts w:eastAsia="Times New Roman"/>
                <w:sz w:val="20"/>
              </w:rPr>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Walker et al., 2005</w:t>
            </w:r>
            <w:r w:rsidRPr="008D3393">
              <w:rPr>
                <w:rFonts w:eastAsia="Times New Roman"/>
                <w:noProof/>
                <w:sz w:val="20"/>
              </w:rPr>
              <w:t>)</w:t>
            </w:r>
            <w:r w:rsidRPr="008D3393">
              <w:rPr>
                <w:rFonts w:eastAsia="Times New Roman"/>
                <w:sz w:val="20"/>
              </w:rPr>
              <w:fldChar w:fldCharType="end"/>
            </w:r>
          </w:p>
        </w:tc>
      </w:tr>
      <w:tr w:rsidR="003658EA" w:rsidRPr="008D3393" w14:paraId="4E28E102"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154A77D6"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Ato291</w:t>
            </w:r>
          </w:p>
        </w:tc>
        <w:tc>
          <w:tcPr>
            <w:tcW w:w="0" w:type="auto"/>
            <w:tcBorders>
              <w:top w:val="nil"/>
              <w:left w:val="nil"/>
              <w:bottom w:val="single" w:sz="4" w:space="0" w:color="auto"/>
              <w:right w:val="single" w:sz="4" w:space="0" w:color="auto"/>
            </w:tcBorders>
            <w:vAlign w:val="center"/>
            <w:hideMark/>
          </w:tcPr>
          <w:p w14:paraId="64E4167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GGTCGGTCTCTCAACCC</w:t>
            </w:r>
          </w:p>
        </w:tc>
        <w:tc>
          <w:tcPr>
            <w:tcW w:w="1300" w:type="dxa"/>
            <w:tcBorders>
              <w:top w:val="nil"/>
              <w:left w:val="nil"/>
              <w:bottom w:val="single" w:sz="4" w:space="0" w:color="auto"/>
              <w:right w:val="single" w:sz="4" w:space="0" w:color="auto"/>
            </w:tcBorders>
            <w:noWrap/>
            <w:vAlign w:val="bottom"/>
            <w:hideMark/>
          </w:tcPr>
          <w:p w14:paraId="1D3EEF9C"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127AEA5F"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Atopobium</w:t>
            </w:r>
          </w:p>
        </w:tc>
        <w:tc>
          <w:tcPr>
            <w:tcW w:w="2075" w:type="dxa"/>
            <w:tcBorders>
              <w:top w:val="nil"/>
              <w:left w:val="nil"/>
              <w:bottom w:val="single" w:sz="4" w:space="0" w:color="auto"/>
              <w:right w:val="single" w:sz="4" w:space="0" w:color="auto"/>
            </w:tcBorders>
          </w:tcPr>
          <w:p w14:paraId="107E08EB"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sz w:val="20"/>
              </w:rPr>
              <w:fldChar w:fldCharType="begin"/>
            </w:r>
            <w:r w:rsidRPr="008D3393">
              <w:rPr>
                <w:rFonts w:eastAsia="Times New Roman"/>
                <w:sz w:val="20"/>
              </w:rPr>
              <w:instrText xml:space="preserve"> ADDIN EN.CITE &lt;EndNote&gt;&lt;Cite&gt;&lt;Author&gt;Harmsen&lt;/Author&gt;&lt;Year&gt;2000&lt;/Year&gt;&lt;RecNum&gt;172&lt;/RecNum&gt;&lt;DisplayText&gt;(H. J.M. Harmsen et al., 2000)&lt;/DisplayText&gt;&lt;record&gt;&lt;rec-number&gt;172&lt;/rec-number&gt;&lt;foreign-keys&gt;&lt;key app="EN" db-id="0twssxz0302ffjefppxxvz53avw9svsw9azw"&gt;172&lt;/key&gt;&lt;/foreign-keys&gt;&lt;ref-type name="Journal Article"&gt;17&lt;/ref-type&gt;&lt;contributors&gt;&lt;authors&gt;&lt;author&gt;Harmsen, H. J.M.&lt;/author&gt;&lt;author&gt;Raangs, G.C.&lt;/author&gt;&lt;author&gt;He, T.&lt;/author&gt;&lt;author&gt;Degener, J.E.&lt;/author&gt;&lt;author&gt;EWelling, G.J.&lt;/author&gt;&lt;/authors&gt;&lt;/contributors&gt;&lt;titles&gt;&lt;title&gt;Development of 16S rRNA-based probes for the Coriobacterium group and the Atopobium cluster and their application for enumeration of Coriobacteriaceae in human feces from volunteers of different ages&lt;/title&gt;&lt;secondary-title&gt;Appl Environ Microbiol&lt;/secondary-title&gt;&lt;/titles&gt;&lt;periodical&gt;&lt;full-title&gt;Appl Environ Microbiol&lt;/full-title&gt;&lt;abbr-1&gt;Applied and environmental microbiology&lt;/abbr-1&gt;&lt;/periodical&gt;&lt;pages&gt;4523-4527&lt;/pages&gt;&lt;volume&gt;66&lt;/volume&gt;&lt;dates&gt;&lt;year&gt;2000&lt;/year&gt;&lt;/dates&gt;&lt;urls&gt;&lt;/urls&gt;&lt;/record&gt;&lt;/Cite&gt;&lt;/EndNote&gt;</w:instrText>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H. J.M. Harmsen et al., 2000</w:t>
            </w:r>
            <w:r w:rsidRPr="008D3393">
              <w:rPr>
                <w:rFonts w:eastAsia="Times New Roman"/>
                <w:noProof/>
                <w:sz w:val="20"/>
              </w:rPr>
              <w:t>)</w:t>
            </w:r>
            <w:r w:rsidRPr="008D3393">
              <w:rPr>
                <w:rFonts w:eastAsia="Times New Roman"/>
                <w:sz w:val="20"/>
              </w:rPr>
              <w:fldChar w:fldCharType="end"/>
            </w:r>
          </w:p>
        </w:tc>
      </w:tr>
      <w:tr w:rsidR="003658EA" w:rsidRPr="008D3393" w14:paraId="4E2ECCA1"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114CE811"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Prop853</w:t>
            </w:r>
          </w:p>
        </w:tc>
        <w:tc>
          <w:tcPr>
            <w:tcW w:w="0" w:type="auto"/>
            <w:tcBorders>
              <w:top w:val="nil"/>
              <w:left w:val="nil"/>
              <w:bottom w:val="single" w:sz="4" w:space="0" w:color="auto"/>
              <w:right w:val="single" w:sz="4" w:space="0" w:color="auto"/>
            </w:tcBorders>
            <w:vAlign w:val="center"/>
            <w:hideMark/>
          </w:tcPr>
          <w:p w14:paraId="4E6F7B96"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ATTGCGTTAACTCCGGCAC</w:t>
            </w:r>
          </w:p>
        </w:tc>
        <w:tc>
          <w:tcPr>
            <w:tcW w:w="1300" w:type="dxa"/>
            <w:tcBorders>
              <w:top w:val="nil"/>
              <w:left w:val="nil"/>
              <w:bottom w:val="single" w:sz="4" w:space="0" w:color="auto"/>
              <w:right w:val="single" w:sz="4" w:space="0" w:color="auto"/>
            </w:tcBorders>
            <w:noWrap/>
            <w:vAlign w:val="bottom"/>
            <w:hideMark/>
          </w:tcPr>
          <w:p w14:paraId="25E5182A"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60DCC199"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Clostridium cluster IX</w:t>
            </w:r>
          </w:p>
        </w:tc>
        <w:tc>
          <w:tcPr>
            <w:tcW w:w="2075" w:type="dxa"/>
            <w:tcBorders>
              <w:top w:val="nil"/>
              <w:left w:val="nil"/>
              <w:bottom w:val="single" w:sz="4" w:space="0" w:color="auto"/>
              <w:right w:val="single" w:sz="4" w:space="0" w:color="auto"/>
            </w:tcBorders>
          </w:tcPr>
          <w:p w14:paraId="0FFBE938"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sz w:val="20"/>
              </w:rPr>
              <w:fldChar w:fldCharType="begin">
                <w:fldData xml:space="preserve">PEVuZE5vdGU+PENpdGU+PEF1dGhvcj5XYWxrZXI8L0F1dGhvcj48WWVhcj4yMDA1PC9ZZWFyPjxS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</w:fldData>
              </w:fldChar>
            </w:r>
            <w:r w:rsidRPr="008D3393">
              <w:rPr>
                <w:rFonts w:eastAsia="Times New Roman"/>
                <w:sz w:val="20"/>
              </w:rPr>
              <w:instrText xml:space="preserve"> ADDIN EN.CITE </w:instrText>
            </w:r>
            <w:r w:rsidRPr="008D3393">
              <w:rPr>
                <w:rFonts w:eastAsia="Times New Roman"/>
                <w:sz w:val="20"/>
              </w:rPr>
              <w:fldChar w:fldCharType="begin">
                <w:fldData xml:space="preserve">PEVuZE5vdGU+PENpdGU+PEF1dGhvcj5XYWxrZXI8L0F1dGhvcj48WWVhcj4yMDA1PC9ZZWFyPjxS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</w:fldData>
              </w:fldChar>
            </w:r>
            <w:r w:rsidRPr="008D3393">
              <w:rPr>
                <w:rFonts w:eastAsia="Times New Roman"/>
                <w:sz w:val="20"/>
              </w:rPr>
              <w:instrText xml:space="preserve"> ADDIN EN.CITE.DATA </w:instrText>
            </w:r>
            <w:r w:rsidRPr="008D3393">
              <w:rPr>
                <w:rFonts w:eastAsia="Times New Roman"/>
                <w:sz w:val="20"/>
              </w:rPr>
            </w:r>
            <w:r w:rsidRPr="008D3393">
              <w:rPr>
                <w:rFonts w:eastAsia="Times New Roman"/>
                <w:sz w:val="20"/>
              </w:rPr>
              <w:fldChar w:fldCharType="end"/>
            </w:r>
            <w:r w:rsidRPr="008D3393">
              <w:rPr>
                <w:rFonts w:eastAsia="Times New Roman"/>
                <w:sz w:val="20"/>
              </w:rPr>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Walker et al., 2005</w:t>
            </w:r>
            <w:r w:rsidRPr="008D3393">
              <w:rPr>
                <w:rFonts w:eastAsia="Times New Roman"/>
                <w:noProof/>
                <w:sz w:val="20"/>
              </w:rPr>
              <w:t>)</w:t>
            </w:r>
            <w:r w:rsidRPr="008D3393">
              <w:rPr>
                <w:rFonts w:eastAsia="Times New Roman"/>
                <w:sz w:val="20"/>
              </w:rPr>
              <w:fldChar w:fldCharType="end"/>
            </w:r>
          </w:p>
        </w:tc>
      </w:tr>
      <w:tr w:rsidR="003658EA" w:rsidRPr="008D3393" w14:paraId="2B02796C"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746D1AAC"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Fprau655</w:t>
            </w:r>
          </w:p>
        </w:tc>
        <w:tc>
          <w:tcPr>
            <w:tcW w:w="0" w:type="auto"/>
            <w:tcBorders>
              <w:top w:val="nil"/>
              <w:left w:val="nil"/>
              <w:bottom w:val="single" w:sz="4" w:space="0" w:color="auto"/>
              <w:right w:val="single" w:sz="4" w:space="0" w:color="auto"/>
            </w:tcBorders>
            <w:vAlign w:val="center"/>
            <w:hideMark/>
          </w:tcPr>
          <w:p w14:paraId="18A51EB0"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CGCCTACCTCTGCACTAC</w:t>
            </w:r>
          </w:p>
        </w:tc>
        <w:tc>
          <w:tcPr>
            <w:tcW w:w="1300" w:type="dxa"/>
            <w:tcBorders>
              <w:top w:val="nil"/>
              <w:left w:val="nil"/>
              <w:bottom w:val="single" w:sz="4" w:space="0" w:color="auto"/>
              <w:right w:val="single" w:sz="4" w:space="0" w:color="auto"/>
            </w:tcBorders>
            <w:noWrap/>
            <w:vAlign w:val="bottom"/>
            <w:hideMark/>
          </w:tcPr>
          <w:p w14:paraId="1197167D"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6C467700" w14:textId="77777777" w:rsidR="003658EA" w:rsidRPr="008D3393" w:rsidRDefault="003658EA" w:rsidP="00A53996">
            <w:pPr>
              <w:spacing w:after="0" w:line="240" w:lineRule="auto"/>
              <w:contextualSpacing/>
              <w:jc w:val="both"/>
              <w:rPr>
                <w:rFonts w:eastAsia="Times New Roman"/>
                <w:i/>
                <w:sz w:val="20"/>
              </w:rPr>
            </w:pPr>
            <w:r w:rsidRPr="008D3393">
              <w:rPr>
                <w:rStyle w:val="apple-converted-space"/>
                <w:sz w:val="20"/>
              </w:rPr>
              <w:t>Faecalibacterium prausnitzii</w:t>
            </w:r>
          </w:p>
        </w:tc>
        <w:tc>
          <w:tcPr>
            <w:tcW w:w="2075" w:type="dxa"/>
            <w:tcBorders>
              <w:top w:val="nil"/>
              <w:left w:val="nil"/>
              <w:bottom w:val="single" w:sz="4" w:space="0" w:color="auto"/>
              <w:right w:val="single" w:sz="4" w:space="0" w:color="auto"/>
            </w:tcBorders>
          </w:tcPr>
          <w:p w14:paraId="665020AD" w14:textId="77777777" w:rsidR="003658EA" w:rsidRPr="008D3393" w:rsidRDefault="003658EA" w:rsidP="00A53996">
            <w:pPr>
              <w:spacing w:after="0" w:line="240" w:lineRule="auto"/>
              <w:contextualSpacing/>
              <w:jc w:val="both"/>
              <w:rPr>
                <w:rStyle w:val="apple-converted-space"/>
                <w:sz w:val="20"/>
              </w:rPr>
            </w:pPr>
            <w:r w:rsidRPr="008D3393">
              <w:rPr>
                <w:rFonts w:eastAsia="Times New Roman"/>
                <w:noProof/>
                <w:sz w:val="20"/>
              </w:rPr>
              <w:t>(</w:t>
            </w:r>
            <w:r w:rsidRPr="00BD5658">
              <w:rPr>
                <w:rFonts w:eastAsia="Times New Roman"/>
                <w:noProof/>
                <w:sz w:val="20"/>
              </w:rPr>
              <w:t>Devereux et al., 1992</w:t>
            </w:r>
          </w:p>
        </w:tc>
      </w:tr>
      <w:tr w:rsidR="003658EA" w:rsidRPr="008D3393" w14:paraId="1E31B60D"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18F8DF48"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DSV687</w:t>
            </w:r>
          </w:p>
        </w:tc>
        <w:tc>
          <w:tcPr>
            <w:tcW w:w="0" w:type="auto"/>
            <w:tcBorders>
              <w:top w:val="nil"/>
              <w:left w:val="nil"/>
              <w:bottom w:val="single" w:sz="4" w:space="0" w:color="auto"/>
              <w:right w:val="single" w:sz="4" w:space="0" w:color="auto"/>
            </w:tcBorders>
            <w:vAlign w:val="center"/>
            <w:hideMark/>
          </w:tcPr>
          <w:p w14:paraId="1E9A85BB"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TACGGATTTCACTCCT</w:t>
            </w:r>
          </w:p>
        </w:tc>
        <w:tc>
          <w:tcPr>
            <w:tcW w:w="1300" w:type="dxa"/>
            <w:tcBorders>
              <w:top w:val="nil"/>
              <w:left w:val="nil"/>
              <w:bottom w:val="single" w:sz="4" w:space="0" w:color="auto"/>
              <w:right w:val="single" w:sz="4" w:space="0" w:color="auto"/>
            </w:tcBorders>
            <w:noWrap/>
            <w:vAlign w:val="bottom"/>
            <w:hideMark/>
          </w:tcPr>
          <w:p w14:paraId="29090FBB"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5BAD46A2"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Desulfovibrionales</w:t>
            </w:r>
          </w:p>
        </w:tc>
        <w:tc>
          <w:tcPr>
            <w:tcW w:w="2075" w:type="dxa"/>
            <w:tcBorders>
              <w:top w:val="nil"/>
              <w:left w:val="nil"/>
              <w:bottom w:val="single" w:sz="4" w:space="0" w:color="auto"/>
              <w:right w:val="single" w:sz="4" w:space="0" w:color="auto"/>
            </w:tcBorders>
          </w:tcPr>
          <w:p w14:paraId="217B9C8E"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sz w:val="20"/>
              </w:rPr>
              <w:fldChar w:fldCharType="begin"/>
            </w:r>
            <w:r w:rsidRPr="008D3393">
              <w:rPr>
                <w:rFonts w:eastAsia="Times New Roman"/>
                <w:sz w:val="20"/>
              </w:rPr>
              <w:instrText xml:space="preserve"> ADDIN EN.CITE &lt;EndNote&gt;&lt;Cite&gt;&lt;Author&gt;Hold&lt;/Author&gt;&lt;Year&gt;2003&lt;/Year&gt;&lt;RecNum&gt;174&lt;/RecNum&gt;&lt;DisplayText&gt;(Hold et al., 2003)&lt;/DisplayText&gt;&lt;record&gt;&lt;rec-number&gt;174&lt;/rec-number&gt;&lt;foreign-keys&gt;&lt;key app="EN" db-id="0twssxz0302ffjefppxxvz53avw9svsw9azw"&gt;174&lt;/key&gt;&lt;/foreign-keys&gt;&lt;ref-type name="Journal Article"&gt;17&lt;/ref-type&gt;&lt;contributors&gt;&lt;authors&gt;&lt;author&gt;Hold, G. L.&lt;/author&gt;&lt;author&gt;Schwiertz, A.&lt;/author&gt;&lt;author&gt;Aminov, R. I.&lt;/author&gt;&lt;author&gt;Blaut, M.&lt;/author&gt;&lt;author&gt;Flint, H. J.&lt;/author&gt;&lt;/authors&gt;&lt;/contributors&gt;&lt;auth-address&gt;Rowett Res Inst, Aberdeen AB21 9SB, Scotland&amp;#xD;Deutsch Inst Ernaehrungsforsch, Abt Gastrointestinale Mikrobiol, D-14558 Bergholz Rehbrucke, Germany&lt;/auth-address&gt;&lt;titles&gt;&lt;title&gt;Oligonucleotide probes that detect quantitatively significant groups of butyrate-producing bacteria in human feces&lt;/title&gt;&lt;secondary-title&gt;Applied and Environmental Microbiology&lt;/secondary-title&gt;&lt;alt-title&gt;Appl Environ Microb&lt;/alt-title&gt;&lt;/titles&gt;&lt;periodical&gt;&lt;full-title&gt;Appl Environ Microbiol&lt;/full-title&gt;&lt;abbr-1&gt;Applied and environmental microbiology&lt;/abbr-1&gt;&lt;/periodical&gt;&lt;pages&gt;4320-4324&lt;/pages&gt;&lt;volume&gt;69&lt;/volume&gt;&lt;number&gt;7&lt;/number&gt;&lt;keywords&gt;&lt;keyword&gt;16s ribosomal-rna&lt;/keyword&gt;&lt;keyword&gt;chain fatty-acids&lt;/keyword&gt;&lt;keyword&gt;human fecal samples&lt;/keyword&gt;&lt;keyword&gt;ulcerative-colitis&lt;/keyword&gt;&lt;keyword&gt;sequence-analysis&lt;/keyword&gt;&lt;keyword&gt;resistant starch&lt;/keyword&gt;&lt;keyword&gt;eubacterium spp.&lt;/keyword&gt;&lt;keyword&gt;human gut&lt;/keyword&gt;&lt;keyword&gt;sp-nov.&lt;/keyword&gt;&lt;keyword&gt;hybridization&lt;/keyword&gt;&lt;/keywords&gt;&lt;dates&gt;&lt;year&gt;2003&lt;/year&gt;&lt;pub-dates&gt;&lt;date&gt;Jul&lt;/date&gt;&lt;/pub-dates&gt;&lt;/dates&gt;&lt;isbn&gt;0099-2240&lt;/isbn&gt;&lt;accession-num&gt;WOS:000184082100091&lt;/accession-num&gt;&lt;urls&gt;&lt;related-urls&gt;&lt;url&gt;&amp;lt;Go to ISI&amp;gt;://WOS:000184082100091&lt;/url&gt;&lt;/related-urls&gt;&lt;/urls&gt;&lt;electronic-resource-num&gt;10.1128/Aem.69.7.4320-4324.2003&lt;/electronic-resource-num&gt;&lt;language&gt;English&lt;/language&gt;&lt;/record&gt;&lt;/Cite&gt;&lt;/EndNote&gt;</w:instrText>
            </w:r>
            <w:r w:rsidRPr="008D3393">
              <w:rPr>
                <w:rFonts w:eastAsia="Times New Roman"/>
                <w:sz w:val="20"/>
              </w:rPr>
              <w:fldChar w:fldCharType="separate"/>
            </w:r>
            <w:r w:rsidRPr="008D3393">
              <w:rPr>
                <w:rFonts w:eastAsia="Times New Roman"/>
                <w:noProof/>
                <w:sz w:val="20"/>
              </w:rPr>
              <w:t>(</w:t>
            </w:r>
            <w:r w:rsidRPr="00BD5658">
              <w:rPr>
                <w:rFonts w:eastAsia="Times New Roman"/>
                <w:noProof/>
                <w:sz w:val="20"/>
              </w:rPr>
              <w:t>Hold et al., 2003</w:t>
            </w:r>
            <w:r w:rsidRPr="008D3393">
              <w:rPr>
                <w:rFonts w:eastAsia="Times New Roman"/>
                <w:noProof/>
                <w:sz w:val="20"/>
              </w:rPr>
              <w:t>)</w:t>
            </w:r>
            <w:r w:rsidRPr="008D3393">
              <w:rPr>
                <w:rFonts w:eastAsia="Times New Roman"/>
                <w:sz w:val="20"/>
              </w:rPr>
              <w:fldChar w:fldCharType="end"/>
            </w:r>
          </w:p>
        </w:tc>
      </w:tr>
      <w:tr w:rsidR="003658EA" w:rsidRPr="008D3393" w14:paraId="2D3BC7E7" w14:textId="77777777" w:rsidTr="00A53996">
        <w:trPr>
          <w:trHeight w:val="290"/>
          <w:jc w:val="center"/>
        </w:trPr>
        <w:tc>
          <w:tcPr>
            <w:tcW w:w="0" w:type="auto"/>
            <w:tcBorders>
              <w:top w:val="nil"/>
              <w:left w:val="single" w:sz="4" w:space="0" w:color="auto"/>
              <w:bottom w:val="single" w:sz="4" w:space="0" w:color="auto"/>
              <w:right w:val="single" w:sz="4" w:space="0" w:color="auto"/>
            </w:tcBorders>
            <w:vAlign w:val="center"/>
            <w:hideMark/>
          </w:tcPr>
          <w:p w14:paraId="7421C89E"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Chis150</w:t>
            </w:r>
          </w:p>
        </w:tc>
        <w:tc>
          <w:tcPr>
            <w:tcW w:w="0" w:type="auto"/>
            <w:tcBorders>
              <w:top w:val="nil"/>
              <w:left w:val="nil"/>
              <w:bottom w:val="single" w:sz="4" w:space="0" w:color="auto"/>
              <w:right w:val="single" w:sz="4" w:space="0" w:color="auto"/>
            </w:tcBorders>
            <w:vAlign w:val="center"/>
            <w:hideMark/>
          </w:tcPr>
          <w:p w14:paraId="4F1A4292"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TTATGCGGTATTAATCTYCCTTT</w:t>
            </w:r>
          </w:p>
        </w:tc>
        <w:tc>
          <w:tcPr>
            <w:tcW w:w="1300" w:type="dxa"/>
            <w:tcBorders>
              <w:top w:val="nil"/>
              <w:left w:val="nil"/>
              <w:bottom w:val="single" w:sz="4" w:space="0" w:color="auto"/>
              <w:right w:val="single" w:sz="4" w:space="0" w:color="auto"/>
            </w:tcBorders>
            <w:noWrap/>
            <w:vAlign w:val="bottom"/>
            <w:hideMark/>
          </w:tcPr>
          <w:p w14:paraId="3D78A78B" w14:textId="77777777" w:rsidR="003658EA" w:rsidRPr="008D3393" w:rsidRDefault="003658EA" w:rsidP="00A53996">
            <w:pPr>
              <w:spacing w:after="0" w:line="240" w:lineRule="auto"/>
              <w:contextualSpacing/>
              <w:jc w:val="both"/>
              <w:rPr>
                <w:rFonts w:eastAsia="Times New Roman"/>
                <w:sz w:val="20"/>
              </w:rPr>
            </w:pPr>
            <w:r w:rsidRPr="008D3393">
              <w:rPr>
                <w:rFonts w:eastAsia="Times New Roman"/>
                <w:sz w:val="20"/>
              </w:rPr>
              <w:t>Alexa-647</w:t>
            </w:r>
          </w:p>
        </w:tc>
        <w:tc>
          <w:tcPr>
            <w:tcW w:w="1864" w:type="dxa"/>
            <w:tcBorders>
              <w:top w:val="nil"/>
              <w:left w:val="nil"/>
              <w:bottom w:val="single" w:sz="4" w:space="0" w:color="auto"/>
              <w:right w:val="single" w:sz="4" w:space="0" w:color="auto"/>
            </w:tcBorders>
          </w:tcPr>
          <w:p w14:paraId="58C0446E" w14:textId="77777777" w:rsidR="003658EA" w:rsidRPr="008D3393" w:rsidRDefault="003658EA" w:rsidP="00A53996">
            <w:pPr>
              <w:spacing w:after="0" w:line="240" w:lineRule="auto"/>
              <w:contextualSpacing/>
              <w:jc w:val="both"/>
              <w:rPr>
                <w:rFonts w:eastAsia="Times New Roman"/>
                <w:i/>
                <w:sz w:val="20"/>
              </w:rPr>
            </w:pPr>
            <w:r w:rsidRPr="008D3393">
              <w:rPr>
                <w:rFonts w:eastAsia="Times New Roman"/>
                <w:i/>
                <w:sz w:val="20"/>
              </w:rPr>
              <w:t>Clostridium histolyticum</w:t>
            </w:r>
          </w:p>
        </w:tc>
        <w:tc>
          <w:tcPr>
            <w:tcW w:w="2075" w:type="dxa"/>
            <w:tcBorders>
              <w:top w:val="nil"/>
              <w:left w:val="nil"/>
              <w:bottom w:val="single" w:sz="4" w:space="0" w:color="auto"/>
              <w:right w:val="single" w:sz="4" w:space="0" w:color="auto"/>
            </w:tcBorders>
          </w:tcPr>
          <w:p w14:paraId="630E0DFE" w14:textId="77777777" w:rsidR="003658EA" w:rsidRPr="008D3393" w:rsidRDefault="003658EA" w:rsidP="00A53996">
            <w:pPr>
              <w:spacing w:after="0" w:line="240" w:lineRule="auto"/>
              <w:contextualSpacing/>
              <w:jc w:val="both"/>
              <w:rPr>
                <w:rFonts w:eastAsia="Times New Roman"/>
                <w:i/>
                <w:sz w:val="20"/>
              </w:rPr>
            </w:pPr>
            <w:r w:rsidRPr="00BD5658">
              <w:rPr>
                <w:rFonts w:eastAsia="Times New Roman"/>
                <w:noProof/>
                <w:sz w:val="20"/>
              </w:rPr>
              <w:t>Franks et al., 1998</w:t>
            </w:r>
            <w:r w:rsidRPr="008D3393">
              <w:rPr>
                <w:rFonts w:eastAsia="Times New Roman"/>
                <w:noProof/>
                <w:sz w:val="20"/>
              </w:rPr>
              <w:t>)</w:t>
            </w:r>
          </w:p>
        </w:tc>
      </w:tr>
    </w:tbl>
    <w:p w14:paraId="6970C1B5" w14:textId="77777777" w:rsidR="003658EA" w:rsidRDefault="003658EA" w:rsidP="003658EA">
      <w:pPr>
        <w:spacing w:line="360" w:lineRule="auto"/>
        <w:jc w:val="both"/>
        <w:rPr>
          <w:rFonts w:cstheme="minorHAnsi"/>
        </w:rPr>
      </w:pPr>
    </w:p>
    <w:p w14:paraId="25C41FF6" w14:textId="77777777" w:rsidR="003658EA" w:rsidRDefault="003658EA" w:rsidP="003658EA">
      <w:pPr>
        <w:spacing w:line="360" w:lineRule="auto"/>
        <w:jc w:val="both"/>
        <w:rPr>
          <w:rFonts w:cstheme="minorHAnsi"/>
        </w:rPr>
      </w:pPr>
    </w:p>
    <w:p w14:paraId="700AE6B9" w14:textId="77777777" w:rsidR="003658EA" w:rsidRDefault="003658EA" w:rsidP="003658EA">
      <w:pPr>
        <w:spacing w:line="360" w:lineRule="auto"/>
        <w:jc w:val="both"/>
        <w:rPr>
          <w:rFonts w:cstheme="minorHAnsi"/>
        </w:rPr>
      </w:pPr>
    </w:p>
    <w:p w14:paraId="6D42368C" w14:textId="77777777" w:rsidR="003658EA" w:rsidRDefault="003658EA" w:rsidP="003658EA">
      <w:pPr>
        <w:spacing w:line="360" w:lineRule="auto"/>
        <w:jc w:val="both"/>
        <w:rPr>
          <w:rFonts w:cstheme="minorHAnsi"/>
        </w:rPr>
      </w:pPr>
    </w:p>
    <w:p w14:paraId="20339611" w14:textId="77777777" w:rsidR="003658EA" w:rsidRDefault="003658EA" w:rsidP="003658EA">
      <w:pPr>
        <w:spacing w:line="360" w:lineRule="auto"/>
        <w:jc w:val="both"/>
        <w:rPr>
          <w:rFonts w:cstheme="minorHAnsi"/>
        </w:rPr>
      </w:pPr>
    </w:p>
    <w:p w14:paraId="7610D1BB" w14:textId="77777777" w:rsidR="003658EA" w:rsidRDefault="003658EA" w:rsidP="003658EA">
      <w:pPr>
        <w:spacing w:line="360" w:lineRule="auto"/>
        <w:jc w:val="both"/>
        <w:rPr>
          <w:rFonts w:cstheme="minorHAnsi"/>
        </w:rPr>
      </w:pPr>
    </w:p>
    <w:p w14:paraId="7E4ADEAD" w14:textId="77777777" w:rsidR="003658EA" w:rsidRDefault="003658EA" w:rsidP="003658EA">
      <w:pPr>
        <w:spacing w:line="360" w:lineRule="auto"/>
        <w:jc w:val="both"/>
        <w:rPr>
          <w:rFonts w:cstheme="minorHAnsi"/>
        </w:rPr>
      </w:pPr>
    </w:p>
    <w:p w14:paraId="194D9AD8" w14:textId="77777777" w:rsidR="003658EA" w:rsidRDefault="003658EA" w:rsidP="003658EA">
      <w:pPr>
        <w:spacing w:line="360" w:lineRule="auto"/>
        <w:jc w:val="both"/>
        <w:rPr>
          <w:rFonts w:cstheme="minorHAnsi"/>
        </w:rPr>
      </w:pPr>
    </w:p>
    <w:p w14:paraId="513A1E05" w14:textId="77777777" w:rsidR="003658EA" w:rsidRDefault="003658EA" w:rsidP="003658EA">
      <w:pPr>
        <w:spacing w:line="360" w:lineRule="auto"/>
        <w:jc w:val="both"/>
        <w:rPr>
          <w:rFonts w:cstheme="minorHAnsi"/>
        </w:rPr>
      </w:pPr>
    </w:p>
    <w:p w14:paraId="3D9E7F95" w14:textId="77777777" w:rsidR="003658EA" w:rsidRPr="003469B0" w:rsidRDefault="003658EA" w:rsidP="003658EA">
      <w:pPr>
        <w:spacing w:line="360" w:lineRule="auto"/>
        <w:jc w:val="both"/>
        <w:rPr>
          <w:rFonts w:cstheme="minorHAnsi"/>
        </w:rPr>
      </w:pPr>
    </w:p>
    <w:p w14:paraId="049141D6" w14:textId="77777777" w:rsidR="003658EA" w:rsidRPr="00D358FF" w:rsidRDefault="003658EA" w:rsidP="003658EA">
      <w:pPr>
        <w:pStyle w:val="Caption"/>
        <w:keepNext/>
        <w:spacing w:line="360" w:lineRule="auto"/>
        <w:jc w:val="both"/>
        <w:rPr>
          <w:rFonts w:cstheme="minorHAnsi"/>
          <w:b w:val="0"/>
        </w:rPr>
      </w:pPr>
      <w:r w:rsidRPr="00D358FF">
        <w:rPr>
          <w:b w:val="0"/>
          <w:color w:val="auto"/>
          <w:sz w:val="22"/>
          <w:szCs w:val="22"/>
        </w:rPr>
        <w:t xml:space="preserve">Table </w:t>
      </w:r>
      <w:r>
        <w:rPr>
          <w:b w:val="0"/>
          <w:color w:val="auto"/>
          <w:sz w:val="22"/>
          <w:szCs w:val="22"/>
        </w:rPr>
        <w:t>S2</w:t>
      </w:r>
      <w:r w:rsidRPr="00D358FF">
        <w:rPr>
          <w:b w:val="0"/>
          <w:color w:val="auto"/>
          <w:sz w:val="22"/>
          <w:szCs w:val="22"/>
        </w:rPr>
        <w:t xml:space="preserve">: </w:t>
      </w:r>
      <w:r w:rsidRPr="00D358FF">
        <w:rPr>
          <w:color w:val="auto"/>
          <w:sz w:val="22"/>
          <w:szCs w:val="22"/>
        </w:rPr>
        <w:t xml:space="preserve">SCFA and lactate concentration in batch cultures at 0, 4, 8 and 24 hours’ fermentation comparing no treatment, FOS and different ratios of AX and β-glucan. </w:t>
      </w:r>
      <w:r w:rsidRPr="0035232A">
        <w:rPr>
          <w:b w:val="0"/>
          <w:color w:val="auto"/>
          <w:szCs w:val="22"/>
        </w:rPr>
        <w:t xml:space="preserve">Negative control is no added carbohydrate and positive control is FOS. One-way ANVOA </w:t>
      </w:r>
      <w:r>
        <w:rPr>
          <w:b w:val="0"/>
          <w:color w:val="auto"/>
          <w:szCs w:val="22"/>
        </w:rPr>
        <w:t>and post hoc tukey test were used</w:t>
      </w:r>
      <w:r w:rsidRPr="0035232A">
        <w:rPr>
          <w:b w:val="0"/>
          <w:color w:val="auto"/>
          <w:szCs w:val="22"/>
        </w:rPr>
        <w:t xml:space="preserve">. SEM is shown in italics.  </w:t>
      </w:r>
      <w:r w:rsidRPr="0035232A">
        <w:rPr>
          <w:b w:val="0"/>
          <w:color w:val="auto"/>
        </w:rPr>
        <w:t xml:space="preserve">Significant interaction between </w:t>
      </w:r>
      <w:r>
        <w:rPr>
          <w:b w:val="0"/>
          <w:color w:val="auto"/>
        </w:rPr>
        <w:t>sample and its</w:t>
      </w:r>
      <w:r w:rsidRPr="0035232A">
        <w:rPr>
          <w:b w:val="0"/>
          <w:color w:val="auto"/>
        </w:rPr>
        <w:t xml:space="preserve"> </w:t>
      </w:r>
      <w:r>
        <w:rPr>
          <w:b w:val="0"/>
          <w:color w:val="auto"/>
        </w:rPr>
        <w:t>time 0</w:t>
      </w:r>
      <w:r w:rsidRPr="0035232A">
        <w:rPr>
          <w:b w:val="0"/>
          <w:color w:val="auto"/>
        </w:rPr>
        <w:t xml:space="preserve"> are denoted</w:t>
      </w:r>
      <w:r>
        <w:rPr>
          <w:b w:val="0"/>
          <w:color w:val="auto"/>
        </w:rPr>
        <w:t xml:space="preserve"> with letters</w:t>
      </w:r>
      <w:r w:rsidRPr="0035232A">
        <w:rPr>
          <w:b w:val="0"/>
          <w:color w:val="auto"/>
        </w:rPr>
        <w:t>.</w:t>
      </w:r>
      <w:r>
        <w:rPr>
          <w:b w:val="0"/>
          <w:color w:val="auto"/>
        </w:rPr>
        <w:t xml:space="preserve"> Significant differences between treatments are denoted with</w:t>
      </w:r>
      <w:r w:rsidRPr="0035232A">
        <w:rPr>
          <w:b w:val="0"/>
          <w:color w:val="auto"/>
        </w:rPr>
        <w:t>* (p&lt; 0.05) and shown in bold</w:t>
      </w:r>
      <w:r>
        <w:rPr>
          <w:b w:val="0"/>
          <w:color w:val="auto"/>
        </w:rPr>
        <w:t>.</w:t>
      </w:r>
      <w:r w:rsidRPr="0035232A">
        <w:rPr>
          <w:b w:val="0"/>
          <w:color w:val="auto"/>
        </w:rPr>
        <w:t xml:space="preserve"> Formate is included in total concentration but not shown.</w:t>
      </w:r>
    </w:p>
    <w:tbl>
      <w:tblPr>
        <w:tblW w:w="0" w:type="auto"/>
        <w:tblLook w:val="04A0" w:firstRow="1" w:lastRow="0" w:firstColumn="1" w:lastColumn="0" w:noHBand="0" w:noVBand="1"/>
      </w:tblPr>
      <w:tblGrid>
        <w:gridCol w:w="1342"/>
        <w:gridCol w:w="579"/>
        <w:gridCol w:w="1182"/>
        <w:gridCol w:w="1376"/>
        <w:gridCol w:w="1431"/>
        <w:gridCol w:w="1252"/>
        <w:gridCol w:w="1285"/>
      </w:tblGrid>
      <w:tr w:rsidR="003658EA" w:rsidRPr="001D6F5D" w14:paraId="1C3FDC5D" w14:textId="77777777" w:rsidTr="00A53996">
        <w:trPr>
          <w:trHeight w:val="397"/>
        </w:trPr>
        <w:tc>
          <w:tcPr>
            <w:tcW w:w="0" w:type="auto"/>
            <w:tcBorders>
              <w:top w:val="nil"/>
              <w:left w:val="nil"/>
              <w:bottom w:val="nil"/>
              <w:right w:val="nil"/>
            </w:tcBorders>
            <w:shd w:val="clear" w:color="auto" w:fill="auto"/>
            <w:vAlign w:val="bottom"/>
            <w:hideMark/>
          </w:tcPr>
          <w:p w14:paraId="539765E3" w14:textId="77777777" w:rsidR="003658EA" w:rsidRPr="001D6F5D" w:rsidRDefault="003658EA" w:rsidP="00A53996">
            <w:pPr>
              <w:spacing w:after="0" w:line="0" w:lineRule="atLeast"/>
              <w:contextualSpacing/>
              <w:jc w:val="both"/>
              <w:rPr>
                <w:rFonts w:eastAsia="Times New Roman"/>
                <w:sz w:val="18"/>
              </w:rPr>
            </w:pPr>
          </w:p>
          <w:p w14:paraId="722CA9AD" w14:textId="77777777" w:rsidR="003658EA" w:rsidRPr="001D6F5D" w:rsidRDefault="003658EA" w:rsidP="00A53996">
            <w:pPr>
              <w:spacing w:after="0" w:line="0" w:lineRule="atLeast"/>
              <w:contextualSpacing/>
              <w:jc w:val="both"/>
              <w:rPr>
                <w:rFonts w:eastAsia="Times New Roman"/>
                <w:sz w:val="18"/>
              </w:rPr>
            </w:pPr>
          </w:p>
          <w:p w14:paraId="3676477C" w14:textId="77777777" w:rsidR="003658EA" w:rsidRPr="001D6F5D" w:rsidRDefault="003658EA" w:rsidP="00A53996">
            <w:pPr>
              <w:spacing w:after="0" w:line="0" w:lineRule="atLeast"/>
              <w:contextualSpacing/>
              <w:jc w:val="both"/>
              <w:rPr>
                <w:rFonts w:eastAsia="Times New Roman"/>
                <w:sz w:val="18"/>
              </w:rPr>
            </w:pPr>
          </w:p>
        </w:tc>
        <w:tc>
          <w:tcPr>
            <w:tcW w:w="0" w:type="auto"/>
            <w:tcBorders>
              <w:top w:val="nil"/>
              <w:left w:val="nil"/>
              <w:bottom w:val="nil"/>
              <w:right w:val="nil"/>
            </w:tcBorders>
            <w:shd w:val="clear" w:color="auto" w:fill="auto"/>
            <w:vAlign w:val="center"/>
            <w:hideMark/>
          </w:tcPr>
          <w:p w14:paraId="72A140C7"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Time</w:t>
            </w:r>
          </w:p>
        </w:tc>
        <w:tc>
          <w:tcPr>
            <w:tcW w:w="0" w:type="auto"/>
            <w:tcBorders>
              <w:top w:val="nil"/>
              <w:left w:val="nil"/>
              <w:bottom w:val="single" w:sz="8" w:space="0" w:color="auto"/>
              <w:right w:val="nil"/>
            </w:tcBorders>
            <w:shd w:val="clear" w:color="auto" w:fill="auto"/>
            <w:vAlign w:val="center"/>
            <w:hideMark/>
          </w:tcPr>
          <w:p w14:paraId="2F3EFF3D"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 xml:space="preserve">Lactate </w:t>
            </w:r>
            <w:r w:rsidRPr="001D6F5D">
              <w:rPr>
                <w:rFonts w:eastAsia="Times New Roman"/>
                <w:bCs/>
                <w:sz w:val="18"/>
                <w:szCs w:val="22"/>
              </w:rPr>
              <w:t>(µM)</w:t>
            </w:r>
          </w:p>
        </w:tc>
        <w:tc>
          <w:tcPr>
            <w:tcW w:w="0" w:type="auto"/>
            <w:tcBorders>
              <w:top w:val="nil"/>
              <w:left w:val="nil"/>
              <w:bottom w:val="single" w:sz="8" w:space="0" w:color="auto"/>
              <w:right w:val="nil"/>
            </w:tcBorders>
            <w:shd w:val="clear" w:color="auto" w:fill="auto"/>
            <w:vAlign w:val="center"/>
            <w:hideMark/>
          </w:tcPr>
          <w:p w14:paraId="1ED2A533"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 xml:space="preserve">Acetate </w:t>
            </w:r>
            <w:r w:rsidRPr="001D6F5D">
              <w:rPr>
                <w:rFonts w:eastAsia="Times New Roman"/>
                <w:bCs/>
                <w:sz w:val="18"/>
                <w:szCs w:val="22"/>
              </w:rPr>
              <w:t>(µM)</w:t>
            </w:r>
          </w:p>
        </w:tc>
        <w:tc>
          <w:tcPr>
            <w:tcW w:w="0" w:type="auto"/>
            <w:tcBorders>
              <w:top w:val="nil"/>
              <w:left w:val="nil"/>
              <w:bottom w:val="single" w:sz="8" w:space="0" w:color="auto"/>
              <w:right w:val="nil"/>
            </w:tcBorders>
            <w:shd w:val="clear" w:color="auto" w:fill="auto"/>
            <w:vAlign w:val="center"/>
            <w:hideMark/>
          </w:tcPr>
          <w:p w14:paraId="1218476F"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 xml:space="preserve">Propionate </w:t>
            </w:r>
            <w:r w:rsidRPr="001D6F5D">
              <w:rPr>
                <w:rFonts w:eastAsia="Times New Roman"/>
                <w:bCs/>
                <w:sz w:val="18"/>
                <w:szCs w:val="22"/>
              </w:rPr>
              <w:t>(µM)</w:t>
            </w:r>
          </w:p>
        </w:tc>
        <w:tc>
          <w:tcPr>
            <w:tcW w:w="0" w:type="auto"/>
            <w:tcBorders>
              <w:top w:val="nil"/>
              <w:left w:val="nil"/>
              <w:bottom w:val="single" w:sz="8" w:space="0" w:color="auto"/>
              <w:right w:val="nil"/>
            </w:tcBorders>
            <w:shd w:val="clear" w:color="auto" w:fill="auto"/>
            <w:vAlign w:val="center"/>
            <w:hideMark/>
          </w:tcPr>
          <w:p w14:paraId="48791FC0"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 xml:space="preserve">Butyrate </w:t>
            </w:r>
            <w:r w:rsidRPr="001D6F5D">
              <w:rPr>
                <w:rFonts w:eastAsia="Times New Roman"/>
                <w:bCs/>
                <w:sz w:val="18"/>
                <w:szCs w:val="22"/>
              </w:rPr>
              <w:t>(µM)</w:t>
            </w:r>
          </w:p>
        </w:tc>
        <w:tc>
          <w:tcPr>
            <w:tcW w:w="0" w:type="auto"/>
            <w:tcBorders>
              <w:top w:val="nil"/>
              <w:left w:val="nil"/>
              <w:bottom w:val="single" w:sz="8" w:space="0" w:color="auto"/>
              <w:right w:val="nil"/>
            </w:tcBorders>
            <w:shd w:val="clear" w:color="auto" w:fill="auto"/>
            <w:vAlign w:val="center"/>
            <w:hideMark/>
          </w:tcPr>
          <w:p w14:paraId="69C3EBF4" w14:textId="77777777" w:rsidR="003658EA" w:rsidRPr="001D6F5D" w:rsidRDefault="003658EA" w:rsidP="00A53996">
            <w:pPr>
              <w:spacing w:after="0" w:line="0" w:lineRule="atLeast"/>
              <w:contextualSpacing/>
              <w:jc w:val="both"/>
              <w:rPr>
                <w:rFonts w:eastAsia="Times New Roman"/>
                <w:color w:val="000000"/>
                <w:sz w:val="18"/>
              </w:rPr>
            </w:pPr>
            <w:r w:rsidRPr="001D6F5D">
              <w:rPr>
                <w:rFonts w:eastAsia="Times New Roman"/>
                <w:color w:val="000000"/>
                <w:sz w:val="18"/>
                <w:szCs w:val="22"/>
              </w:rPr>
              <w:t xml:space="preserve">Total </w:t>
            </w:r>
            <w:r w:rsidRPr="001D6F5D">
              <w:rPr>
                <w:rFonts w:eastAsia="Times New Roman"/>
                <w:bCs/>
                <w:sz w:val="18"/>
                <w:szCs w:val="22"/>
              </w:rPr>
              <w:t>(µM)</w:t>
            </w:r>
          </w:p>
        </w:tc>
      </w:tr>
      <w:tr w:rsidR="003658EA" w:rsidRPr="001D6F5D" w14:paraId="705D77D4" w14:textId="77777777" w:rsidTr="00A53996">
        <w:trPr>
          <w:trHeight w:val="233"/>
        </w:trPr>
        <w:tc>
          <w:tcPr>
            <w:tcW w:w="0" w:type="auto"/>
            <w:vMerge w:val="restart"/>
            <w:tcBorders>
              <w:top w:val="single" w:sz="8" w:space="0" w:color="auto"/>
              <w:left w:val="nil"/>
              <w:bottom w:val="single" w:sz="8" w:space="0" w:color="000000"/>
              <w:right w:val="nil"/>
            </w:tcBorders>
            <w:shd w:val="clear" w:color="auto" w:fill="auto"/>
            <w:vAlign w:val="center"/>
            <w:hideMark/>
          </w:tcPr>
          <w:p w14:paraId="58F5A4C4" w14:textId="77777777" w:rsidR="003658EA" w:rsidRPr="001D6F5D" w:rsidRDefault="003658EA" w:rsidP="00A53996">
            <w:pPr>
              <w:spacing w:after="0" w:line="0" w:lineRule="atLeast"/>
              <w:contextualSpacing/>
              <w:jc w:val="both"/>
              <w:rPr>
                <w:rFonts w:eastAsia="Times New Roman"/>
                <w:bCs/>
                <w:color w:val="000000"/>
                <w:sz w:val="18"/>
              </w:rPr>
            </w:pPr>
            <w:r w:rsidRPr="001D6F5D">
              <w:rPr>
                <w:rFonts w:eastAsia="Times New Roman"/>
                <w:bCs/>
                <w:color w:val="000000"/>
                <w:sz w:val="18"/>
                <w:szCs w:val="22"/>
              </w:rPr>
              <w:t>No treatment</w:t>
            </w:r>
          </w:p>
        </w:tc>
        <w:tc>
          <w:tcPr>
            <w:tcW w:w="0" w:type="auto"/>
            <w:tcBorders>
              <w:top w:val="single" w:sz="8" w:space="0" w:color="auto"/>
              <w:left w:val="nil"/>
              <w:bottom w:val="nil"/>
              <w:right w:val="nil"/>
            </w:tcBorders>
            <w:shd w:val="clear" w:color="auto" w:fill="auto"/>
            <w:vAlign w:val="center"/>
            <w:hideMark/>
          </w:tcPr>
          <w:p w14:paraId="62BEC9E5"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0</w:t>
            </w:r>
          </w:p>
        </w:tc>
        <w:tc>
          <w:tcPr>
            <w:tcW w:w="0" w:type="auto"/>
            <w:tcBorders>
              <w:top w:val="nil"/>
              <w:left w:val="nil"/>
              <w:bottom w:val="nil"/>
              <w:right w:val="nil"/>
            </w:tcBorders>
            <w:shd w:val="clear" w:color="auto" w:fill="auto"/>
            <w:vAlign w:val="center"/>
            <w:hideMark/>
          </w:tcPr>
          <w:p w14:paraId="4C543619"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0.93</w:t>
            </w:r>
            <w:r>
              <w:rPr>
                <w:rFonts w:eastAsia="Times New Roman"/>
                <w:color w:val="000000"/>
                <w:sz w:val="18"/>
                <w:szCs w:val="22"/>
              </w:rPr>
              <w:t>a</w:t>
            </w:r>
            <w:r w:rsidRPr="001D6F5D">
              <w:rPr>
                <w:rFonts w:eastAsia="Times New Roman"/>
                <w:color w:val="000000"/>
                <w:sz w:val="18"/>
                <w:szCs w:val="22"/>
              </w:rPr>
              <w:t xml:space="preserve"> (0.40)</w:t>
            </w:r>
          </w:p>
        </w:tc>
        <w:tc>
          <w:tcPr>
            <w:tcW w:w="0" w:type="auto"/>
            <w:tcBorders>
              <w:top w:val="nil"/>
              <w:left w:val="nil"/>
              <w:bottom w:val="nil"/>
              <w:right w:val="nil"/>
            </w:tcBorders>
            <w:shd w:val="clear" w:color="auto" w:fill="auto"/>
            <w:vAlign w:val="center"/>
            <w:hideMark/>
          </w:tcPr>
          <w:p w14:paraId="55AC4A1A"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3</w:t>
            </w:r>
            <w:r w:rsidRPr="001D6F5D">
              <w:rPr>
                <w:rFonts w:eastAsia="Times New Roman"/>
                <w:color w:val="000000"/>
                <w:sz w:val="18"/>
                <w:szCs w:val="22"/>
              </w:rPr>
              <w:t>.</w:t>
            </w:r>
            <w:r>
              <w:rPr>
                <w:rFonts w:eastAsia="Times New Roman"/>
                <w:color w:val="000000"/>
                <w:sz w:val="18"/>
                <w:szCs w:val="22"/>
              </w:rPr>
              <w:t>88a (0.92</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4DA3AC4C"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5</w:t>
            </w:r>
            <w:r w:rsidRPr="001D6F5D">
              <w:rPr>
                <w:rFonts w:eastAsia="Times New Roman"/>
                <w:color w:val="000000"/>
                <w:sz w:val="18"/>
                <w:szCs w:val="22"/>
              </w:rPr>
              <w:t>.</w:t>
            </w:r>
            <w:r>
              <w:rPr>
                <w:rFonts w:eastAsia="Times New Roman"/>
                <w:color w:val="000000"/>
                <w:sz w:val="18"/>
                <w:szCs w:val="22"/>
              </w:rPr>
              <w:t>05a</w:t>
            </w:r>
            <w:r w:rsidRPr="001D6F5D">
              <w:rPr>
                <w:rFonts w:eastAsia="Times New Roman"/>
                <w:color w:val="000000"/>
                <w:sz w:val="18"/>
                <w:szCs w:val="22"/>
              </w:rPr>
              <w:t xml:space="preserve"> (1.</w:t>
            </w:r>
            <w:r>
              <w:rPr>
                <w:rFonts w:eastAsia="Times New Roman"/>
                <w:color w:val="000000"/>
                <w:sz w:val="18"/>
                <w:szCs w:val="22"/>
              </w:rPr>
              <w:t>37</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1B15CC2F"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1.85a</w:t>
            </w:r>
            <w:r w:rsidRPr="001D6F5D">
              <w:rPr>
                <w:rFonts w:eastAsia="Times New Roman"/>
                <w:color w:val="000000"/>
                <w:sz w:val="18"/>
                <w:szCs w:val="22"/>
              </w:rPr>
              <w:t xml:space="preserve"> (0.19)</w:t>
            </w:r>
          </w:p>
        </w:tc>
        <w:tc>
          <w:tcPr>
            <w:tcW w:w="0" w:type="auto"/>
            <w:tcBorders>
              <w:top w:val="nil"/>
              <w:left w:val="nil"/>
              <w:bottom w:val="nil"/>
              <w:right w:val="nil"/>
            </w:tcBorders>
            <w:shd w:val="clear" w:color="auto" w:fill="auto"/>
            <w:vAlign w:val="center"/>
            <w:hideMark/>
          </w:tcPr>
          <w:p w14:paraId="2E46E21E"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1</w:t>
            </w:r>
            <w:r>
              <w:rPr>
                <w:rFonts w:eastAsia="Times New Roman"/>
                <w:color w:val="000000"/>
                <w:sz w:val="18"/>
                <w:szCs w:val="22"/>
              </w:rPr>
              <w:t>6</w:t>
            </w:r>
            <w:r w:rsidRPr="001D6F5D">
              <w:rPr>
                <w:rFonts w:eastAsia="Times New Roman"/>
                <w:color w:val="000000"/>
                <w:sz w:val="18"/>
                <w:szCs w:val="22"/>
              </w:rPr>
              <w:t>.27</w:t>
            </w:r>
            <w:r>
              <w:rPr>
                <w:rFonts w:eastAsia="Times New Roman"/>
                <w:color w:val="000000"/>
                <w:sz w:val="18"/>
                <w:szCs w:val="22"/>
              </w:rPr>
              <w:t>a</w:t>
            </w:r>
            <w:r w:rsidRPr="001D6F5D">
              <w:rPr>
                <w:rFonts w:eastAsia="Times New Roman"/>
                <w:color w:val="000000"/>
                <w:sz w:val="18"/>
                <w:szCs w:val="22"/>
                <w:vertAlign w:val="superscript"/>
              </w:rPr>
              <w:t xml:space="preserve"> </w:t>
            </w:r>
            <w:r w:rsidRPr="001D6F5D">
              <w:rPr>
                <w:rFonts w:eastAsia="Times New Roman"/>
                <w:color w:val="000000"/>
                <w:sz w:val="18"/>
                <w:szCs w:val="22"/>
              </w:rPr>
              <w:t>(0.26)</w:t>
            </w:r>
          </w:p>
        </w:tc>
      </w:tr>
      <w:tr w:rsidR="003658EA" w:rsidRPr="001D6F5D" w14:paraId="2A9D6826" w14:textId="77777777" w:rsidTr="00A53996">
        <w:trPr>
          <w:trHeight w:val="264"/>
        </w:trPr>
        <w:tc>
          <w:tcPr>
            <w:tcW w:w="0" w:type="auto"/>
            <w:vMerge/>
            <w:tcBorders>
              <w:top w:val="single" w:sz="8" w:space="0" w:color="auto"/>
              <w:left w:val="nil"/>
              <w:bottom w:val="single" w:sz="8" w:space="0" w:color="000000"/>
              <w:right w:val="nil"/>
            </w:tcBorders>
            <w:vAlign w:val="center"/>
            <w:hideMark/>
          </w:tcPr>
          <w:p w14:paraId="4CCB058A"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bottom w:val="nil"/>
              <w:right w:val="nil"/>
            </w:tcBorders>
            <w:shd w:val="clear" w:color="auto" w:fill="auto"/>
            <w:vAlign w:val="center"/>
            <w:hideMark/>
          </w:tcPr>
          <w:p w14:paraId="23A04CFC"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4</w:t>
            </w:r>
          </w:p>
        </w:tc>
        <w:tc>
          <w:tcPr>
            <w:tcW w:w="0" w:type="auto"/>
            <w:tcBorders>
              <w:top w:val="nil"/>
              <w:left w:val="nil"/>
              <w:bottom w:val="nil"/>
              <w:right w:val="nil"/>
            </w:tcBorders>
            <w:shd w:val="clear" w:color="auto" w:fill="auto"/>
            <w:noWrap/>
            <w:vAlign w:val="bottom"/>
            <w:hideMark/>
          </w:tcPr>
          <w:p w14:paraId="57B62ED2"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4.79</w:t>
            </w:r>
            <w:r>
              <w:rPr>
                <w:rFonts w:eastAsia="Times New Roman"/>
                <w:color w:val="000000"/>
                <w:sz w:val="18"/>
                <w:szCs w:val="22"/>
              </w:rPr>
              <w:t>a</w:t>
            </w:r>
            <w:r w:rsidRPr="001D6F5D">
              <w:rPr>
                <w:rFonts w:eastAsia="Times New Roman"/>
                <w:color w:val="000000"/>
                <w:sz w:val="18"/>
                <w:szCs w:val="22"/>
              </w:rPr>
              <w:t xml:space="preserve"> (1.41)</w:t>
            </w:r>
          </w:p>
        </w:tc>
        <w:tc>
          <w:tcPr>
            <w:tcW w:w="0" w:type="auto"/>
            <w:tcBorders>
              <w:top w:val="nil"/>
              <w:left w:val="nil"/>
              <w:bottom w:val="nil"/>
              <w:right w:val="nil"/>
            </w:tcBorders>
            <w:shd w:val="clear" w:color="auto" w:fill="auto"/>
            <w:noWrap/>
            <w:vAlign w:val="bottom"/>
            <w:hideMark/>
          </w:tcPr>
          <w:p w14:paraId="032F0EE0"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7</w:t>
            </w:r>
            <w:r w:rsidRPr="001D6F5D">
              <w:rPr>
                <w:rFonts w:eastAsia="Times New Roman"/>
                <w:color w:val="000000"/>
                <w:sz w:val="18"/>
                <w:szCs w:val="22"/>
              </w:rPr>
              <w:t>.7</w:t>
            </w:r>
            <w:r>
              <w:rPr>
                <w:rFonts w:eastAsia="Times New Roman"/>
                <w:color w:val="000000"/>
                <w:sz w:val="18"/>
                <w:szCs w:val="22"/>
              </w:rPr>
              <w:t>7a (1</w:t>
            </w:r>
            <w:r w:rsidRPr="001D6F5D">
              <w:rPr>
                <w:rFonts w:eastAsia="Times New Roman"/>
                <w:color w:val="000000"/>
                <w:sz w:val="18"/>
                <w:szCs w:val="22"/>
              </w:rPr>
              <w:t>.</w:t>
            </w:r>
            <w:r>
              <w:rPr>
                <w:rFonts w:eastAsia="Times New Roman"/>
                <w:color w:val="000000"/>
                <w:sz w:val="18"/>
                <w:szCs w:val="22"/>
              </w:rPr>
              <w:t>56</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3F5A6005"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5.79a (0.81</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092285F3"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2.28a</w:t>
            </w:r>
            <w:r w:rsidRPr="001D6F5D">
              <w:rPr>
                <w:rFonts w:eastAsia="Times New Roman"/>
                <w:color w:val="000000"/>
                <w:sz w:val="18"/>
                <w:szCs w:val="22"/>
              </w:rPr>
              <w:t xml:space="preserve"> (0.53)</w:t>
            </w:r>
          </w:p>
        </w:tc>
        <w:tc>
          <w:tcPr>
            <w:tcW w:w="0" w:type="auto"/>
            <w:tcBorders>
              <w:top w:val="nil"/>
              <w:left w:val="nil"/>
              <w:bottom w:val="nil"/>
              <w:right w:val="nil"/>
            </w:tcBorders>
            <w:shd w:val="clear" w:color="auto" w:fill="auto"/>
            <w:vAlign w:val="center"/>
            <w:hideMark/>
          </w:tcPr>
          <w:p w14:paraId="0C797580"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25</w:t>
            </w:r>
            <w:r w:rsidRPr="001D6F5D">
              <w:rPr>
                <w:rFonts w:eastAsia="Times New Roman"/>
                <w:color w:val="000000"/>
                <w:sz w:val="18"/>
                <w:szCs w:val="22"/>
              </w:rPr>
              <w:t>.</w:t>
            </w:r>
            <w:r>
              <w:rPr>
                <w:rFonts w:eastAsia="Times New Roman"/>
                <w:color w:val="000000"/>
                <w:sz w:val="18"/>
                <w:szCs w:val="22"/>
              </w:rPr>
              <w:t>85a</w:t>
            </w:r>
            <w:r w:rsidRPr="001D6F5D">
              <w:rPr>
                <w:rFonts w:eastAsia="Times New Roman"/>
                <w:color w:val="000000"/>
                <w:sz w:val="18"/>
                <w:szCs w:val="22"/>
              </w:rPr>
              <w:t xml:space="preserve"> (1.10)</w:t>
            </w:r>
          </w:p>
        </w:tc>
      </w:tr>
      <w:tr w:rsidR="003658EA" w:rsidRPr="001D6F5D" w14:paraId="5DEA40E2" w14:textId="77777777" w:rsidTr="00A53996">
        <w:trPr>
          <w:trHeight w:val="397"/>
        </w:trPr>
        <w:tc>
          <w:tcPr>
            <w:tcW w:w="0" w:type="auto"/>
            <w:vMerge/>
            <w:tcBorders>
              <w:top w:val="single" w:sz="8" w:space="0" w:color="auto"/>
              <w:left w:val="nil"/>
              <w:bottom w:val="single" w:sz="8" w:space="0" w:color="000000"/>
              <w:right w:val="nil"/>
            </w:tcBorders>
            <w:vAlign w:val="center"/>
            <w:hideMark/>
          </w:tcPr>
          <w:p w14:paraId="73B13991"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bottom w:val="nil"/>
              <w:right w:val="nil"/>
            </w:tcBorders>
            <w:shd w:val="clear" w:color="auto" w:fill="auto"/>
            <w:vAlign w:val="center"/>
            <w:hideMark/>
          </w:tcPr>
          <w:p w14:paraId="70FA5F9E"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8</w:t>
            </w:r>
          </w:p>
        </w:tc>
        <w:tc>
          <w:tcPr>
            <w:tcW w:w="0" w:type="auto"/>
            <w:tcBorders>
              <w:top w:val="nil"/>
              <w:left w:val="nil"/>
              <w:bottom w:val="nil"/>
              <w:right w:val="nil"/>
            </w:tcBorders>
            <w:shd w:val="clear" w:color="auto" w:fill="auto"/>
            <w:noWrap/>
            <w:vAlign w:val="bottom"/>
            <w:hideMark/>
          </w:tcPr>
          <w:p w14:paraId="5033189F" w14:textId="77777777" w:rsidR="003658EA" w:rsidRPr="001D6F5D" w:rsidRDefault="003658EA" w:rsidP="00A53996">
            <w:pPr>
              <w:spacing w:after="0" w:line="0" w:lineRule="atLeast"/>
              <w:contextualSpacing/>
              <w:rPr>
                <w:rFonts w:eastAsia="Times New Roman"/>
                <w:color w:val="000000"/>
                <w:sz w:val="18"/>
              </w:rPr>
            </w:pPr>
            <w:r w:rsidRPr="001D6F5D">
              <w:rPr>
                <w:rFonts w:eastAsia="Times New Roman"/>
                <w:color w:val="000000"/>
                <w:sz w:val="18"/>
                <w:szCs w:val="22"/>
              </w:rPr>
              <w:t>3.57</w:t>
            </w:r>
            <w:r>
              <w:rPr>
                <w:rFonts w:eastAsia="Times New Roman"/>
                <w:color w:val="000000"/>
                <w:sz w:val="18"/>
                <w:szCs w:val="22"/>
              </w:rPr>
              <w:t>a</w:t>
            </w:r>
            <w:r w:rsidRPr="001D6F5D">
              <w:rPr>
                <w:rFonts w:eastAsia="Times New Roman"/>
                <w:color w:val="000000"/>
                <w:sz w:val="18"/>
                <w:szCs w:val="22"/>
              </w:rPr>
              <w:t xml:space="preserve"> (1.50)</w:t>
            </w:r>
          </w:p>
        </w:tc>
        <w:tc>
          <w:tcPr>
            <w:tcW w:w="0" w:type="auto"/>
            <w:tcBorders>
              <w:top w:val="nil"/>
              <w:left w:val="nil"/>
              <w:bottom w:val="nil"/>
              <w:right w:val="nil"/>
            </w:tcBorders>
            <w:shd w:val="clear" w:color="auto" w:fill="auto"/>
            <w:noWrap/>
            <w:vAlign w:val="bottom"/>
            <w:hideMark/>
          </w:tcPr>
          <w:p w14:paraId="53447F13"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9.25a (2.38</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05CBEAA6"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7</w:t>
            </w:r>
            <w:r w:rsidRPr="001D6F5D">
              <w:rPr>
                <w:rFonts w:eastAsia="Times New Roman"/>
                <w:color w:val="000000"/>
                <w:sz w:val="18"/>
                <w:szCs w:val="22"/>
              </w:rPr>
              <w:t>.2</w:t>
            </w:r>
            <w:r>
              <w:rPr>
                <w:rFonts w:eastAsia="Times New Roman"/>
                <w:color w:val="000000"/>
                <w:sz w:val="18"/>
                <w:szCs w:val="22"/>
              </w:rPr>
              <w:t>8a</w:t>
            </w:r>
            <w:r w:rsidRPr="001D6F5D">
              <w:rPr>
                <w:rFonts w:eastAsia="Times New Roman"/>
                <w:color w:val="000000"/>
                <w:sz w:val="18"/>
                <w:szCs w:val="22"/>
              </w:rPr>
              <w:t xml:space="preserve"> (</w:t>
            </w:r>
            <w:r>
              <w:rPr>
                <w:rFonts w:eastAsia="Times New Roman"/>
                <w:color w:val="000000"/>
                <w:sz w:val="18"/>
                <w:szCs w:val="22"/>
              </w:rPr>
              <w:t>1.37</w:t>
            </w:r>
            <w:r w:rsidRPr="001D6F5D">
              <w:rPr>
                <w:rFonts w:eastAsia="Times New Roman"/>
                <w:color w:val="000000"/>
                <w:sz w:val="18"/>
                <w:szCs w:val="22"/>
              </w:rPr>
              <w:t>)</w:t>
            </w:r>
          </w:p>
        </w:tc>
        <w:tc>
          <w:tcPr>
            <w:tcW w:w="0" w:type="auto"/>
            <w:tcBorders>
              <w:top w:val="nil"/>
              <w:left w:val="nil"/>
              <w:bottom w:val="nil"/>
              <w:right w:val="nil"/>
            </w:tcBorders>
            <w:shd w:val="clear" w:color="auto" w:fill="auto"/>
            <w:noWrap/>
            <w:vAlign w:val="bottom"/>
            <w:hideMark/>
          </w:tcPr>
          <w:p w14:paraId="7AF5A79C"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2.72a</w:t>
            </w:r>
            <w:r w:rsidRPr="001D6F5D">
              <w:rPr>
                <w:rFonts w:eastAsia="Times New Roman"/>
                <w:color w:val="000000"/>
                <w:sz w:val="18"/>
                <w:szCs w:val="22"/>
              </w:rPr>
              <w:t xml:space="preserve"> (0.61)</w:t>
            </w:r>
          </w:p>
        </w:tc>
        <w:tc>
          <w:tcPr>
            <w:tcW w:w="0" w:type="auto"/>
            <w:tcBorders>
              <w:top w:val="nil"/>
              <w:left w:val="nil"/>
              <w:bottom w:val="nil"/>
              <w:right w:val="nil"/>
            </w:tcBorders>
            <w:shd w:val="clear" w:color="auto" w:fill="auto"/>
            <w:vAlign w:val="center"/>
            <w:hideMark/>
          </w:tcPr>
          <w:p w14:paraId="3D2C0C8D" w14:textId="77777777" w:rsidR="003658EA" w:rsidRPr="001D6F5D" w:rsidRDefault="003658EA" w:rsidP="00A53996">
            <w:pPr>
              <w:spacing w:after="0" w:line="0" w:lineRule="atLeast"/>
              <w:contextualSpacing/>
              <w:rPr>
                <w:rFonts w:eastAsia="Times New Roman"/>
                <w:color w:val="000000"/>
                <w:sz w:val="18"/>
              </w:rPr>
            </w:pPr>
            <w:r>
              <w:rPr>
                <w:rFonts w:eastAsia="Times New Roman"/>
                <w:color w:val="000000"/>
                <w:sz w:val="18"/>
                <w:szCs w:val="22"/>
              </w:rPr>
              <w:t>29</w:t>
            </w:r>
            <w:r w:rsidRPr="001D6F5D">
              <w:rPr>
                <w:rFonts w:eastAsia="Times New Roman"/>
                <w:color w:val="000000"/>
                <w:sz w:val="18"/>
                <w:szCs w:val="22"/>
              </w:rPr>
              <w:t>.</w:t>
            </w:r>
            <w:r>
              <w:rPr>
                <w:rFonts w:eastAsia="Times New Roman"/>
                <w:color w:val="000000"/>
                <w:sz w:val="18"/>
                <w:szCs w:val="22"/>
              </w:rPr>
              <w:t>44b (3</w:t>
            </w:r>
            <w:r w:rsidRPr="001D6F5D">
              <w:rPr>
                <w:rFonts w:eastAsia="Times New Roman"/>
                <w:color w:val="000000"/>
                <w:sz w:val="18"/>
                <w:szCs w:val="22"/>
              </w:rPr>
              <w:t>.91)</w:t>
            </w:r>
          </w:p>
        </w:tc>
      </w:tr>
      <w:tr w:rsidR="003658EA" w:rsidRPr="001D6F5D" w14:paraId="096D9451" w14:textId="77777777" w:rsidTr="00A53996">
        <w:trPr>
          <w:trHeight w:val="397"/>
        </w:trPr>
        <w:tc>
          <w:tcPr>
            <w:tcW w:w="0" w:type="auto"/>
            <w:vMerge/>
            <w:tcBorders>
              <w:top w:val="single" w:sz="8" w:space="0" w:color="auto"/>
              <w:left w:val="nil"/>
              <w:bottom w:val="single" w:sz="8" w:space="0" w:color="000000"/>
              <w:right w:val="nil"/>
            </w:tcBorders>
            <w:vAlign w:val="center"/>
            <w:hideMark/>
          </w:tcPr>
          <w:p w14:paraId="7EC7F8C3"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bottom w:val="nil"/>
              <w:right w:val="nil"/>
            </w:tcBorders>
            <w:shd w:val="clear" w:color="auto" w:fill="auto"/>
            <w:vAlign w:val="center"/>
            <w:hideMark/>
          </w:tcPr>
          <w:p w14:paraId="589F48C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top w:val="nil"/>
              <w:left w:val="nil"/>
              <w:bottom w:val="single" w:sz="8" w:space="0" w:color="auto"/>
              <w:right w:val="nil"/>
            </w:tcBorders>
            <w:shd w:val="clear" w:color="auto" w:fill="auto"/>
            <w:noWrap/>
            <w:vAlign w:val="bottom"/>
            <w:hideMark/>
          </w:tcPr>
          <w:p w14:paraId="71B8B2F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1.72a (0.50)</w:t>
            </w:r>
          </w:p>
        </w:tc>
        <w:tc>
          <w:tcPr>
            <w:tcW w:w="0" w:type="auto"/>
            <w:tcBorders>
              <w:top w:val="nil"/>
              <w:left w:val="nil"/>
              <w:bottom w:val="single" w:sz="8" w:space="0" w:color="auto"/>
              <w:right w:val="nil"/>
            </w:tcBorders>
            <w:shd w:val="clear" w:color="auto" w:fill="auto"/>
            <w:noWrap/>
            <w:vAlign w:val="bottom"/>
            <w:hideMark/>
          </w:tcPr>
          <w:p w14:paraId="55B6AD6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11.83a (3.23)</w:t>
            </w:r>
          </w:p>
        </w:tc>
        <w:tc>
          <w:tcPr>
            <w:tcW w:w="0" w:type="auto"/>
            <w:tcBorders>
              <w:top w:val="nil"/>
              <w:left w:val="nil"/>
              <w:bottom w:val="single" w:sz="8" w:space="0" w:color="auto"/>
              <w:right w:val="nil"/>
            </w:tcBorders>
            <w:shd w:val="clear" w:color="auto" w:fill="auto"/>
            <w:noWrap/>
            <w:vAlign w:val="bottom"/>
            <w:hideMark/>
          </w:tcPr>
          <w:p w14:paraId="5C275C66"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7.17a (1.80)</w:t>
            </w:r>
          </w:p>
        </w:tc>
        <w:tc>
          <w:tcPr>
            <w:tcW w:w="0" w:type="auto"/>
            <w:tcBorders>
              <w:top w:val="nil"/>
              <w:left w:val="nil"/>
              <w:bottom w:val="single" w:sz="8" w:space="0" w:color="auto"/>
              <w:right w:val="nil"/>
            </w:tcBorders>
            <w:shd w:val="clear" w:color="auto" w:fill="auto"/>
            <w:noWrap/>
            <w:vAlign w:val="bottom"/>
            <w:hideMark/>
          </w:tcPr>
          <w:p w14:paraId="6D10AB4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3.27a (0.84)</w:t>
            </w:r>
          </w:p>
        </w:tc>
        <w:tc>
          <w:tcPr>
            <w:tcW w:w="0" w:type="auto"/>
            <w:tcBorders>
              <w:top w:val="nil"/>
              <w:left w:val="nil"/>
              <w:bottom w:val="single" w:sz="8" w:space="0" w:color="auto"/>
              <w:right w:val="nil"/>
            </w:tcBorders>
            <w:shd w:val="clear" w:color="auto" w:fill="auto"/>
            <w:vAlign w:val="center"/>
            <w:hideMark/>
          </w:tcPr>
          <w:p w14:paraId="338827D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29.26a (2.35)</w:t>
            </w:r>
          </w:p>
        </w:tc>
      </w:tr>
      <w:tr w:rsidR="003658EA" w:rsidRPr="001D6F5D" w14:paraId="7FB74129" w14:textId="77777777" w:rsidTr="00A53996">
        <w:trPr>
          <w:trHeight w:val="397"/>
        </w:trPr>
        <w:tc>
          <w:tcPr>
            <w:tcW w:w="0" w:type="auto"/>
            <w:vMerge w:val="restart"/>
            <w:tcBorders>
              <w:top w:val="single" w:sz="8" w:space="0" w:color="000000"/>
              <w:left w:val="nil"/>
              <w:bottom w:val="single" w:sz="4" w:space="0" w:color="auto"/>
              <w:right w:val="nil"/>
            </w:tcBorders>
            <w:shd w:val="clear" w:color="auto" w:fill="auto"/>
            <w:vAlign w:val="center"/>
            <w:hideMark/>
          </w:tcPr>
          <w:p w14:paraId="4BDF8ACB" w14:textId="77777777" w:rsidR="003658EA" w:rsidRPr="001D6F5D" w:rsidRDefault="003658EA" w:rsidP="00A53996">
            <w:pPr>
              <w:spacing w:after="0" w:line="0" w:lineRule="atLeast"/>
              <w:contextualSpacing/>
              <w:jc w:val="both"/>
              <w:rPr>
                <w:rFonts w:eastAsia="Times New Roman"/>
                <w:bCs/>
                <w:color w:val="000000"/>
                <w:sz w:val="18"/>
              </w:rPr>
            </w:pPr>
            <w:r w:rsidRPr="001D6F5D">
              <w:rPr>
                <w:rFonts w:eastAsia="Times New Roman"/>
                <w:bCs/>
                <w:color w:val="000000"/>
                <w:sz w:val="18"/>
                <w:szCs w:val="22"/>
              </w:rPr>
              <w:t>FOS</w:t>
            </w:r>
          </w:p>
        </w:tc>
        <w:tc>
          <w:tcPr>
            <w:tcW w:w="0" w:type="auto"/>
            <w:tcBorders>
              <w:top w:val="single" w:sz="8" w:space="0" w:color="auto"/>
              <w:left w:val="nil"/>
              <w:bottom w:val="nil"/>
              <w:right w:val="nil"/>
            </w:tcBorders>
            <w:shd w:val="clear" w:color="auto" w:fill="auto"/>
            <w:vAlign w:val="center"/>
            <w:hideMark/>
          </w:tcPr>
          <w:p w14:paraId="59DC5D6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nil"/>
              <w:left w:val="nil"/>
              <w:bottom w:val="nil"/>
              <w:right w:val="nil"/>
            </w:tcBorders>
            <w:shd w:val="clear" w:color="auto" w:fill="auto"/>
            <w:vAlign w:val="center"/>
            <w:hideMark/>
          </w:tcPr>
          <w:p w14:paraId="75F7C8C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3.75a</w:t>
            </w:r>
            <w:r w:rsidRPr="00227AAB">
              <w:rPr>
                <w:rFonts w:eastAsia="Times New Roman"/>
                <w:color w:val="000000"/>
                <w:sz w:val="18"/>
                <w:szCs w:val="22"/>
                <w:vertAlign w:val="superscript"/>
              </w:rPr>
              <w:t xml:space="preserve"> </w:t>
            </w:r>
            <w:r w:rsidRPr="00227AAB">
              <w:rPr>
                <w:rFonts w:eastAsia="Times New Roman"/>
                <w:color w:val="000000"/>
                <w:sz w:val="18"/>
                <w:szCs w:val="22"/>
              </w:rPr>
              <w:t>(2.53)</w:t>
            </w:r>
          </w:p>
        </w:tc>
        <w:tc>
          <w:tcPr>
            <w:tcW w:w="0" w:type="auto"/>
            <w:tcBorders>
              <w:top w:val="nil"/>
              <w:left w:val="nil"/>
              <w:bottom w:val="nil"/>
              <w:right w:val="nil"/>
            </w:tcBorders>
            <w:shd w:val="clear" w:color="auto" w:fill="auto"/>
            <w:vAlign w:val="center"/>
            <w:hideMark/>
          </w:tcPr>
          <w:p w14:paraId="3DDD5E8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4.05a (0.96)</w:t>
            </w:r>
          </w:p>
        </w:tc>
        <w:tc>
          <w:tcPr>
            <w:tcW w:w="0" w:type="auto"/>
            <w:tcBorders>
              <w:top w:val="nil"/>
              <w:left w:val="nil"/>
              <w:bottom w:val="nil"/>
              <w:right w:val="nil"/>
            </w:tcBorders>
            <w:shd w:val="clear" w:color="auto" w:fill="auto"/>
            <w:noWrap/>
            <w:vAlign w:val="bottom"/>
            <w:hideMark/>
          </w:tcPr>
          <w:p w14:paraId="707FD60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5.13a</w:t>
            </w:r>
            <w:r w:rsidRPr="00227AAB">
              <w:rPr>
                <w:rFonts w:eastAsia="Times New Roman"/>
                <w:color w:val="000000"/>
                <w:sz w:val="18"/>
                <w:szCs w:val="22"/>
                <w:vertAlign w:val="superscript"/>
              </w:rPr>
              <w:t xml:space="preserve"> </w:t>
            </w:r>
            <w:r w:rsidRPr="00227AAB">
              <w:rPr>
                <w:rFonts w:eastAsia="Times New Roman"/>
                <w:color w:val="000000"/>
                <w:sz w:val="18"/>
                <w:szCs w:val="22"/>
              </w:rPr>
              <w:t>(1.39)</w:t>
            </w:r>
          </w:p>
        </w:tc>
        <w:tc>
          <w:tcPr>
            <w:tcW w:w="0" w:type="auto"/>
            <w:tcBorders>
              <w:top w:val="nil"/>
              <w:left w:val="nil"/>
              <w:bottom w:val="nil"/>
              <w:right w:val="nil"/>
            </w:tcBorders>
            <w:shd w:val="clear" w:color="auto" w:fill="auto"/>
            <w:noWrap/>
            <w:vAlign w:val="bottom"/>
            <w:hideMark/>
          </w:tcPr>
          <w:p w14:paraId="7342AFD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2.04a</w:t>
            </w:r>
            <w:r w:rsidRPr="00227AAB">
              <w:rPr>
                <w:rFonts w:eastAsia="Times New Roman"/>
                <w:color w:val="000000"/>
                <w:sz w:val="18"/>
                <w:szCs w:val="22"/>
                <w:vertAlign w:val="superscript"/>
              </w:rPr>
              <w:t xml:space="preserve"> </w:t>
            </w:r>
            <w:r w:rsidRPr="00227AAB">
              <w:rPr>
                <w:rFonts w:eastAsia="Times New Roman"/>
                <w:color w:val="000000"/>
                <w:sz w:val="18"/>
                <w:szCs w:val="22"/>
              </w:rPr>
              <w:t>(0.38)</w:t>
            </w:r>
          </w:p>
        </w:tc>
        <w:tc>
          <w:tcPr>
            <w:tcW w:w="0" w:type="auto"/>
            <w:tcBorders>
              <w:top w:val="nil"/>
              <w:left w:val="nil"/>
              <w:bottom w:val="nil"/>
              <w:right w:val="nil"/>
            </w:tcBorders>
            <w:shd w:val="clear" w:color="auto" w:fill="auto"/>
            <w:vAlign w:val="center"/>
            <w:hideMark/>
          </w:tcPr>
          <w:p w14:paraId="6060E17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18.72a (3.32)</w:t>
            </w:r>
          </w:p>
        </w:tc>
      </w:tr>
      <w:tr w:rsidR="003658EA" w:rsidRPr="001D6F5D" w14:paraId="096B34F4" w14:textId="77777777" w:rsidTr="00A53996">
        <w:trPr>
          <w:trHeight w:val="397"/>
        </w:trPr>
        <w:tc>
          <w:tcPr>
            <w:tcW w:w="0" w:type="auto"/>
            <w:vMerge/>
            <w:tcBorders>
              <w:top w:val="single" w:sz="8" w:space="0" w:color="000000"/>
              <w:left w:val="nil"/>
              <w:bottom w:val="single" w:sz="4" w:space="0" w:color="auto"/>
              <w:right w:val="nil"/>
            </w:tcBorders>
            <w:vAlign w:val="center"/>
            <w:hideMark/>
          </w:tcPr>
          <w:p w14:paraId="344BD069"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bottom w:val="nil"/>
              <w:right w:val="nil"/>
            </w:tcBorders>
            <w:shd w:val="clear" w:color="auto" w:fill="auto"/>
            <w:vAlign w:val="center"/>
            <w:hideMark/>
          </w:tcPr>
          <w:p w14:paraId="5B87123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top w:val="nil"/>
              <w:left w:val="nil"/>
              <w:bottom w:val="nil"/>
              <w:right w:val="nil"/>
            </w:tcBorders>
            <w:shd w:val="clear" w:color="auto" w:fill="auto"/>
            <w:noWrap/>
            <w:vAlign w:val="bottom"/>
            <w:hideMark/>
          </w:tcPr>
          <w:p w14:paraId="67D2285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6.17a (2.76)</w:t>
            </w:r>
          </w:p>
        </w:tc>
        <w:tc>
          <w:tcPr>
            <w:tcW w:w="0" w:type="auto"/>
            <w:tcBorders>
              <w:top w:val="nil"/>
              <w:left w:val="nil"/>
              <w:bottom w:val="nil"/>
              <w:right w:val="nil"/>
            </w:tcBorders>
            <w:shd w:val="clear" w:color="auto" w:fill="auto"/>
            <w:noWrap/>
            <w:vAlign w:val="bottom"/>
            <w:hideMark/>
          </w:tcPr>
          <w:p w14:paraId="0463389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7.86a (1.98)</w:t>
            </w:r>
          </w:p>
        </w:tc>
        <w:tc>
          <w:tcPr>
            <w:tcW w:w="0" w:type="auto"/>
            <w:tcBorders>
              <w:top w:val="nil"/>
              <w:left w:val="nil"/>
              <w:bottom w:val="nil"/>
              <w:right w:val="nil"/>
            </w:tcBorders>
            <w:shd w:val="clear" w:color="auto" w:fill="auto"/>
            <w:noWrap/>
            <w:vAlign w:val="bottom"/>
            <w:hideMark/>
          </w:tcPr>
          <w:p w14:paraId="6D7F23F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5.94a (0.46)</w:t>
            </w:r>
          </w:p>
        </w:tc>
        <w:tc>
          <w:tcPr>
            <w:tcW w:w="0" w:type="auto"/>
            <w:tcBorders>
              <w:top w:val="nil"/>
              <w:left w:val="nil"/>
              <w:bottom w:val="nil"/>
              <w:right w:val="nil"/>
            </w:tcBorders>
            <w:shd w:val="clear" w:color="auto" w:fill="auto"/>
            <w:noWrap/>
            <w:vAlign w:val="bottom"/>
            <w:hideMark/>
          </w:tcPr>
          <w:p w14:paraId="41949C0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4.03a (0.96)</w:t>
            </w:r>
          </w:p>
        </w:tc>
        <w:tc>
          <w:tcPr>
            <w:tcW w:w="0" w:type="auto"/>
            <w:tcBorders>
              <w:top w:val="nil"/>
              <w:left w:val="nil"/>
              <w:bottom w:val="nil"/>
              <w:right w:val="nil"/>
            </w:tcBorders>
            <w:shd w:val="clear" w:color="auto" w:fill="auto"/>
            <w:vAlign w:val="center"/>
            <w:hideMark/>
          </w:tcPr>
          <w:p w14:paraId="7D32301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29.03a (2.40)</w:t>
            </w:r>
          </w:p>
        </w:tc>
      </w:tr>
      <w:tr w:rsidR="003658EA" w:rsidRPr="001D6F5D" w14:paraId="1CE3EE73" w14:textId="77777777" w:rsidTr="00A53996">
        <w:trPr>
          <w:trHeight w:val="397"/>
        </w:trPr>
        <w:tc>
          <w:tcPr>
            <w:tcW w:w="0" w:type="auto"/>
            <w:vMerge/>
            <w:tcBorders>
              <w:top w:val="single" w:sz="8" w:space="0" w:color="000000"/>
              <w:left w:val="nil"/>
              <w:bottom w:val="single" w:sz="4" w:space="0" w:color="auto"/>
              <w:right w:val="nil"/>
            </w:tcBorders>
            <w:vAlign w:val="center"/>
            <w:hideMark/>
          </w:tcPr>
          <w:p w14:paraId="70DB256B"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right w:val="nil"/>
            </w:tcBorders>
            <w:shd w:val="clear" w:color="auto" w:fill="auto"/>
            <w:vAlign w:val="center"/>
            <w:hideMark/>
          </w:tcPr>
          <w:p w14:paraId="22375D3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top w:val="nil"/>
              <w:left w:val="nil"/>
              <w:right w:val="nil"/>
            </w:tcBorders>
            <w:shd w:val="clear" w:color="auto" w:fill="auto"/>
            <w:noWrap/>
            <w:vAlign w:val="bottom"/>
            <w:hideMark/>
          </w:tcPr>
          <w:p w14:paraId="41004E8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21.62a (6.52)</w:t>
            </w:r>
          </w:p>
        </w:tc>
        <w:tc>
          <w:tcPr>
            <w:tcW w:w="0" w:type="auto"/>
            <w:tcBorders>
              <w:top w:val="nil"/>
              <w:left w:val="nil"/>
              <w:bottom w:val="nil"/>
              <w:right w:val="nil"/>
            </w:tcBorders>
            <w:shd w:val="clear" w:color="auto" w:fill="auto"/>
            <w:noWrap/>
            <w:vAlign w:val="bottom"/>
            <w:hideMark/>
          </w:tcPr>
          <w:p w14:paraId="43D0ECA1"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24.25b*</w:t>
            </w:r>
            <w:r w:rsidRPr="00227AAB">
              <w:rPr>
                <w:rFonts w:eastAsia="Times New Roman"/>
                <w:color w:val="000000"/>
                <w:sz w:val="18"/>
                <w:szCs w:val="22"/>
              </w:rPr>
              <w:t xml:space="preserve"> (7.28) </w:t>
            </w:r>
          </w:p>
        </w:tc>
        <w:tc>
          <w:tcPr>
            <w:tcW w:w="0" w:type="auto"/>
            <w:tcBorders>
              <w:top w:val="nil"/>
              <w:left w:val="nil"/>
              <w:bottom w:val="nil"/>
              <w:right w:val="nil"/>
            </w:tcBorders>
            <w:shd w:val="clear" w:color="auto" w:fill="auto"/>
            <w:noWrap/>
            <w:vAlign w:val="bottom"/>
            <w:hideMark/>
          </w:tcPr>
          <w:p w14:paraId="4112ABB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8.24a (1.11)</w:t>
            </w:r>
          </w:p>
        </w:tc>
        <w:tc>
          <w:tcPr>
            <w:tcW w:w="0" w:type="auto"/>
            <w:tcBorders>
              <w:top w:val="nil"/>
              <w:left w:val="nil"/>
              <w:bottom w:val="nil"/>
              <w:right w:val="nil"/>
            </w:tcBorders>
            <w:shd w:val="clear" w:color="auto" w:fill="auto"/>
            <w:noWrap/>
            <w:vAlign w:val="bottom"/>
            <w:hideMark/>
          </w:tcPr>
          <w:p w14:paraId="0451588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5.59a (1.25)</w:t>
            </w:r>
          </w:p>
        </w:tc>
        <w:tc>
          <w:tcPr>
            <w:tcW w:w="0" w:type="auto"/>
            <w:tcBorders>
              <w:top w:val="nil"/>
              <w:left w:val="nil"/>
              <w:bottom w:val="nil"/>
              <w:right w:val="nil"/>
            </w:tcBorders>
            <w:shd w:val="clear" w:color="auto" w:fill="auto"/>
            <w:vAlign w:val="center"/>
            <w:hideMark/>
          </w:tcPr>
          <w:p w14:paraId="3FBEFC5A"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78.80c*</w:t>
            </w:r>
            <w:r w:rsidRPr="00227AAB">
              <w:rPr>
                <w:rFonts w:eastAsia="Times New Roman"/>
                <w:color w:val="000000"/>
                <w:sz w:val="18"/>
                <w:szCs w:val="22"/>
              </w:rPr>
              <w:t xml:space="preserve"> (2.11)</w:t>
            </w:r>
          </w:p>
        </w:tc>
      </w:tr>
      <w:tr w:rsidR="003658EA" w:rsidRPr="001D6F5D" w14:paraId="3E013997" w14:textId="77777777" w:rsidTr="00A53996">
        <w:trPr>
          <w:trHeight w:val="397"/>
        </w:trPr>
        <w:tc>
          <w:tcPr>
            <w:tcW w:w="0" w:type="auto"/>
            <w:vMerge/>
            <w:tcBorders>
              <w:top w:val="single" w:sz="8" w:space="0" w:color="000000"/>
              <w:left w:val="nil"/>
              <w:bottom w:val="single" w:sz="4" w:space="0" w:color="auto"/>
              <w:right w:val="nil"/>
            </w:tcBorders>
            <w:vAlign w:val="center"/>
            <w:hideMark/>
          </w:tcPr>
          <w:p w14:paraId="6F3F7EE0" w14:textId="77777777" w:rsidR="003658EA" w:rsidRPr="001D6F5D" w:rsidRDefault="003658EA" w:rsidP="00A53996">
            <w:pPr>
              <w:spacing w:after="0" w:line="0" w:lineRule="atLeast"/>
              <w:contextualSpacing/>
              <w:jc w:val="both"/>
              <w:rPr>
                <w:rFonts w:eastAsia="Times New Roman"/>
                <w:bCs/>
                <w:color w:val="000000"/>
                <w:sz w:val="18"/>
              </w:rPr>
            </w:pPr>
          </w:p>
        </w:tc>
        <w:tc>
          <w:tcPr>
            <w:tcW w:w="0" w:type="auto"/>
            <w:tcBorders>
              <w:top w:val="nil"/>
              <w:left w:val="nil"/>
              <w:bottom w:val="single" w:sz="4" w:space="0" w:color="auto"/>
              <w:right w:val="nil"/>
            </w:tcBorders>
            <w:shd w:val="clear" w:color="auto" w:fill="auto"/>
            <w:vAlign w:val="center"/>
            <w:hideMark/>
          </w:tcPr>
          <w:p w14:paraId="71F3540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top w:val="nil"/>
              <w:left w:val="nil"/>
              <w:bottom w:val="single" w:sz="4" w:space="0" w:color="auto"/>
              <w:right w:val="nil"/>
            </w:tcBorders>
            <w:shd w:val="clear" w:color="auto" w:fill="auto"/>
            <w:noWrap/>
            <w:vAlign w:val="bottom"/>
            <w:hideMark/>
          </w:tcPr>
          <w:p w14:paraId="1EEC808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7.43a (3.96)</w:t>
            </w:r>
          </w:p>
        </w:tc>
        <w:tc>
          <w:tcPr>
            <w:tcW w:w="0" w:type="auto"/>
            <w:tcBorders>
              <w:top w:val="nil"/>
              <w:left w:val="nil"/>
              <w:bottom w:val="single" w:sz="8" w:space="0" w:color="auto"/>
              <w:right w:val="nil"/>
            </w:tcBorders>
            <w:shd w:val="clear" w:color="auto" w:fill="auto"/>
            <w:noWrap/>
            <w:vAlign w:val="bottom"/>
            <w:hideMark/>
          </w:tcPr>
          <w:p w14:paraId="720B234A"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28.16b*</w:t>
            </w:r>
            <w:r w:rsidRPr="00227AAB">
              <w:rPr>
                <w:rFonts w:eastAsia="Times New Roman"/>
                <w:color w:val="000000"/>
                <w:sz w:val="18"/>
                <w:szCs w:val="22"/>
              </w:rPr>
              <w:t xml:space="preserve"> (6.49)</w:t>
            </w:r>
          </w:p>
        </w:tc>
        <w:tc>
          <w:tcPr>
            <w:tcW w:w="0" w:type="auto"/>
            <w:tcBorders>
              <w:top w:val="nil"/>
              <w:left w:val="nil"/>
              <w:bottom w:val="single" w:sz="8" w:space="0" w:color="auto"/>
              <w:right w:val="nil"/>
            </w:tcBorders>
            <w:shd w:val="clear" w:color="auto" w:fill="auto"/>
            <w:noWrap/>
            <w:vAlign w:val="bottom"/>
            <w:hideMark/>
          </w:tcPr>
          <w:p w14:paraId="3055B7D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7.82a (1.05)</w:t>
            </w:r>
          </w:p>
        </w:tc>
        <w:tc>
          <w:tcPr>
            <w:tcW w:w="0" w:type="auto"/>
            <w:tcBorders>
              <w:top w:val="nil"/>
              <w:left w:val="nil"/>
              <w:bottom w:val="single" w:sz="8" w:space="0" w:color="auto"/>
              <w:right w:val="nil"/>
            </w:tcBorders>
            <w:shd w:val="clear" w:color="auto" w:fill="auto"/>
            <w:noWrap/>
            <w:vAlign w:val="bottom"/>
            <w:hideMark/>
          </w:tcPr>
          <w:p w14:paraId="637A3A3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6.60a (1.86)</w:t>
            </w:r>
          </w:p>
        </w:tc>
        <w:tc>
          <w:tcPr>
            <w:tcW w:w="0" w:type="auto"/>
            <w:tcBorders>
              <w:top w:val="nil"/>
              <w:left w:val="nil"/>
              <w:bottom w:val="single" w:sz="8" w:space="0" w:color="auto"/>
              <w:right w:val="nil"/>
            </w:tcBorders>
            <w:shd w:val="clear" w:color="auto" w:fill="auto"/>
            <w:vAlign w:val="center"/>
            <w:hideMark/>
          </w:tcPr>
          <w:p w14:paraId="6318805C"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62.42b*</w:t>
            </w:r>
            <w:r w:rsidRPr="00227AAB">
              <w:rPr>
                <w:rFonts w:eastAsia="Times New Roman"/>
                <w:color w:val="000000"/>
                <w:sz w:val="18"/>
                <w:szCs w:val="22"/>
              </w:rPr>
              <w:t xml:space="preserve"> (2.83)</w:t>
            </w:r>
          </w:p>
        </w:tc>
      </w:tr>
      <w:tr w:rsidR="003658EA" w:rsidRPr="001D6F5D" w14:paraId="213D4985" w14:textId="77777777" w:rsidTr="00A53996">
        <w:trPr>
          <w:trHeight w:val="397"/>
        </w:trPr>
        <w:tc>
          <w:tcPr>
            <w:tcW w:w="0" w:type="auto"/>
            <w:vMerge w:val="restart"/>
            <w:tcBorders>
              <w:top w:val="single" w:sz="4" w:space="0" w:color="auto"/>
              <w:left w:val="nil"/>
              <w:right w:val="nil"/>
            </w:tcBorders>
            <w:shd w:val="clear" w:color="auto" w:fill="auto"/>
            <w:vAlign w:val="center"/>
          </w:tcPr>
          <w:p w14:paraId="500B2C79" w14:textId="77777777" w:rsidR="003658EA" w:rsidRPr="00936DF0" w:rsidRDefault="003658EA" w:rsidP="00A53996">
            <w:pPr>
              <w:spacing w:after="0" w:line="0" w:lineRule="atLeast"/>
              <w:contextualSpacing/>
              <w:jc w:val="both"/>
              <w:rPr>
                <w:rFonts w:ascii="Calibri" w:eastAsia="Times New Roman" w:hAnsi="Calibri" w:cs="Calibri"/>
                <w:bCs/>
                <w:color w:val="000000"/>
                <w:sz w:val="18"/>
              </w:rPr>
            </w:pPr>
            <w:r w:rsidRPr="00936DF0">
              <w:rPr>
                <w:rFonts w:eastAsia="Times New Roman"/>
                <w:bCs/>
                <w:color w:val="000000"/>
                <w:sz w:val="18"/>
                <w:szCs w:val="22"/>
              </w:rPr>
              <w:t>AX</w:t>
            </w:r>
          </w:p>
        </w:tc>
        <w:tc>
          <w:tcPr>
            <w:tcW w:w="0" w:type="auto"/>
            <w:tcBorders>
              <w:top w:val="single" w:sz="4" w:space="0" w:color="auto"/>
              <w:left w:val="nil"/>
              <w:bottom w:val="nil"/>
              <w:right w:val="nil"/>
            </w:tcBorders>
            <w:shd w:val="clear" w:color="auto" w:fill="auto"/>
            <w:vAlign w:val="center"/>
          </w:tcPr>
          <w:p w14:paraId="57B5F6E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single" w:sz="4" w:space="0" w:color="auto"/>
              <w:left w:val="nil"/>
              <w:bottom w:val="nil"/>
              <w:right w:val="nil"/>
            </w:tcBorders>
            <w:shd w:val="clear" w:color="auto" w:fill="auto"/>
            <w:vAlign w:val="center"/>
          </w:tcPr>
          <w:p w14:paraId="7ACDA05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5.01a (4.03)</w:t>
            </w:r>
          </w:p>
        </w:tc>
        <w:tc>
          <w:tcPr>
            <w:tcW w:w="0" w:type="auto"/>
            <w:tcBorders>
              <w:top w:val="nil"/>
              <w:left w:val="nil"/>
              <w:bottom w:val="nil"/>
              <w:right w:val="nil"/>
            </w:tcBorders>
            <w:shd w:val="clear" w:color="auto" w:fill="auto"/>
            <w:vAlign w:val="center"/>
          </w:tcPr>
          <w:p w14:paraId="3D8CC15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4.46a (0.94)</w:t>
            </w:r>
          </w:p>
        </w:tc>
        <w:tc>
          <w:tcPr>
            <w:tcW w:w="0" w:type="auto"/>
            <w:tcBorders>
              <w:top w:val="nil"/>
              <w:left w:val="nil"/>
              <w:bottom w:val="nil"/>
              <w:right w:val="nil"/>
            </w:tcBorders>
            <w:shd w:val="clear" w:color="auto" w:fill="auto"/>
            <w:noWrap/>
            <w:vAlign w:val="bottom"/>
          </w:tcPr>
          <w:p w14:paraId="5BE2B03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6.04a (2.29)</w:t>
            </w:r>
          </w:p>
        </w:tc>
        <w:tc>
          <w:tcPr>
            <w:tcW w:w="0" w:type="auto"/>
            <w:tcBorders>
              <w:top w:val="nil"/>
              <w:left w:val="nil"/>
              <w:bottom w:val="nil"/>
              <w:right w:val="nil"/>
            </w:tcBorders>
            <w:shd w:val="clear" w:color="auto" w:fill="auto"/>
            <w:noWrap/>
            <w:vAlign w:val="bottom"/>
          </w:tcPr>
          <w:p w14:paraId="228F77B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1.47a (0.30)</w:t>
            </w:r>
          </w:p>
        </w:tc>
        <w:tc>
          <w:tcPr>
            <w:tcW w:w="0" w:type="auto"/>
            <w:tcBorders>
              <w:top w:val="nil"/>
              <w:left w:val="nil"/>
              <w:bottom w:val="nil"/>
              <w:right w:val="nil"/>
            </w:tcBorders>
            <w:shd w:val="clear" w:color="auto" w:fill="auto"/>
            <w:vAlign w:val="center"/>
          </w:tcPr>
          <w:p w14:paraId="74EF73E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21.74a (2.63)</w:t>
            </w:r>
          </w:p>
        </w:tc>
      </w:tr>
      <w:tr w:rsidR="003658EA" w:rsidRPr="001D6F5D" w14:paraId="46B88222" w14:textId="77777777" w:rsidTr="00A53996">
        <w:trPr>
          <w:trHeight w:val="397"/>
        </w:trPr>
        <w:tc>
          <w:tcPr>
            <w:tcW w:w="0" w:type="auto"/>
            <w:vMerge/>
            <w:tcBorders>
              <w:left w:val="nil"/>
              <w:right w:val="nil"/>
            </w:tcBorders>
            <w:shd w:val="clear" w:color="auto" w:fill="auto"/>
            <w:vAlign w:val="center"/>
          </w:tcPr>
          <w:p w14:paraId="473A3195" w14:textId="77777777" w:rsidR="003658EA" w:rsidRPr="00936DF0"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right w:val="nil"/>
            </w:tcBorders>
            <w:shd w:val="clear" w:color="auto" w:fill="auto"/>
            <w:vAlign w:val="center"/>
          </w:tcPr>
          <w:p w14:paraId="1E8CF8C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left w:val="nil"/>
              <w:right w:val="nil"/>
            </w:tcBorders>
            <w:shd w:val="clear" w:color="auto" w:fill="auto"/>
            <w:vAlign w:val="bottom"/>
          </w:tcPr>
          <w:p w14:paraId="2131718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9.84a (4.93)</w:t>
            </w:r>
          </w:p>
        </w:tc>
        <w:tc>
          <w:tcPr>
            <w:tcW w:w="0" w:type="auto"/>
            <w:tcBorders>
              <w:top w:val="nil"/>
              <w:left w:val="nil"/>
              <w:bottom w:val="nil"/>
              <w:right w:val="nil"/>
            </w:tcBorders>
            <w:shd w:val="clear" w:color="auto" w:fill="auto"/>
            <w:vAlign w:val="bottom"/>
          </w:tcPr>
          <w:p w14:paraId="00DCB2C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10.89a (2.42)</w:t>
            </w:r>
          </w:p>
        </w:tc>
        <w:tc>
          <w:tcPr>
            <w:tcW w:w="0" w:type="auto"/>
            <w:tcBorders>
              <w:top w:val="nil"/>
              <w:left w:val="nil"/>
              <w:bottom w:val="nil"/>
              <w:right w:val="nil"/>
            </w:tcBorders>
            <w:shd w:val="clear" w:color="auto" w:fill="auto"/>
            <w:noWrap/>
            <w:vAlign w:val="bottom"/>
          </w:tcPr>
          <w:p w14:paraId="2DC2CC9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5.65a (1.12)</w:t>
            </w:r>
          </w:p>
        </w:tc>
        <w:tc>
          <w:tcPr>
            <w:tcW w:w="0" w:type="auto"/>
            <w:tcBorders>
              <w:top w:val="nil"/>
              <w:left w:val="nil"/>
              <w:bottom w:val="nil"/>
              <w:right w:val="nil"/>
            </w:tcBorders>
            <w:shd w:val="clear" w:color="auto" w:fill="auto"/>
            <w:noWrap/>
            <w:vAlign w:val="bottom"/>
          </w:tcPr>
          <w:p w14:paraId="252E957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3.23a (0.63)</w:t>
            </w:r>
          </w:p>
        </w:tc>
        <w:tc>
          <w:tcPr>
            <w:tcW w:w="0" w:type="auto"/>
            <w:tcBorders>
              <w:top w:val="nil"/>
              <w:left w:val="nil"/>
              <w:bottom w:val="nil"/>
              <w:right w:val="nil"/>
            </w:tcBorders>
            <w:shd w:val="clear" w:color="auto" w:fill="auto"/>
            <w:vAlign w:val="center"/>
          </w:tcPr>
          <w:p w14:paraId="0728E3D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37.29b (3.93)</w:t>
            </w:r>
          </w:p>
        </w:tc>
      </w:tr>
      <w:tr w:rsidR="003658EA" w:rsidRPr="001D6F5D" w14:paraId="4F23F4E3" w14:textId="77777777" w:rsidTr="00A53996">
        <w:trPr>
          <w:trHeight w:val="397"/>
        </w:trPr>
        <w:tc>
          <w:tcPr>
            <w:tcW w:w="0" w:type="auto"/>
            <w:vMerge/>
            <w:tcBorders>
              <w:left w:val="nil"/>
              <w:right w:val="nil"/>
            </w:tcBorders>
            <w:shd w:val="clear" w:color="auto" w:fill="auto"/>
            <w:vAlign w:val="center"/>
          </w:tcPr>
          <w:p w14:paraId="2F653333" w14:textId="77777777" w:rsidR="003658EA" w:rsidRPr="00936DF0"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bottom w:val="nil"/>
              <w:right w:val="nil"/>
            </w:tcBorders>
            <w:shd w:val="clear" w:color="auto" w:fill="auto"/>
            <w:vAlign w:val="center"/>
          </w:tcPr>
          <w:p w14:paraId="5869E96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left w:val="nil"/>
              <w:right w:val="nil"/>
            </w:tcBorders>
            <w:shd w:val="clear" w:color="auto" w:fill="auto"/>
            <w:vAlign w:val="bottom"/>
          </w:tcPr>
          <w:p w14:paraId="722C890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6.28a (2.59)</w:t>
            </w:r>
          </w:p>
        </w:tc>
        <w:tc>
          <w:tcPr>
            <w:tcW w:w="0" w:type="auto"/>
            <w:tcBorders>
              <w:top w:val="nil"/>
              <w:left w:val="nil"/>
              <w:right w:val="nil"/>
            </w:tcBorders>
            <w:shd w:val="clear" w:color="auto" w:fill="auto"/>
            <w:vAlign w:val="bottom"/>
          </w:tcPr>
          <w:p w14:paraId="3192E076"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18.61b</w:t>
            </w:r>
            <w:r w:rsidRPr="005A55CD">
              <w:rPr>
                <w:rFonts w:eastAsia="Times New Roman"/>
                <w:b/>
                <w:color w:val="000000"/>
                <w:sz w:val="18"/>
                <w:szCs w:val="22"/>
              </w:rPr>
              <w:t>*</w:t>
            </w:r>
            <w:r w:rsidRPr="00227AAB">
              <w:rPr>
                <w:rFonts w:eastAsia="Times New Roman"/>
                <w:color w:val="000000"/>
                <w:sz w:val="18"/>
                <w:szCs w:val="22"/>
              </w:rPr>
              <w:t xml:space="preserve"> (5.09)</w:t>
            </w:r>
          </w:p>
        </w:tc>
        <w:tc>
          <w:tcPr>
            <w:tcW w:w="0" w:type="auto"/>
            <w:tcBorders>
              <w:top w:val="nil"/>
              <w:left w:val="nil"/>
              <w:right w:val="nil"/>
            </w:tcBorders>
            <w:shd w:val="clear" w:color="auto" w:fill="auto"/>
            <w:noWrap/>
            <w:vAlign w:val="bottom"/>
          </w:tcPr>
          <w:p w14:paraId="6AB9EAC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8.52a (1.43)</w:t>
            </w:r>
          </w:p>
        </w:tc>
        <w:tc>
          <w:tcPr>
            <w:tcW w:w="0" w:type="auto"/>
            <w:tcBorders>
              <w:top w:val="nil"/>
              <w:left w:val="nil"/>
              <w:right w:val="nil"/>
            </w:tcBorders>
            <w:shd w:val="clear" w:color="auto" w:fill="auto"/>
            <w:noWrap/>
            <w:vAlign w:val="bottom"/>
          </w:tcPr>
          <w:p w14:paraId="7971B5C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3.64a (1.40)</w:t>
            </w:r>
          </w:p>
        </w:tc>
        <w:tc>
          <w:tcPr>
            <w:tcW w:w="0" w:type="auto"/>
            <w:tcBorders>
              <w:top w:val="nil"/>
              <w:left w:val="nil"/>
              <w:right w:val="nil"/>
            </w:tcBorders>
            <w:shd w:val="clear" w:color="auto" w:fill="auto"/>
            <w:vAlign w:val="center"/>
          </w:tcPr>
          <w:p w14:paraId="1A5878EE"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color w:val="000000"/>
                <w:sz w:val="18"/>
                <w:szCs w:val="22"/>
              </w:rPr>
              <w:t>47.57c*</w:t>
            </w:r>
            <w:r w:rsidRPr="00227AAB">
              <w:rPr>
                <w:rFonts w:eastAsia="Times New Roman"/>
                <w:color w:val="000000"/>
                <w:sz w:val="18"/>
                <w:szCs w:val="22"/>
              </w:rPr>
              <w:t xml:space="preserve"> (4.35)</w:t>
            </w:r>
          </w:p>
        </w:tc>
      </w:tr>
      <w:tr w:rsidR="003658EA" w:rsidRPr="001D6F5D" w14:paraId="46865F31" w14:textId="77777777" w:rsidTr="00A53996">
        <w:trPr>
          <w:trHeight w:val="397"/>
        </w:trPr>
        <w:tc>
          <w:tcPr>
            <w:tcW w:w="0" w:type="auto"/>
            <w:vMerge/>
            <w:tcBorders>
              <w:left w:val="nil"/>
              <w:bottom w:val="single" w:sz="8" w:space="0" w:color="000000"/>
              <w:right w:val="nil"/>
            </w:tcBorders>
            <w:shd w:val="clear" w:color="auto" w:fill="auto"/>
            <w:vAlign w:val="center"/>
          </w:tcPr>
          <w:p w14:paraId="31768BAC" w14:textId="77777777" w:rsidR="003658EA" w:rsidRPr="00936DF0"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bottom w:val="nil"/>
              <w:right w:val="nil"/>
            </w:tcBorders>
            <w:shd w:val="clear" w:color="auto" w:fill="auto"/>
            <w:vAlign w:val="center"/>
          </w:tcPr>
          <w:p w14:paraId="2BD90BD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left w:val="nil"/>
              <w:bottom w:val="single" w:sz="4" w:space="0" w:color="auto"/>
              <w:right w:val="nil"/>
            </w:tcBorders>
            <w:shd w:val="clear" w:color="auto" w:fill="auto"/>
            <w:vAlign w:val="bottom"/>
          </w:tcPr>
          <w:p w14:paraId="40A8267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2.12a (0.62)</w:t>
            </w:r>
          </w:p>
        </w:tc>
        <w:tc>
          <w:tcPr>
            <w:tcW w:w="0" w:type="auto"/>
            <w:tcBorders>
              <w:top w:val="nil"/>
              <w:left w:val="nil"/>
              <w:bottom w:val="single" w:sz="4" w:space="0" w:color="auto"/>
              <w:right w:val="nil"/>
            </w:tcBorders>
            <w:shd w:val="clear" w:color="auto" w:fill="auto"/>
            <w:vAlign w:val="bottom"/>
          </w:tcPr>
          <w:p w14:paraId="0DD7E079"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35.59b</w:t>
            </w:r>
            <w:r w:rsidRPr="005A55CD">
              <w:rPr>
                <w:rFonts w:eastAsia="Times New Roman"/>
                <w:b/>
                <w:color w:val="000000"/>
                <w:sz w:val="18"/>
                <w:szCs w:val="22"/>
              </w:rPr>
              <w:t>*</w:t>
            </w:r>
            <w:r w:rsidRPr="00227AAB">
              <w:rPr>
                <w:rFonts w:eastAsia="Times New Roman"/>
                <w:color w:val="000000"/>
                <w:sz w:val="18"/>
                <w:szCs w:val="22"/>
              </w:rPr>
              <w:t xml:space="preserve"> (10.56)</w:t>
            </w:r>
          </w:p>
        </w:tc>
        <w:tc>
          <w:tcPr>
            <w:tcW w:w="0" w:type="auto"/>
            <w:tcBorders>
              <w:top w:val="nil"/>
              <w:left w:val="nil"/>
              <w:bottom w:val="single" w:sz="4" w:space="0" w:color="auto"/>
              <w:right w:val="nil"/>
            </w:tcBorders>
            <w:shd w:val="clear" w:color="auto" w:fill="auto"/>
            <w:noWrap/>
            <w:vAlign w:val="bottom"/>
          </w:tcPr>
          <w:p w14:paraId="2DCB3B8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11.34b (0.32)</w:t>
            </w:r>
          </w:p>
        </w:tc>
        <w:tc>
          <w:tcPr>
            <w:tcW w:w="0" w:type="auto"/>
            <w:tcBorders>
              <w:top w:val="nil"/>
              <w:left w:val="nil"/>
              <w:bottom w:val="single" w:sz="4" w:space="0" w:color="auto"/>
              <w:right w:val="nil"/>
            </w:tcBorders>
            <w:shd w:val="clear" w:color="auto" w:fill="auto"/>
            <w:noWrap/>
            <w:vAlign w:val="bottom"/>
          </w:tcPr>
          <w:p w14:paraId="68B68A8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5.96</w:t>
            </w:r>
            <w:r>
              <w:rPr>
                <w:rFonts w:eastAsia="Times New Roman"/>
                <w:color w:val="000000"/>
                <w:sz w:val="18"/>
                <w:szCs w:val="22"/>
              </w:rPr>
              <w:t>a</w:t>
            </w:r>
            <w:r w:rsidRPr="00227AAB">
              <w:rPr>
                <w:rFonts w:eastAsia="Times New Roman"/>
                <w:color w:val="000000"/>
                <w:sz w:val="18"/>
                <w:szCs w:val="22"/>
              </w:rPr>
              <w:t xml:space="preserve"> (2.06)</w:t>
            </w:r>
          </w:p>
        </w:tc>
        <w:tc>
          <w:tcPr>
            <w:tcW w:w="0" w:type="auto"/>
            <w:tcBorders>
              <w:top w:val="nil"/>
              <w:left w:val="nil"/>
              <w:bottom w:val="single" w:sz="4" w:space="0" w:color="auto"/>
              <w:right w:val="nil"/>
            </w:tcBorders>
            <w:shd w:val="clear" w:color="auto" w:fill="auto"/>
            <w:vAlign w:val="center"/>
          </w:tcPr>
          <w:p w14:paraId="3DECF52C"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66.84b*</w:t>
            </w:r>
            <w:r w:rsidRPr="00227AAB">
              <w:rPr>
                <w:rFonts w:eastAsia="Times New Roman"/>
                <w:color w:val="000000"/>
                <w:sz w:val="18"/>
                <w:szCs w:val="22"/>
              </w:rPr>
              <w:t xml:space="preserve"> (6.33)</w:t>
            </w:r>
          </w:p>
        </w:tc>
      </w:tr>
      <w:tr w:rsidR="003658EA" w:rsidRPr="001D6F5D" w14:paraId="42C2D418" w14:textId="77777777" w:rsidTr="00A53996">
        <w:trPr>
          <w:trHeight w:val="397"/>
        </w:trPr>
        <w:tc>
          <w:tcPr>
            <w:tcW w:w="0" w:type="auto"/>
            <w:vMerge w:val="restart"/>
            <w:tcBorders>
              <w:top w:val="nil"/>
              <w:left w:val="nil"/>
              <w:bottom w:val="single" w:sz="8" w:space="0" w:color="000000"/>
              <w:right w:val="nil"/>
            </w:tcBorders>
            <w:shd w:val="clear" w:color="auto" w:fill="auto"/>
            <w:vAlign w:val="center"/>
            <w:hideMark/>
          </w:tcPr>
          <w:p w14:paraId="2BFEBC36" w14:textId="77777777" w:rsidR="003658EA" w:rsidRPr="001D6F5D" w:rsidRDefault="003658EA" w:rsidP="00A53996">
            <w:pPr>
              <w:spacing w:after="0" w:line="0" w:lineRule="atLeast"/>
              <w:contextualSpacing/>
              <w:jc w:val="both"/>
              <w:rPr>
                <w:rFonts w:eastAsia="Times New Roman"/>
                <w:bCs/>
                <w:color w:val="000000"/>
                <w:sz w:val="18"/>
              </w:rPr>
            </w:pPr>
            <w:r w:rsidRPr="001D6F5D">
              <w:rPr>
                <w:rFonts w:ascii="Calibri" w:eastAsia="Times New Roman" w:hAnsi="Calibri" w:cs="Calibri"/>
                <w:bCs/>
                <w:color w:val="000000"/>
                <w:sz w:val="18"/>
                <w:szCs w:val="22"/>
              </w:rPr>
              <w:t>AX 3:1 B glucan</w:t>
            </w:r>
          </w:p>
        </w:tc>
        <w:tc>
          <w:tcPr>
            <w:tcW w:w="0" w:type="auto"/>
            <w:tcBorders>
              <w:top w:val="single" w:sz="8" w:space="0" w:color="auto"/>
              <w:left w:val="nil"/>
              <w:bottom w:val="nil"/>
              <w:right w:val="nil"/>
            </w:tcBorders>
            <w:shd w:val="clear" w:color="auto" w:fill="auto"/>
            <w:vAlign w:val="center"/>
            <w:hideMark/>
          </w:tcPr>
          <w:p w14:paraId="66871C3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single" w:sz="4" w:space="0" w:color="auto"/>
              <w:left w:val="nil"/>
              <w:bottom w:val="nil"/>
              <w:right w:val="nil"/>
            </w:tcBorders>
            <w:shd w:val="clear" w:color="auto" w:fill="auto"/>
            <w:vAlign w:val="center"/>
            <w:hideMark/>
          </w:tcPr>
          <w:p w14:paraId="68513C9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1.96a</w:t>
            </w:r>
            <w:r w:rsidRPr="00227AAB">
              <w:rPr>
                <w:rFonts w:eastAsia="Times New Roman"/>
                <w:color w:val="000000"/>
                <w:sz w:val="18"/>
                <w:szCs w:val="22"/>
                <w:vertAlign w:val="superscript"/>
              </w:rPr>
              <w:t xml:space="preserve"> </w:t>
            </w:r>
            <w:r w:rsidRPr="00227AAB">
              <w:rPr>
                <w:rFonts w:eastAsia="Times New Roman"/>
                <w:color w:val="000000"/>
                <w:sz w:val="18"/>
                <w:szCs w:val="22"/>
              </w:rPr>
              <w:t>(0.94)</w:t>
            </w:r>
          </w:p>
        </w:tc>
        <w:tc>
          <w:tcPr>
            <w:tcW w:w="0" w:type="auto"/>
            <w:tcBorders>
              <w:top w:val="single" w:sz="4" w:space="0" w:color="auto"/>
              <w:left w:val="nil"/>
              <w:bottom w:val="nil"/>
              <w:right w:val="nil"/>
            </w:tcBorders>
            <w:shd w:val="clear" w:color="auto" w:fill="auto"/>
            <w:vAlign w:val="center"/>
            <w:hideMark/>
          </w:tcPr>
          <w:p w14:paraId="0F8E874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4.70a (0.99)</w:t>
            </w:r>
          </w:p>
        </w:tc>
        <w:tc>
          <w:tcPr>
            <w:tcW w:w="0" w:type="auto"/>
            <w:tcBorders>
              <w:top w:val="single" w:sz="4" w:space="0" w:color="auto"/>
              <w:left w:val="nil"/>
              <w:bottom w:val="nil"/>
              <w:right w:val="nil"/>
            </w:tcBorders>
            <w:shd w:val="clear" w:color="auto" w:fill="auto"/>
            <w:noWrap/>
            <w:vAlign w:val="bottom"/>
            <w:hideMark/>
          </w:tcPr>
          <w:p w14:paraId="69E8BCD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6.40a (2.17)</w:t>
            </w:r>
          </w:p>
        </w:tc>
        <w:tc>
          <w:tcPr>
            <w:tcW w:w="0" w:type="auto"/>
            <w:tcBorders>
              <w:top w:val="single" w:sz="4" w:space="0" w:color="auto"/>
              <w:left w:val="nil"/>
              <w:bottom w:val="nil"/>
              <w:right w:val="nil"/>
            </w:tcBorders>
            <w:shd w:val="clear" w:color="auto" w:fill="auto"/>
            <w:noWrap/>
            <w:vAlign w:val="bottom"/>
            <w:hideMark/>
          </w:tcPr>
          <w:p w14:paraId="20A2066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1.81a</w:t>
            </w:r>
            <w:r w:rsidRPr="00227AAB">
              <w:rPr>
                <w:rFonts w:eastAsia="Times New Roman"/>
                <w:color w:val="000000"/>
                <w:sz w:val="18"/>
                <w:szCs w:val="22"/>
                <w:vertAlign w:val="superscript"/>
              </w:rPr>
              <w:t xml:space="preserve"> </w:t>
            </w:r>
            <w:r w:rsidRPr="00227AAB">
              <w:rPr>
                <w:rFonts w:eastAsia="Times New Roman"/>
                <w:color w:val="000000"/>
                <w:sz w:val="18"/>
                <w:szCs w:val="22"/>
              </w:rPr>
              <w:t>(0.41)</w:t>
            </w:r>
          </w:p>
        </w:tc>
        <w:tc>
          <w:tcPr>
            <w:tcW w:w="0" w:type="auto"/>
            <w:tcBorders>
              <w:top w:val="single" w:sz="4" w:space="0" w:color="auto"/>
              <w:left w:val="nil"/>
              <w:bottom w:val="nil"/>
              <w:right w:val="nil"/>
            </w:tcBorders>
            <w:shd w:val="clear" w:color="auto" w:fill="auto"/>
            <w:vAlign w:val="center"/>
            <w:hideMark/>
          </w:tcPr>
          <w:p w14:paraId="02DBBBD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20.15</w:t>
            </w:r>
            <w:r>
              <w:rPr>
                <w:rFonts w:eastAsia="Times New Roman"/>
                <w:color w:val="000000"/>
                <w:sz w:val="18"/>
                <w:szCs w:val="22"/>
              </w:rPr>
              <w:t>a</w:t>
            </w:r>
            <w:r w:rsidRPr="00227AAB">
              <w:rPr>
                <w:rFonts w:eastAsia="Times New Roman"/>
                <w:color w:val="000000"/>
                <w:sz w:val="18"/>
                <w:szCs w:val="22"/>
              </w:rPr>
              <w:t xml:space="preserve"> (1.27)</w:t>
            </w:r>
          </w:p>
        </w:tc>
      </w:tr>
      <w:tr w:rsidR="003658EA" w:rsidRPr="001D6F5D" w14:paraId="05778E66" w14:textId="77777777" w:rsidTr="00A53996">
        <w:trPr>
          <w:trHeight w:val="397"/>
        </w:trPr>
        <w:tc>
          <w:tcPr>
            <w:tcW w:w="0" w:type="auto"/>
            <w:vMerge/>
            <w:tcBorders>
              <w:top w:val="nil"/>
              <w:left w:val="nil"/>
              <w:bottom w:val="single" w:sz="8" w:space="0" w:color="000000"/>
              <w:right w:val="nil"/>
            </w:tcBorders>
            <w:vAlign w:val="center"/>
            <w:hideMark/>
          </w:tcPr>
          <w:p w14:paraId="474F6926" w14:textId="77777777" w:rsidR="003658EA" w:rsidRPr="001D6F5D" w:rsidRDefault="003658EA" w:rsidP="00A53996">
            <w:pPr>
              <w:spacing w:after="0" w:line="0" w:lineRule="atLeast"/>
              <w:contextualSpacing/>
              <w:jc w:val="both"/>
              <w:rPr>
                <w:rFonts w:eastAsia="Times New Roman"/>
                <w:b/>
                <w:bCs/>
                <w:color w:val="000000"/>
                <w:sz w:val="18"/>
              </w:rPr>
            </w:pPr>
          </w:p>
        </w:tc>
        <w:tc>
          <w:tcPr>
            <w:tcW w:w="0" w:type="auto"/>
            <w:tcBorders>
              <w:top w:val="nil"/>
              <w:left w:val="nil"/>
              <w:bottom w:val="nil"/>
              <w:right w:val="nil"/>
            </w:tcBorders>
            <w:shd w:val="clear" w:color="auto" w:fill="auto"/>
            <w:vAlign w:val="center"/>
            <w:hideMark/>
          </w:tcPr>
          <w:p w14:paraId="4C81ABC6"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top w:val="nil"/>
              <w:left w:val="nil"/>
              <w:bottom w:val="nil"/>
              <w:right w:val="nil"/>
            </w:tcBorders>
            <w:shd w:val="clear" w:color="auto" w:fill="auto"/>
            <w:noWrap/>
            <w:vAlign w:val="bottom"/>
            <w:hideMark/>
          </w:tcPr>
          <w:p w14:paraId="25A7A40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10.41a (4.73)</w:t>
            </w:r>
          </w:p>
        </w:tc>
        <w:tc>
          <w:tcPr>
            <w:tcW w:w="0" w:type="auto"/>
            <w:tcBorders>
              <w:top w:val="nil"/>
              <w:left w:val="nil"/>
              <w:bottom w:val="nil"/>
              <w:right w:val="nil"/>
            </w:tcBorders>
            <w:shd w:val="clear" w:color="auto" w:fill="auto"/>
            <w:noWrap/>
            <w:vAlign w:val="bottom"/>
            <w:hideMark/>
          </w:tcPr>
          <w:p w14:paraId="2B4C2C8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9.12a (2.16)</w:t>
            </w:r>
          </w:p>
        </w:tc>
        <w:tc>
          <w:tcPr>
            <w:tcW w:w="0" w:type="auto"/>
            <w:tcBorders>
              <w:top w:val="nil"/>
              <w:left w:val="nil"/>
              <w:bottom w:val="nil"/>
              <w:right w:val="nil"/>
            </w:tcBorders>
            <w:shd w:val="clear" w:color="auto" w:fill="auto"/>
            <w:noWrap/>
            <w:vAlign w:val="bottom"/>
            <w:hideMark/>
          </w:tcPr>
          <w:p w14:paraId="245539A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5.65a (0.92)</w:t>
            </w:r>
          </w:p>
        </w:tc>
        <w:tc>
          <w:tcPr>
            <w:tcW w:w="0" w:type="auto"/>
            <w:tcBorders>
              <w:top w:val="nil"/>
              <w:left w:val="nil"/>
              <w:bottom w:val="nil"/>
              <w:right w:val="nil"/>
            </w:tcBorders>
            <w:shd w:val="clear" w:color="auto" w:fill="auto"/>
            <w:noWrap/>
            <w:vAlign w:val="bottom"/>
            <w:hideMark/>
          </w:tcPr>
          <w:p w14:paraId="7491396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2.21a (0.27)</w:t>
            </w:r>
          </w:p>
        </w:tc>
        <w:tc>
          <w:tcPr>
            <w:tcW w:w="0" w:type="auto"/>
            <w:tcBorders>
              <w:top w:val="nil"/>
              <w:left w:val="nil"/>
              <w:bottom w:val="nil"/>
              <w:right w:val="nil"/>
            </w:tcBorders>
            <w:shd w:val="clear" w:color="auto" w:fill="auto"/>
            <w:vAlign w:val="center"/>
            <w:hideMark/>
          </w:tcPr>
          <w:p w14:paraId="0254ACD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34.32b (2.27)</w:t>
            </w:r>
          </w:p>
        </w:tc>
      </w:tr>
      <w:tr w:rsidR="003658EA" w:rsidRPr="001D6F5D" w14:paraId="34EE84C2" w14:textId="77777777" w:rsidTr="00A53996">
        <w:trPr>
          <w:trHeight w:val="283"/>
        </w:trPr>
        <w:tc>
          <w:tcPr>
            <w:tcW w:w="0" w:type="auto"/>
            <w:vMerge/>
            <w:tcBorders>
              <w:top w:val="nil"/>
              <w:left w:val="nil"/>
              <w:bottom w:val="single" w:sz="8" w:space="0" w:color="000000"/>
              <w:right w:val="nil"/>
            </w:tcBorders>
            <w:vAlign w:val="center"/>
            <w:hideMark/>
          </w:tcPr>
          <w:p w14:paraId="569E8DD0" w14:textId="77777777" w:rsidR="003658EA" w:rsidRPr="001D6F5D" w:rsidRDefault="003658EA" w:rsidP="00A53996">
            <w:pPr>
              <w:spacing w:after="0" w:line="0" w:lineRule="atLeast"/>
              <w:contextualSpacing/>
              <w:jc w:val="both"/>
              <w:rPr>
                <w:rFonts w:eastAsia="Times New Roman"/>
                <w:b/>
                <w:bCs/>
                <w:color w:val="000000"/>
                <w:sz w:val="18"/>
              </w:rPr>
            </w:pPr>
          </w:p>
        </w:tc>
        <w:tc>
          <w:tcPr>
            <w:tcW w:w="0" w:type="auto"/>
            <w:tcBorders>
              <w:top w:val="nil"/>
              <w:left w:val="nil"/>
              <w:right w:val="nil"/>
            </w:tcBorders>
            <w:shd w:val="clear" w:color="auto" w:fill="auto"/>
            <w:vAlign w:val="center"/>
            <w:hideMark/>
          </w:tcPr>
          <w:p w14:paraId="1BB33C3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top w:val="nil"/>
              <w:left w:val="nil"/>
              <w:right w:val="nil"/>
            </w:tcBorders>
            <w:shd w:val="clear" w:color="auto" w:fill="auto"/>
            <w:noWrap/>
            <w:vAlign w:val="bottom"/>
            <w:hideMark/>
          </w:tcPr>
          <w:p w14:paraId="461A0ED4"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11.43a (5.63)</w:t>
            </w:r>
          </w:p>
        </w:tc>
        <w:tc>
          <w:tcPr>
            <w:tcW w:w="0" w:type="auto"/>
            <w:tcBorders>
              <w:top w:val="nil"/>
              <w:left w:val="nil"/>
              <w:right w:val="nil"/>
            </w:tcBorders>
            <w:shd w:val="clear" w:color="auto" w:fill="auto"/>
            <w:noWrap/>
            <w:vAlign w:val="bottom"/>
            <w:hideMark/>
          </w:tcPr>
          <w:p w14:paraId="70B7B6BA"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24.94b*</w:t>
            </w:r>
            <w:r w:rsidRPr="00227AAB">
              <w:rPr>
                <w:rFonts w:eastAsia="Times New Roman"/>
                <w:color w:val="000000"/>
                <w:sz w:val="18"/>
                <w:szCs w:val="22"/>
              </w:rPr>
              <w:t xml:space="preserve"> (9.35)</w:t>
            </w:r>
          </w:p>
        </w:tc>
        <w:tc>
          <w:tcPr>
            <w:tcW w:w="0" w:type="auto"/>
            <w:tcBorders>
              <w:top w:val="nil"/>
              <w:left w:val="nil"/>
              <w:right w:val="nil"/>
            </w:tcBorders>
            <w:shd w:val="clear" w:color="auto" w:fill="auto"/>
            <w:noWrap/>
            <w:vAlign w:val="bottom"/>
            <w:hideMark/>
          </w:tcPr>
          <w:p w14:paraId="52E9E3F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8.52a (1.97)</w:t>
            </w:r>
          </w:p>
        </w:tc>
        <w:tc>
          <w:tcPr>
            <w:tcW w:w="0" w:type="auto"/>
            <w:tcBorders>
              <w:top w:val="nil"/>
              <w:left w:val="nil"/>
              <w:right w:val="nil"/>
            </w:tcBorders>
            <w:shd w:val="clear" w:color="auto" w:fill="auto"/>
            <w:noWrap/>
            <w:vAlign w:val="bottom"/>
            <w:hideMark/>
          </w:tcPr>
          <w:p w14:paraId="71DC932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3.34a</w:t>
            </w:r>
            <w:r w:rsidRPr="00227AAB">
              <w:rPr>
                <w:rFonts w:eastAsia="Times New Roman"/>
                <w:color w:val="000000"/>
                <w:sz w:val="18"/>
                <w:szCs w:val="22"/>
                <w:vertAlign w:val="superscript"/>
              </w:rPr>
              <w:t xml:space="preserve"> </w:t>
            </w:r>
            <w:r w:rsidRPr="00227AAB">
              <w:rPr>
                <w:rFonts w:eastAsia="Times New Roman"/>
                <w:color w:val="000000"/>
                <w:sz w:val="18"/>
                <w:szCs w:val="22"/>
              </w:rPr>
              <w:t>(0.82)</w:t>
            </w:r>
          </w:p>
        </w:tc>
        <w:tc>
          <w:tcPr>
            <w:tcW w:w="0" w:type="auto"/>
            <w:tcBorders>
              <w:top w:val="nil"/>
              <w:left w:val="nil"/>
              <w:right w:val="nil"/>
            </w:tcBorders>
            <w:shd w:val="clear" w:color="auto" w:fill="auto"/>
            <w:vAlign w:val="center"/>
            <w:hideMark/>
          </w:tcPr>
          <w:p w14:paraId="360690D1"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61.14c*</w:t>
            </w:r>
            <w:r w:rsidRPr="00227AAB">
              <w:rPr>
                <w:rFonts w:eastAsia="Times New Roman"/>
                <w:color w:val="000000"/>
                <w:sz w:val="18"/>
                <w:szCs w:val="22"/>
              </w:rPr>
              <w:t xml:space="preserve"> (4.18)</w:t>
            </w:r>
          </w:p>
        </w:tc>
      </w:tr>
      <w:tr w:rsidR="003658EA" w:rsidRPr="001D6F5D" w14:paraId="227002A2" w14:textId="77777777" w:rsidTr="00A53996">
        <w:trPr>
          <w:trHeight w:val="397"/>
        </w:trPr>
        <w:tc>
          <w:tcPr>
            <w:tcW w:w="0" w:type="auto"/>
            <w:vMerge/>
            <w:tcBorders>
              <w:top w:val="nil"/>
              <w:left w:val="nil"/>
              <w:bottom w:val="single" w:sz="8" w:space="0" w:color="000000"/>
              <w:right w:val="nil"/>
            </w:tcBorders>
            <w:vAlign w:val="center"/>
            <w:hideMark/>
          </w:tcPr>
          <w:p w14:paraId="3D67D05B" w14:textId="77777777" w:rsidR="003658EA" w:rsidRPr="001D6F5D" w:rsidRDefault="003658EA" w:rsidP="00A53996">
            <w:pPr>
              <w:spacing w:after="0" w:line="0" w:lineRule="atLeast"/>
              <w:contextualSpacing/>
              <w:jc w:val="both"/>
              <w:rPr>
                <w:rFonts w:eastAsia="Times New Roman"/>
                <w:b/>
                <w:bCs/>
                <w:color w:val="000000"/>
                <w:sz w:val="18"/>
              </w:rPr>
            </w:pPr>
          </w:p>
        </w:tc>
        <w:tc>
          <w:tcPr>
            <w:tcW w:w="0" w:type="auto"/>
            <w:tcBorders>
              <w:top w:val="nil"/>
              <w:left w:val="nil"/>
              <w:bottom w:val="single" w:sz="4" w:space="0" w:color="auto"/>
              <w:right w:val="nil"/>
            </w:tcBorders>
            <w:shd w:val="clear" w:color="auto" w:fill="auto"/>
            <w:vAlign w:val="center"/>
            <w:hideMark/>
          </w:tcPr>
          <w:p w14:paraId="52B110A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top w:val="nil"/>
              <w:left w:val="nil"/>
              <w:bottom w:val="single" w:sz="4" w:space="0" w:color="auto"/>
              <w:right w:val="nil"/>
            </w:tcBorders>
            <w:shd w:val="clear" w:color="auto" w:fill="auto"/>
            <w:noWrap/>
            <w:vAlign w:val="bottom"/>
            <w:hideMark/>
          </w:tcPr>
          <w:p w14:paraId="6DD85EC2"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3.97a</w:t>
            </w:r>
            <w:r w:rsidRPr="00227AAB">
              <w:rPr>
                <w:rFonts w:eastAsia="Times New Roman"/>
                <w:color w:val="000000"/>
                <w:sz w:val="18"/>
                <w:szCs w:val="22"/>
                <w:vertAlign w:val="superscript"/>
              </w:rPr>
              <w:t xml:space="preserve"> </w:t>
            </w:r>
            <w:r w:rsidRPr="00227AAB">
              <w:rPr>
                <w:rFonts w:eastAsia="Times New Roman"/>
                <w:color w:val="000000"/>
                <w:sz w:val="18"/>
                <w:szCs w:val="22"/>
              </w:rPr>
              <w:t>(0.94)</w:t>
            </w:r>
          </w:p>
        </w:tc>
        <w:tc>
          <w:tcPr>
            <w:tcW w:w="0" w:type="auto"/>
            <w:tcBorders>
              <w:top w:val="nil"/>
              <w:left w:val="nil"/>
              <w:bottom w:val="single" w:sz="4" w:space="0" w:color="auto"/>
              <w:right w:val="nil"/>
            </w:tcBorders>
            <w:shd w:val="clear" w:color="auto" w:fill="auto"/>
            <w:noWrap/>
            <w:vAlign w:val="bottom"/>
            <w:hideMark/>
          </w:tcPr>
          <w:p w14:paraId="20B829FF"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43.63b*</w:t>
            </w:r>
            <w:r w:rsidRPr="00227AAB">
              <w:rPr>
                <w:rFonts w:eastAsia="Times New Roman"/>
                <w:color w:val="000000"/>
                <w:sz w:val="18"/>
                <w:szCs w:val="22"/>
              </w:rPr>
              <w:t xml:space="preserve"> (10.68)</w:t>
            </w:r>
          </w:p>
        </w:tc>
        <w:tc>
          <w:tcPr>
            <w:tcW w:w="0" w:type="auto"/>
            <w:tcBorders>
              <w:top w:val="nil"/>
              <w:left w:val="nil"/>
              <w:bottom w:val="single" w:sz="4" w:space="0" w:color="auto"/>
              <w:right w:val="nil"/>
            </w:tcBorders>
            <w:shd w:val="clear" w:color="auto" w:fill="auto"/>
            <w:noWrap/>
            <w:vAlign w:val="bottom"/>
            <w:hideMark/>
          </w:tcPr>
          <w:p w14:paraId="542FD64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11.3</w:t>
            </w:r>
            <w:r>
              <w:rPr>
                <w:rFonts w:eastAsia="Times New Roman"/>
                <w:color w:val="000000"/>
                <w:sz w:val="18"/>
                <w:szCs w:val="22"/>
              </w:rPr>
              <w:t>5</w:t>
            </w:r>
            <w:r w:rsidRPr="00227AAB">
              <w:rPr>
                <w:rFonts w:eastAsia="Times New Roman"/>
                <w:color w:val="000000"/>
                <w:sz w:val="18"/>
                <w:szCs w:val="22"/>
              </w:rPr>
              <w:t>b (1.97)</w:t>
            </w:r>
          </w:p>
        </w:tc>
        <w:tc>
          <w:tcPr>
            <w:tcW w:w="0" w:type="auto"/>
            <w:tcBorders>
              <w:top w:val="nil"/>
              <w:left w:val="nil"/>
              <w:bottom w:val="single" w:sz="4" w:space="0" w:color="auto"/>
              <w:right w:val="nil"/>
            </w:tcBorders>
            <w:shd w:val="clear" w:color="auto" w:fill="auto"/>
            <w:noWrap/>
            <w:vAlign w:val="bottom"/>
            <w:hideMark/>
          </w:tcPr>
          <w:p w14:paraId="4A3D50C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6.24a (1.61)</w:t>
            </w:r>
          </w:p>
        </w:tc>
        <w:tc>
          <w:tcPr>
            <w:tcW w:w="0" w:type="auto"/>
            <w:tcBorders>
              <w:top w:val="nil"/>
              <w:left w:val="nil"/>
              <w:bottom w:val="single" w:sz="4" w:space="0" w:color="auto"/>
              <w:right w:val="nil"/>
            </w:tcBorders>
            <w:shd w:val="clear" w:color="auto" w:fill="auto"/>
            <w:vAlign w:val="center"/>
            <w:hideMark/>
          </w:tcPr>
          <w:p w14:paraId="2D514926"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75.90b*</w:t>
            </w:r>
            <w:r w:rsidRPr="00227AAB">
              <w:rPr>
                <w:rFonts w:eastAsia="Times New Roman"/>
                <w:color w:val="000000"/>
                <w:sz w:val="18"/>
                <w:szCs w:val="22"/>
              </w:rPr>
              <w:t xml:space="preserve"> (6.88)</w:t>
            </w:r>
          </w:p>
        </w:tc>
      </w:tr>
      <w:tr w:rsidR="003658EA" w:rsidRPr="001D6F5D" w14:paraId="1D119801" w14:textId="77777777" w:rsidTr="00A53996">
        <w:trPr>
          <w:trHeight w:val="397"/>
        </w:trPr>
        <w:tc>
          <w:tcPr>
            <w:tcW w:w="0" w:type="auto"/>
            <w:vMerge w:val="restart"/>
            <w:tcBorders>
              <w:top w:val="nil"/>
              <w:left w:val="nil"/>
              <w:right w:val="nil"/>
            </w:tcBorders>
            <w:vAlign w:val="center"/>
          </w:tcPr>
          <w:p w14:paraId="3E21D3CC" w14:textId="77777777" w:rsidR="003658EA" w:rsidRPr="001D6F5D" w:rsidRDefault="003658EA" w:rsidP="00A53996">
            <w:pPr>
              <w:spacing w:after="0" w:line="0" w:lineRule="atLeast"/>
              <w:contextualSpacing/>
              <w:jc w:val="both"/>
              <w:rPr>
                <w:rFonts w:eastAsia="Times New Roman"/>
                <w:b/>
                <w:bCs/>
                <w:color w:val="000000"/>
                <w:sz w:val="18"/>
              </w:rPr>
            </w:pPr>
            <w:r w:rsidRPr="001D6F5D">
              <w:rPr>
                <w:rFonts w:ascii="Calibri" w:eastAsia="Times New Roman" w:hAnsi="Calibri" w:cs="Calibri"/>
                <w:bCs/>
                <w:color w:val="000000"/>
                <w:sz w:val="18"/>
                <w:szCs w:val="22"/>
              </w:rPr>
              <w:t>AX 1:1 B glucan</w:t>
            </w:r>
          </w:p>
        </w:tc>
        <w:tc>
          <w:tcPr>
            <w:tcW w:w="0" w:type="auto"/>
            <w:tcBorders>
              <w:top w:val="single" w:sz="4" w:space="0" w:color="auto"/>
              <w:left w:val="nil"/>
              <w:right w:val="nil"/>
            </w:tcBorders>
            <w:shd w:val="clear" w:color="auto" w:fill="auto"/>
            <w:vAlign w:val="center"/>
          </w:tcPr>
          <w:p w14:paraId="32C715D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single" w:sz="4" w:space="0" w:color="auto"/>
              <w:left w:val="nil"/>
              <w:right w:val="nil"/>
            </w:tcBorders>
            <w:shd w:val="clear" w:color="auto" w:fill="auto"/>
            <w:noWrap/>
            <w:vAlign w:val="center"/>
          </w:tcPr>
          <w:p w14:paraId="1A9EE0E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5.18a (5.25)</w:t>
            </w:r>
          </w:p>
        </w:tc>
        <w:tc>
          <w:tcPr>
            <w:tcW w:w="0" w:type="auto"/>
            <w:tcBorders>
              <w:top w:val="single" w:sz="4" w:space="0" w:color="auto"/>
              <w:left w:val="nil"/>
              <w:right w:val="nil"/>
            </w:tcBorders>
            <w:shd w:val="clear" w:color="auto" w:fill="auto"/>
            <w:noWrap/>
            <w:vAlign w:val="center"/>
          </w:tcPr>
          <w:p w14:paraId="5C26F667" w14:textId="77777777" w:rsidR="003658EA" w:rsidRPr="00227AAB" w:rsidRDefault="003658EA" w:rsidP="00A53996">
            <w:pPr>
              <w:spacing w:after="0" w:line="0" w:lineRule="atLeast"/>
              <w:contextualSpacing/>
              <w:rPr>
                <w:rFonts w:eastAsia="Times New Roman"/>
                <w:bCs/>
                <w:color w:val="000000"/>
                <w:sz w:val="18"/>
              </w:rPr>
            </w:pPr>
            <w:r w:rsidRPr="00227AAB">
              <w:rPr>
                <w:rFonts w:eastAsia="Times New Roman"/>
                <w:color w:val="000000"/>
                <w:sz w:val="18"/>
                <w:szCs w:val="22"/>
              </w:rPr>
              <w:t>4.66</w:t>
            </w:r>
            <w:r>
              <w:rPr>
                <w:rFonts w:eastAsia="Times New Roman"/>
                <w:color w:val="000000"/>
                <w:sz w:val="18"/>
                <w:szCs w:val="22"/>
              </w:rPr>
              <w:t>a</w:t>
            </w:r>
            <w:r w:rsidRPr="00227AAB">
              <w:rPr>
                <w:rFonts w:eastAsia="Times New Roman"/>
                <w:color w:val="000000"/>
                <w:sz w:val="18"/>
                <w:szCs w:val="22"/>
              </w:rPr>
              <w:t xml:space="preserve"> (1.02)</w:t>
            </w:r>
          </w:p>
        </w:tc>
        <w:tc>
          <w:tcPr>
            <w:tcW w:w="0" w:type="auto"/>
            <w:tcBorders>
              <w:top w:val="single" w:sz="4" w:space="0" w:color="auto"/>
              <w:left w:val="nil"/>
              <w:right w:val="nil"/>
            </w:tcBorders>
            <w:shd w:val="clear" w:color="auto" w:fill="auto"/>
            <w:noWrap/>
            <w:vAlign w:val="bottom"/>
          </w:tcPr>
          <w:p w14:paraId="5DC7AA4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3.80a (1.10)</w:t>
            </w:r>
          </w:p>
        </w:tc>
        <w:tc>
          <w:tcPr>
            <w:tcW w:w="0" w:type="auto"/>
            <w:tcBorders>
              <w:top w:val="single" w:sz="4" w:space="0" w:color="auto"/>
              <w:left w:val="nil"/>
              <w:right w:val="nil"/>
            </w:tcBorders>
            <w:shd w:val="clear" w:color="auto" w:fill="auto"/>
            <w:noWrap/>
            <w:vAlign w:val="bottom"/>
          </w:tcPr>
          <w:p w14:paraId="4FDB5B7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2.05a</w:t>
            </w:r>
            <w:r w:rsidRPr="00227AAB">
              <w:rPr>
                <w:rFonts w:eastAsia="Times New Roman"/>
                <w:color w:val="000000"/>
                <w:sz w:val="18"/>
                <w:szCs w:val="22"/>
                <w:vertAlign w:val="superscript"/>
              </w:rPr>
              <w:t xml:space="preserve"> </w:t>
            </w:r>
            <w:r w:rsidRPr="00227AAB">
              <w:rPr>
                <w:rFonts w:eastAsia="Times New Roman"/>
                <w:color w:val="000000"/>
                <w:sz w:val="18"/>
                <w:szCs w:val="22"/>
              </w:rPr>
              <w:t>(0.61)</w:t>
            </w:r>
          </w:p>
        </w:tc>
        <w:tc>
          <w:tcPr>
            <w:tcW w:w="0" w:type="auto"/>
            <w:tcBorders>
              <w:top w:val="single" w:sz="4" w:space="0" w:color="auto"/>
              <w:left w:val="nil"/>
              <w:right w:val="nil"/>
            </w:tcBorders>
            <w:shd w:val="clear" w:color="auto" w:fill="auto"/>
            <w:vAlign w:val="center"/>
          </w:tcPr>
          <w:p w14:paraId="2D512552" w14:textId="77777777" w:rsidR="003658EA" w:rsidRPr="00227AAB" w:rsidRDefault="003658EA" w:rsidP="00A53996">
            <w:pPr>
              <w:spacing w:after="0" w:line="0" w:lineRule="atLeast"/>
              <w:contextualSpacing/>
              <w:rPr>
                <w:rFonts w:eastAsia="Times New Roman"/>
                <w:bCs/>
                <w:color w:val="000000"/>
                <w:sz w:val="18"/>
              </w:rPr>
            </w:pPr>
            <w:r w:rsidRPr="00227AAB">
              <w:rPr>
                <w:rFonts w:eastAsia="Times New Roman"/>
                <w:color w:val="000000"/>
                <w:sz w:val="18"/>
                <w:szCs w:val="22"/>
              </w:rPr>
              <w:t>19.05a (1.76)</w:t>
            </w:r>
          </w:p>
        </w:tc>
      </w:tr>
      <w:tr w:rsidR="003658EA" w:rsidRPr="001D6F5D" w14:paraId="7ECE7AA7" w14:textId="77777777" w:rsidTr="00A53996">
        <w:trPr>
          <w:trHeight w:val="397"/>
        </w:trPr>
        <w:tc>
          <w:tcPr>
            <w:tcW w:w="0" w:type="auto"/>
            <w:vMerge/>
            <w:tcBorders>
              <w:left w:val="nil"/>
              <w:right w:val="nil"/>
            </w:tcBorders>
            <w:vAlign w:val="center"/>
          </w:tcPr>
          <w:p w14:paraId="47011057"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0EDCB95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top w:val="nil"/>
              <w:left w:val="nil"/>
              <w:right w:val="nil"/>
            </w:tcBorders>
            <w:shd w:val="clear" w:color="auto" w:fill="auto"/>
            <w:noWrap/>
            <w:vAlign w:val="bottom"/>
          </w:tcPr>
          <w:p w14:paraId="44C003D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6.50a (4.62)</w:t>
            </w:r>
          </w:p>
        </w:tc>
        <w:tc>
          <w:tcPr>
            <w:tcW w:w="0" w:type="auto"/>
            <w:tcBorders>
              <w:top w:val="nil"/>
              <w:left w:val="nil"/>
              <w:right w:val="nil"/>
            </w:tcBorders>
            <w:shd w:val="clear" w:color="auto" w:fill="auto"/>
            <w:noWrap/>
            <w:vAlign w:val="bottom"/>
          </w:tcPr>
          <w:p w14:paraId="156148B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8.99a (2.31)</w:t>
            </w:r>
          </w:p>
        </w:tc>
        <w:tc>
          <w:tcPr>
            <w:tcW w:w="0" w:type="auto"/>
            <w:tcBorders>
              <w:top w:val="nil"/>
              <w:left w:val="nil"/>
              <w:right w:val="nil"/>
            </w:tcBorders>
            <w:shd w:val="clear" w:color="auto" w:fill="auto"/>
            <w:noWrap/>
            <w:vAlign w:val="bottom"/>
          </w:tcPr>
          <w:p w14:paraId="50308CD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5.33a (0.66)</w:t>
            </w:r>
          </w:p>
        </w:tc>
        <w:tc>
          <w:tcPr>
            <w:tcW w:w="0" w:type="auto"/>
            <w:tcBorders>
              <w:top w:val="nil"/>
              <w:left w:val="nil"/>
              <w:right w:val="nil"/>
            </w:tcBorders>
            <w:shd w:val="clear" w:color="auto" w:fill="auto"/>
            <w:noWrap/>
            <w:vAlign w:val="bottom"/>
          </w:tcPr>
          <w:p w14:paraId="719822E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2.95a (0.95)</w:t>
            </w:r>
          </w:p>
        </w:tc>
        <w:tc>
          <w:tcPr>
            <w:tcW w:w="0" w:type="auto"/>
            <w:tcBorders>
              <w:top w:val="nil"/>
              <w:left w:val="nil"/>
              <w:right w:val="nil"/>
            </w:tcBorders>
            <w:shd w:val="clear" w:color="auto" w:fill="auto"/>
            <w:vAlign w:val="center"/>
          </w:tcPr>
          <w:p w14:paraId="74807326"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27.20a (1.64)</w:t>
            </w:r>
          </w:p>
        </w:tc>
      </w:tr>
      <w:tr w:rsidR="003658EA" w:rsidRPr="001D6F5D" w14:paraId="11D0BB51" w14:textId="77777777" w:rsidTr="00A53996">
        <w:trPr>
          <w:trHeight w:val="397"/>
        </w:trPr>
        <w:tc>
          <w:tcPr>
            <w:tcW w:w="0" w:type="auto"/>
            <w:vMerge/>
            <w:tcBorders>
              <w:left w:val="nil"/>
              <w:right w:val="nil"/>
            </w:tcBorders>
            <w:vAlign w:val="center"/>
          </w:tcPr>
          <w:p w14:paraId="524450A1"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21D602F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top w:val="nil"/>
              <w:left w:val="nil"/>
              <w:right w:val="nil"/>
            </w:tcBorders>
            <w:shd w:val="clear" w:color="auto" w:fill="auto"/>
            <w:noWrap/>
            <w:vAlign w:val="bottom"/>
          </w:tcPr>
          <w:p w14:paraId="2A3D56DD"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7.15a (5.85)</w:t>
            </w:r>
          </w:p>
        </w:tc>
        <w:tc>
          <w:tcPr>
            <w:tcW w:w="0" w:type="auto"/>
            <w:tcBorders>
              <w:top w:val="nil"/>
              <w:left w:val="nil"/>
              <w:right w:val="nil"/>
            </w:tcBorders>
            <w:shd w:val="clear" w:color="auto" w:fill="auto"/>
            <w:noWrap/>
            <w:vAlign w:val="bottom"/>
          </w:tcPr>
          <w:p w14:paraId="0E3A238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11.71a</w:t>
            </w:r>
            <w:r w:rsidRPr="00227AAB">
              <w:rPr>
                <w:rFonts w:eastAsia="Times New Roman"/>
                <w:color w:val="000000"/>
                <w:sz w:val="18"/>
                <w:szCs w:val="22"/>
                <w:vertAlign w:val="superscript"/>
              </w:rPr>
              <w:t xml:space="preserve"> </w:t>
            </w:r>
            <w:r w:rsidRPr="00227AAB">
              <w:rPr>
                <w:rFonts w:eastAsia="Times New Roman"/>
                <w:color w:val="000000"/>
                <w:sz w:val="18"/>
                <w:szCs w:val="22"/>
              </w:rPr>
              <w:t>(3.17)</w:t>
            </w:r>
          </w:p>
        </w:tc>
        <w:tc>
          <w:tcPr>
            <w:tcW w:w="0" w:type="auto"/>
            <w:tcBorders>
              <w:top w:val="nil"/>
              <w:left w:val="nil"/>
              <w:right w:val="nil"/>
            </w:tcBorders>
            <w:shd w:val="clear" w:color="auto" w:fill="auto"/>
            <w:noWrap/>
            <w:vAlign w:val="bottom"/>
          </w:tcPr>
          <w:p w14:paraId="67725B5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5.77a (1.23)</w:t>
            </w:r>
          </w:p>
        </w:tc>
        <w:tc>
          <w:tcPr>
            <w:tcW w:w="0" w:type="auto"/>
            <w:tcBorders>
              <w:top w:val="nil"/>
              <w:left w:val="nil"/>
              <w:right w:val="nil"/>
            </w:tcBorders>
            <w:shd w:val="clear" w:color="auto" w:fill="auto"/>
            <w:noWrap/>
            <w:vAlign w:val="bottom"/>
          </w:tcPr>
          <w:p w14:paraId="2928171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2.67a</w:t>
            </w:r>
            <w:r w:rsidRPr="00227AAB">
              <w:rPr>
                <w:rFonts w:eastAsia="Times New Roman"/>
                <w:color w:val="000000"/>
                <w:sz w:val="18"/>
                <w:szCs w:val="22"/>
                <w:vertAlign w:val="superscript"/>
              </w:rPr>
              <w:t xml:space="preserve"> </w:t>
            </w:r>
            <w:r w:rsidRPr="00227AAB">
              <w:rPr>
                <w:rFonts w:eastAsia="Times New Roman"/>
                <w:color w:val="000000"/>
                <w:sz w:val="18"/>
                <w:szCs w:val="22"/>
              </w:rPr>
              <w:t>(1.05)</w:t>
            </w:r>
          </w:p>
        </w:tc>
        <w:tc>
          <w:tcPr>
            <w:tcW w:w="0" w:type="auto"/>
            <w:tcBorders>
              <w:top w:val="nil"/>
              <w:left w:val="nil"/>
              <w:right w:val="nil"/>
            </w:tcBorders>
            <w:shd w:val="clear" w:color="auto" w:fill="auto"/>
            <w:vAlign w:val="center"/>
          </w:tcPr>
          <w:p w14:paraId="020B97F1"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color w:val="000000"/>
                <w:sz w:val="18"/>
                <w:szCs w:val="22"/>
              </w:rPr>
              <w:t>35.35b*</w:t>
            </w:r>
            <w:r w:rsidRPr="00227AAB">
              <w:rPr>
                <w:rFonts w:eastAsia="Times New Roman"/>
                <w:color w:val="000000"/>
                <w:sz w:val="18"/>
                <w:szCs w:val="22"/>
              </w:rPr>
              <w:t xml:space="preserve"> (2.75)</w:t>
            </w:r>
          </w:p>
        </w:tc>
      </w:tr>
      <w:tr w:rsidR="003658EA" w:rsidRPr="001D6F5D" w14:paraId="6563CB39" w14:textId="77777777" w:rsidTr="00A53996">
        <w:trPr>
          <w:trHeight w:val="397"/>
        </w:trPr>
        <w:tc>
          <w:tcPr>
            <w:tcW w:w="0" w:type="auto"/>
            <w:vMerge/>
            <w:tcBorders>
              <w:left w:val="nil"/>
              <w:bottom w:val="single" w:sz="8" w:space="0" w:color="000000"/>
              <w:right w:val="nil"/>
            </w:tcBorders>
            <w:vAlign w:val="center"/>
          </w:tcPr>
          <w:p w14:paraId="0FAEBFD7"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bottom w:val="single" w:sz="4" w:space="0" w:color="auto"/>
              <w:right w:val="nil"/>
            </w:tcBorders>
            <w:shd w:val="clear" w:color="auto" w:fill="auto"/>
            <w:vAlign w:val="center"/>
          </w:tcPr>
          <w:p w14:paraId="3E024212"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left w:val="nil"/>
              <w:bottom w:val="single" w:sz="4" w:space="0" w:color="auto"/>
              <w:right w:val="nil"/>
            </w:tcBorders>
            <w:shd w:val="clear" w:color="auto" w:fill="auto"/>
            <w:noWrap/>
            <w:vAlign w:val="bottom"/>
          </w:tcPr>
          <w:p w14:paraId="77AD716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1.24a</w:t>
            </w:r>
            <w:r w:rsidRPr="00227AAB">
              <w:rPr>
                <w:rFonts w:eastAsia="Times New Roman"/>
                <w:color w:val="000000"/>
                <w:sz w:val="18"/>
                <w:szCs w:val="22"/>
                <w:vertAlign w:val="superscript"/>
              </w:rPr>
              <w:t xml:space="preserve"> </w:t>
            </w:r>
            <w:r w:rsidRPr="00227AAB">
              <w:rPr>
                <w:rFonts w:eastAsia="Times New Roman"/>
                <w:color w:val="000000"/>
                <w:sz w:val="18"/>
                <w:szCs w:val="22"/>
              </w:rPr>
              <w:t>(0.60)</w:t>
            </w:r>
          </w:p>
        </w:tc>
        <w:tc>
          <w:tcPr>
            <w:tcW w:w="0" w:type="auto"/>
            <w:tcBorders>
              <w:left w:val="nil"/>
              <w:bottom w:val="single" w:sz="8" w:space="0" w:color="auto"/>
              <w:right w:val="nil"/>
            </w:tcBorders>
            <w:shd w:val="clear" w:color="auto" w:fill="auto"/>
            <w:noWrap/>
            <w:vAlign w:val="bottom"/>
          </w:tcPr>
          <w:p w14:paraId="53E42D1F"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42.36b*</w:t>
            </w:r>
            <w:r w:rsidRPr="00227AAB">
              <w:rPr>
                <w:rFonts w:eastAsia="Times New Roman"/>
                <w:color w:val="000000"/>
                <w:sz w:val="18"/>
                <w:szCs w:val="22"/>
              </w:rPr>
              <w:t xml:space="preserve"> (11.15)</w:t>
            </w:r>
          </w:p>
        </w:tc>
        <w:tc>
          <w:tcPr>
            <w:tcW w:w="0" w:type="auto"/>
            <w:tcBorders>
              <w:left w:val="nil"/>
              <w:bottom w:val="single" w:sz="8" w:space="0" w:color="auto"/>
              <w:right w:val="nil"/>
            </w:tcBorders>
            <w:shd w:val="clear" w:color="auto" w:fill="auto"/>
            <w:noWrap/>
            <w:vAlign w:val="bottom"/>
          </w:tcPr>
          <w:p w14:paraId="73A3DAC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7.17a (0.88)</w:t>
            </w:r>
          </w:p>
        </w:tc>
        <w:tc>
          <w:tcPr>
            <w:tcW w:w="0" w:type="auto"/>
            <w:tcBorders>
              <w:left w:val="nil"/>
              <w:bottom w:val="single" w:sz="8" w:space="0" w:color="auto"/>
              <w:right w:val="nil"/>
            </w:tcBorders>
            <w:shd w:val="clear" w:color="auto" w:fill="auto"/>
            <w:noWrap/>
            <w:vAlign w:val="bottom"/>
          </w:tcPr>
          <w:p w14:paraId="700DAA7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6.64a (2.37)</w:t>
            </w:r>
          </w:p>
        </w:tc>
        <w:tc>
          <w:tcPr>
            <w:tcW w:w="0" w:type="auto"/>
            <w:tcBorders>
              <w:left w:val="nil"/>
              <w:bottom w:val="single" w:sz="8" w:space="0" w:color="auto"/>
              <w:right w:val="nil"/>
            </w:tcBorders>
            <w:shd w:val="clear" w:color="auto" w:fill="auto"/>
            <w:vAlign w:val="center"/>
          </w:tcPr>
          <w:p w14:paraId="57514F80" w14:textId="77777777" w:rsidR="003658EA" w:rsidRPr="00227AAB" w:rsidRDefault="003658EA" w:rsidP="00A53996">
            <w:pPr>
              <w:spacing w:after="0" w:line="0" w:lineRule="atLeast"/>
              <w:contextualSpacing/>
              <w:rPr>
                <w:rFonts w:eastAsia="Times New Roman"/>
                <w:color w:val="000000"/>
                <w:sz w:val="18"/>
              </w:rPr>
            </w:pPr>
            <w:r w:rsidRPr="005A55CD">
              <w:rPr>
                <w:rFonts w:eastAsia="Times New Roman"/>
                <w:b/>
                <w:bCs/>
                <w:color w:val="000000"/>
                <w:sz w:val="18"/>
                <w:szCs w:val="22"/>
              </w:rPr>
              <w:t>67.82b*</w:t>
            </w:r>
            <w:r w:rsidRPr="00227AAB">
              <w:rPr>
                <w:rFonts w:eastAsia="Times New Roman"/>
                <w:color w:val="000000"/>
                <w:sz w:val="18"/>
                <w:szCs w:val="22"/>
              </w:rPr>
              <w:t xml:space="preserve"> (5.79)</w:t>
            </w:r>
          </w:p>
        </w:tc>
      </w:tr>
      <w:tr w:rsidR="003658EA" w:rsidRPr="001D6F5D" w14:paraId="324E9B7C" w14:textId="77777777" w:rsidTr="00A53996">
        <w:trPr>
          <w:trHeight w:val="359"/>
        </w:trPr>
        <w:tc>
          <w:tcPr>
            <w:tcW w:w="0" w:type="auto"/>
            <w:vMerge w:val="restart"/>
            <w:tcBorders>
              <w:top w:val="nil"/>
              <w:left w:val="nil"/>
              <w:right w:val="nil"/>
            </w:tcBorders>
            <w:vAlign w:val="center"/>
          </w:tcPr>
          <w:p w14:paraId="40782EDC"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r w:rsidRPr="001D6F5D">
              <w:rPr>
                <w:rFonts w:ascii="Calibri" w:eastAsia="Times New Roman" w:hAnsi="Calibri" w:cs="Calibri"/>
                <w:bCs/>
                <w:color w:val="000000"/>
                <w:sz w:val="18"/>
                <w:szCs w:val="22"/>
              </w:rPr>
              <w:t>AX 1:3 B glucan</w:t>
            </w:r>
          </w:p>
        </w:tc>
        <w:tc>
          <w:tcPr>
            <w:tcW w:w="0" w:type="auto"/>
            <w:tcBorders>
              <w:top w:val="nil"/>
              <w:left w:val="nil"/>
              <w:right w:val="nil"/>
            </w:tcBorders>
            <w:shd w:val="clear" w:color="auto" w:fill="auto"/>
            <w:vAlign w:val="center"/>
          </w:tcPr>
          <w:p w14:paraId="5DAA900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nil"/>
              <w:left w:val="nil"/>
              <w:right w:val="nil"/>
            </w:tcBorders>
            <w:shd w:val="clear" w:color="auto" w:fill="auto"/>
            <w:noWrap/>
            <w:vAlign w:val="center"/>
          </w:tcPr>
          <w:p w14:paraId="7363474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2.67a (1.24)</w:t>
            </w:r>
          </w:p>
        </w:tc>
        <w:tc>
          <w:tcPr>
            <w:tcW w:w="0" w:type="auto"/>
            <w:tcBorders>
              <w:top w:val="nil"/>
              <w:left w:val="nil"/>
              <w:right w:val="nil"/>
            </w:tcBorders>
            <w:shd w:val="clear" w:color="auto" w:fill="auto"/>
            <w:noWrap/>
            <w:vAlign w:val="center"/>
          </w:tcPr>
          <w:p w14:paraId="42B29BF4" w14:textId="77777777" w:rsidR="003658EA" w:rsidRPr="00227AAB" w:rsidRDefault="003658EA" w:rsidP="00A53996">
            <w:pPr>
              <w:spacing w:after="0" w:line="0" w:lineRule="atLeast"/>
              <w:contextualSpacing/>
              <w:rPr>
                <w:rFonts w:eastAsia="Times New Roman"/>
                <w:bCs/>
                <w:color w:val="000000"/>
                <w:sz w:val="18"/>
              </w:rPr>
            </w:pPr>
            <w:r w:rsidRPr="00227AAB">
              <w:rPr>
                <w:rFonts w:eastAsia="Times New Roman"/>
                <w:color w:val="000000"/>
                <w:sz w:val="18"/>
                <w:szCs w:val="22"/>
              </w:rPr>
              <w:t>5.84</w:t>
            </w:r>
            <w:r>
              <w:rPr>
                <w:rFonts w:eastAsia="Times New Roman"/>
                <w:color w:val="000000"/>
                <w:sz w:val="18"/>
                <w:szCs w:val="22"/>
              </w:rPr>
              <w:t>a</w:t>
            </w:r>
            <w:r w:rsidRPr="00227AAB">
              <w:rPr>
                <w:rFonts w:eastAsia="Times New Roman"/>
                <w:color w:val="000000"/>
                <w:sz w:val="18"/>
                <w:szCs w:val="22"/>
              </w:rPr>
              <w:t xml:space="preserve"> (1.73)</w:t>
            </w:r>
          </w:p>
        </w:tc>
        <w:tc>
          <w:tcPr>
            <w:tcW w:w="0" w:type="auto"/>
            <w:tcBorders>
              <w:top w:val="nil"/>
              <w:left w:val="nil"/>
              <w:right w:val="nil"/>
            </w:tcBorders>
            <w:shd w:val="clear" w:color="auto" w:fill="auto"/>
            <w:noWrap/>
            <w:vAlign w:val="bottom"/>
          </w:tcPr>
          <w:p w14:paraId="5915B0C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5.84a</w:t>
            </w:r>
            <w:r w:rsidRPr="00227AAB">
              <w:rPr>
                <w:rFonts w:eastAsia="Times New Roman"/>
                <w:color w:val="000000"/>
                <w:sz w:val="18"/>
                <w:szCs w:val="22"/>
                <w:vertAlign w:val="superscript"/>
              </w:rPr>
              <w:t xml:space="preserve"> </w:t>
            </w:r>
            <w:r w:rsidRPr="00227AAB">
              <w:rPr>
                <w:rFonts w:eastAsia="Times New Roman"/>
                <w:color w:val="000000"/>
                <w:sz w:val="18"/>
                <w:szCs w:val="22"/>
              </w:rPr>
              <w:t>(2.39)</w:t>
            </w:r>
          </w:p>
        </w:tc>
        <w:tc>
          <w:tcPr>
            <w:tcW w:w="0" w:type="auto"/>
            <w:tcBorders>
              <w:top w:val="nil"/>
              <w:left w:val="nil"/>
              <w:right w:val="nil"/>
            </w:tcBorders>
            <w:shd w:val="clear" w:color="auto" w:fill="auto"/>
            <w:noWrap/>
            <w:vAlign w:val="bottom"/>
          </w:tcPr>
          <w:p w14:paraId="302C045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2.94a (1.28)</w:t>
            </w:r>
          </w:p>
        </w:tc>
        <w:tc>
          <w:tcPr>
            <w:tcW w:w="0" w:type="auto"/>
            <w:tcBorders>
              <w:top w:val="nil"/>
              <w:left w:val="nil"/>
              <w:right w:val="nil"/>
            </w:tcBorders>
            <w:shd w:val="clear" w:color="auto" w:fill="auto"/>
            <w:vAlign w:val="center"/>
          </w:tcPr>
          <w:p w14:paraId="23B00222" w14:textId="77777777" w:rsidR="003658EA" w:rsidRPr="00227AAB" w:rsidRDefault="003658EA" w:rsidP="00A53996">
            <w:pPr>
              <w:spacing w:after="0" w:line="0" w:lineRule="atLeast"/>
              <w:contextualSpacing/>
              <w:rPr>
                <w:rFonts w:eastAsia="Times New Roman"/>
                <w:bCs/>
                <w:color w:val="000000"/>
                <w:sz w:val="18"/>
              </w:rPr>
            </w:pPr>
            <w:r w:rsidRPr="00227AAB">
              <w:rPr>
                <w:rFonts w:eastAsia="Times New Roman"/>
                <w:color w:val="000000"/>
                <w:sz w:val="18"/>
                <w:szCs w:val="22"/>
              </w:rPr>
              <w:t>24.16a (1.22)</w:t>
            </w:r>
          </w:p>
        </w:tc>
      </w:tr>
      <w:tr w:rsidR="003658EA" w:rsidRPr="001D6F5D" w14:paraId="05EB3A54" w14:textId="77777777" w:rsidTr="00A53996">
        <w:trPr>
          <w:trHeight w:val="397"/>
        </w:trPr>
        <w:tc>
          <w:tcPr>
            <w:tcW w:w="0" w:type="auto"/>
            <w:vMerge/>
            <w:tcBorders>
              <w:left w:val="nil"/>
              <w:right w:val="nil"/>
            </w:tcBorders>
            <w:vAlign w:val="center"/>
          </w:tcPr>
          <w:p w14:paraId="0CAFA251"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48F2AEB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top w:val="nil"/>
              <w:left w:val="nil"/>
              <w:right w:val="nil"/>
            </w:tcBorders>
            <w:shd w:val="clear" w:color="auto" w:fill="auto"/>
            <w:noWrap/>
            <w:vAlign w:val="bottom"/>
          </w:tcPr>
          <w:p w14:paraId="2126035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5.47a (3.40)</w:t>
            </w:r>
          </w:p>
        </w:tc>
        <w:tc>
          <w:tcPr>
            <w:tcW w:w="0" w:type="auto"/>
            <w:tcBorders>
              <w:top w:val="nil"/>
              <w:left w:val="nil"/>
              <w:right w:val="nil"/>
            </w:tcBorders>
            <w:shd w:val="clear" w:color="auto" w:fill="auto"/>
            <w:noWrap/>
            <w:vAlign w:val="bottom"/>
          </w:tcPr>
          <w:p w14:paraId="4A5AFE6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8.29a (2.83)</w:t>
            </w:r>
          </w:p>
        </w:tc>
        <w:tc>
          <w:tcPr>
            <w:tcW w:w="0" w:type="auto"/>
            <w:tcBorders>
              <w:top w:val="nil"/>
              <w:left w:val="nil"/>
              <w:right w:val="nil"/>
            </w:tcBorders>
            <w:shd w:val="clear" w:color="auto" w:fill="auto"/>
            <w:noWrap/>
            <w:vAlign w:val="bottom"/>
          </w:tcPr>
          <w:p w14:paraId="1FDF123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5.10a (0.79)</w:t>
            </w:r>
          </w:p>
        </w:tc>
        <w:tc>
          <w:tcPr>
            <w:tcW w:w="0" w:type="auto"/>
            <w:tcBorders>
              <w:top w:val="nil"/>
              <w:left w:val="nil"/>
              <w:right w:val="nil"/>
            </w:tcBorders>
            <w:shd w:val="clear" w:color="auto" w:fill="auto"/>
            <w:noWrap/>
            <w:vAlign w:val="bottom"/>
          </w:tcPr>
          <w:p w14:paraId="4BCB4696"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1.67a</w:t>
            </w:r>
            <w:r w:rsidRPr="00227AAB">
              <w:rPr>
                <w:rFonts w:eastAsia="Times New Roman"/>
                <w:color w:val="000000"/>
                <w:sz w:val="18"/>
                <w:szCs w:val="22"/>
                <w:vertAlign w:val="superscript"/>
              </w:rPr>
              <w:t xml:space="preserve"> </w:t>
            </w:r>
            <w:r w:rsidRPr="00227AAB">
              <w:rPr>
                <w:rFonts w:eastAsia="Times New Roman"/>
                <w:color w:val="000000"/>
                <w:sz w:val="18"/>
                <w:szCs w:val="22"/>
              </w:rPr>
              <w:t>(0.24)</w:t>
            </w:r>
          </w:p>
        </w:tc>
        <w:tc>
          <w:tcPr>
            <w:tcW w:w="0" w:type="auto"/>
            <w:tcBorders>
              <w:top w:val="nil"/>
              <w:left w:val="nil"/>
              <w:right w:val="nil"/>
            </w:tcBorders>
            <w:shd w:val="clear" w:color="auto" w:fill="auto"/>
            <w:vAlign w:val="center"/>
          </w:tcPr>
          <w:p w14:paraId="505FCA9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26.04a (1.96)</w:t>
            </w:r>
          </w:p>
        </w:tc>
      </w:tr>
      <w:tr w:rsidR="003658EA" w:rsidRPr="001D6F5D" w14:paraId="371B8C7A" w14:textId="77777777" w:rsidTr="00A53996">
        <w:trPr>
          <w:trHeight w:val="397"/>
        </w:trPr>
        <w:tc>
          <w:tcPr>
            <w:tcW w:w="0" w:type="auto"/>
            <w:vMerge/>
            <w:tcBorders>
              <w:left w:val="nil"/>
              <w:right w:val="nil"/>
            </w:tcBorders>
            <w:vAlign w:val="center"/>
          </w:tcPr>
          <w:p w14:paraId="2C296296"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4AB7E59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top w:val="nil"/>
              <w:left w:val="nil"/>
              <w:right w:val="nil"/>
            </w:tcBorders>
            <w:shd w:val="clear" w:color="auto" w:fill="auto"/>
            <w:noWrap/>
            <w:vAlign w:val="bottom"/>
          </w:tcPr>
          <w:p w14:paraId="0BEEB3A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5.42a (3.41)</w:t>
            </w:r>
          </w:p>
        </w:tc>
        <w:tc>
          <w:tcPr>
            <w:tcW w:w="0" w:type="auto"/>
            <w:tcBorders>
              <w:top w:val="nil"/>
              <w:left w:val="nil"/>
              <w:right w:val="nil"/>
            </w:tcBorders>
            <w:shd w:val="clear" w:color="auto" w:fill="auto"/>
            <w:noWrap/>
            <w:vAlign w:val="bottom"/>
          </w:tcPr>
          <w:p w14:paraId="5F70096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7.25a (1.79)</w:t>
            </w:r>
          </w:p>
        </w:tc>
        <w:tc>
          <w:tcPr>
            <w:tcW w:w="0" w:type="auto"/>
            <w:tcBorders>
              <w:top w:val="nil"/>
              <w:left w:val="nil"/>
              <w:right w:val="nil"/>
            </w:tcBorders>
            <w:shd w:val="clear" w:color="auto" w:fill="auto"/>
            <w:noWrap/>
            <w:vAlign w:val="bottom"/>
          </w:tcPr>
          <w:p w14:paraId="6825A389"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11.56b (2.74)</w:t>
            </w:r>
          </w:p>
        </w:tc>
        <w:tc>
          <w:tcPr>
            <w:tcW w:w="0" w:type="auto"/>
            <w:tcBorders>
              <w:top w:val="nil"/>
              <w:left w:val="nil"/>
              <w:right w:val="nil"/>
            </w:tcBorders>
            <w:shd w:val="clear" w:color="auto" w:fill="auto"/>
            <w:noWrap/>
            <w:vAlign w:val="bottom"/>
          </w:tcPr>
          <w:p w14:paraId="06FFA6E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2.96a (0.78)</w:t>
            </w:r>
          </w:p>
        </w:tc>
        <w:tc>
          <w:tcPr>
            <w:tcW w:w="0" w:type="auto"/>
            <w:tcBorders>
              <w:top w:val="nil"/>
              <w:left w:val="nil"/>
              <w:right w:val="nil"/>
            </w:tcBorders>
            <w:shd w:val="clear" w:color="auto" w:fill="auto"/>
            <w:vAlign w:val="center"/>
          </w:tcPr>
          <w:p w14:paraId="18B371A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36.58b (2.53)</w:t>
            </w:r>
          </w:p>
        </w:tc>
      </w:tr>
      <w:tr w:rsidR="003658EA" w:rsidRPr="001D6F5D" w14:paraId="278AC8E3" w14:textId="77777777" w:rsidTr="00A53996">
        <w:trPr>
          <w:trHeight w:val="397"/>
        </w:trPr>
        <w:tc>
          <w:tcPr>
            <w:tcW w:w="0" w:type="auto"/>
            <w:vMerge/>
            <w:tcBorders>
              <w:left w:val="nil"/>
              <w:bottom w:val="single" w:sz="8" w:space="0" w:color="000000"/>
              <w:right w:val="nil"/>
            </w:tcBorders>
            <w:vAlign w:val="center"/>
          </w:tcPr>
          <w:p w14:paraId="36E8ED60"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bottom w:val="single" w:sz="4" w:space="0" w:color="auto"/>
              <w:right w:val="nil"/>
            </w:tcBorders>
            <w:shd w:val="clear" w:color="auto" w:fill="auto"/>
            <w:vAlign w:val="center"/>
          </w:tcPr>
          <w:p w14:paraId="20E7598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left w:val="nil"/>
              <w:bottom w:val="single" w:sz="4" w:space="0" w:color="auto"/>
              <w:right w:val="nil"/>
            </w:tcBorders>
            <w:shd w:val="clear" w:color="auto" w:fill="auto"/>
            <w:noWrap/>
            <w:vAlign w:val="bottom"/>
          </w:tcPr>
          <w:p w14:paraId="6662B88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1.68a (0.48)</w:t>
            </w:r>
          </w:p>
        </w:tc>
        <w:tc>
          <w:tcPr>
            <w:tcW w:w="0" w:type="auto"/>
            <w:tcBorders>
              <w:left w:val="nil"/>
              <w:bottom w:val="single" w:sz="8" w:space="0" w:color="auto"/>
              <w:right w:val="nil"/>
            </w:tcBorders>
            <w:shd w:val="clear" w:color="auto" w:fill="auto"/>
            <w:noWrap/>
            <w:vAlign w:val="bottom"/>
          </w:tcPr>
          <w:p w14:paraId="744F0CF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15.96a (5.26)</w:t>
            </w:r>
          </w:p>
        </w:tc>
        <w:tc>
          <w:tcPr>
            <w:tcW w:w="0" w:type="auto"/>
            <w:tcBorders>
              <w:left w:val="nil"/>
              <w:bottom w:val="single" w:sz="8" w:space="0" w:color="auto"/>
              <w:right w:val="nil"/>
            </w:tcBorders>
            <w:shd w:val="clear" w:color="auto" w:fill="auto"/>
            <w:noWrap/>
            <w:vAlign w:val="bottom"/>
          </w:tcPr>
          <w:p w14:paraId="17B1DA8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6.63a (0.58)</w:t>
            </w:r>
          </w:p>
        </w:tc>
        <w:tc>
          <w:tcPr>
            <w:tcW w:w="0" w:type="auto"/>
            <w:tcBorders>
              <w:left w:val="nil"/>
              <w:bottom w:val="single" w:sz="8" w:space="0" w:color="auto"/>
              <w:right w:val="nil"/>
            </w:tcBorders>
            <w:shd w:val="clear" w:color="auto" w:fill="auto"/>
            <w:noWrap/>
            <w:vAlign w:val="bottom"/>
          </w:tcPr>
          <w:p w14:paraId="1D18D1F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4.74a</w:t>
            </w:r>
            <w:r w:rsidRPr="00227AAB">
              <w:rPr>
                <w:rFonts w:eastAsia="Times New Roman"/>
                <w:color w:val="000000"/>
                <w:sz w:val="18"/>
                <w:szCs w:val="22"/>
                <w:vertAlign w:val="superscript"/>
              </w:rPr>
              <w:t xml:space="preserve"> </w:t>
            </w:r>
            <w:r w:rsidRPr="00227AAB">
              <w:rPr>
                <w:rFonts w:eastAsia="Times New Roman"/>
                <w:color w:val="000000"/>
                <w:sz w:val="18"/>
                <w:szCs w:val="22"/>
              </w:rPr>
              <w:t>(1.15)</w:t>
            </w:r>
          </w:p>
        </w:tc>
        <w:tc>
          <w:tcPr>
            <w:tcW w:w="0" w:type="auto"/>
            <w:tcBorders>
              <w:left w:val="nil"/>
              <w:bottom w:val="single" w:sz="8" w:space="0" w:color="auto"/>
              <w:right w:val="nil"/>
            </w:tcBorders>
            <w:shd w:val="clear" w:color="auto" w:fill="auto"/>
            <w:vAlign w:val="center"/>
          </w:tcPr>
          <w:p w14:paraId="5C3CE785"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36.11a (3.57)</w:t>
            </w:r>
          </w:p>
        </w:tc>
      </w:tr>
      <w:tr w:rsidR="003658EA" w:rsidRPr="001D6F5D" w14:paraId="0D9381F4" w14:textId="77777777" w:rsidTr="00A53996">
        <w:trPr>
          <w:trHeight w:val="397"/>
        </w:trPr>
        <w:tc>
          <w:tcPr>
            <w:tcW w:w="0" w:type="auto"/>
            <w:vMerge w:val="restart"/>
            <w:tcBorders>
              <w:top w:val="nil"/>
              <w:left w:val="nil"/>
              <w:right w:val="nil"/>
            </w:tcBorders>
            <w:vAlign w:val="center"/>
          </w:tcPr>
          <w:p w14:paraId="124971B4"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r w:rsidRPr="001D6F5D">
              <w:rPr>
                <w:rFonts w:ascii="Calibri" w:eastAsia="Times New Roman" w:hAnsi="Calibri" w:cs="Calibri"/>
                <w:bCs/>
                <w:color w:val="000000"/>
                <w:sz w:val="18"/>
                <w:szCs w:val="22"/>
              </w:rPr>
              <w:t>B glucan</w:t>
            </w:r>
          </w:p>
        </w:tc>
        <w:tc>
          <w:tcPr>
            <w:tcW w:w="0" w:type="auto"/>
            <w:tcBorders>
              <w:top w:val="nil"/>
              <w:left w:val="nil"/>
              <w:right w:val="nil"/>
            </w:tcBorders>
            <w:shd w:val="clear" w:color="auto" w:fill="auto"/>
            <w:vAlign w:val="center"/>
          </w:tcPr>
          <w:p w14:paraId="269BB39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w:t>
            </w:r>
          </w:p>
        </w:tc>
        <w:tc>
          <w:tcPr>
            <w:tcW w:w="0" w:type="auto"/>
            <w:tcBorders>
              <w:top w:val="nil"/>
              <w:left w:val="nil"/>
              <w:right w:val="nil"/>
            </w:tcBorders>
            <w:shd w:val="clear" w:color="auto" w:fill="auto"/>
            <w:noWrap/>
            <w:vAlign w:val="bottom"/>
          </w:tcPr>
          <w:p w14:paraId="3E44D62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0.87a (0.41)</w:t>
            </w:r>
          </w:p>
        </w:tc>
        <w:tc>
          <w:tcPr>
            <w:tcW w:w="0" w:type="auto"/>
            <w:tcBorders>
              <w:top w:val="nil"/>
              <w:left w:val="nil"/>
              <w:right w:val="nil"/>
            </w:tcBorders>
            <w:shd w:val="clear" w:color="auto" w:fill="auto"/>
            <w:noWrap/>
            <w:vAlign w:val="bottom"/>
          </w:tcPr>
          <w:p w14:paraId="71D9A35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3.75</w:t>
            </w:r>
            <w:r>
              <w:rPr>
                <w:rFonts w:eastAsia="Times New Roman"/>
                <w:color w:val="000000"/>
                <w:sz w:val="18"/>
                <w:szCs w:val="22"/>
              </w:rPr>
              <w:t>a</w:t>
            </w:r>
            <w:r w:rsidRPr="00227AAB">
              <w:rPr>
                <w:rFonts w:eastAsia="Times New Roman"/>
                <w:color w:val="000000"/>
                <w:sz w:val="18"/>
                <w:szCs w:val="22"/>
              </w:rPr>
              <w:t xml:space="preserve"> (0.89)</w:t>
            </w:r>
          </w:p>
        </w:tc>
        <w:tc>
          <w:tcPr>
            <w:tcW w:w="0" w:type="auto"/>
            <w:tcBorders>
              <w:top w:val="nil"/>
              <w:left w:val="nil"/>
              <w:right w:val="nil"/>
            </w:tcBorders>
            <w:shd w:val="clear" w:color="auto" w:fill="auto"/>
            <w:noWrap/>
            <w:vAlign w:val="bottom"/>
          </w:tcPr>
          <w:p w14:paraId="455CFBE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4.68a</w:t>
            </w:r>
            <w:r w:rsidRPr="00227AAB">
              <w:rPr>
                <w:rFonts w:eastAsia="Times New Roman"/>
                <w:color w:val="000000"/>
                <w:sz w:val="18"/>
                <w:szCs w:val="22"/>
                <w:vertAlign w:val="superscript"/>
              </w:rPr>
              <w:t xml:space="preserve"> </w:t>
            </w:r>
            <w:r w:rsidRPr="00227AAB">
              <w:rPr>
                <w:rFonts w:eastAsia="Times New Roman"/>
                <w:color w:val="000000"/>
                <w:sz w:val="18"/>
                <w:szCs w:val="22"/>
              </w:rPr>
              <w:t>(1.17)</w:t>
            </w:r>
          </w:p>
        </w:tc>
        <w:tc>
          <w:tcPr>
            <w:tcW w:w="0" w:type="auto"/>
            <w:tcBorders>
              <w:top w:val="nil"/>
              <w:left w:val="nil"/>
              <w:right w:val="nil"/>
            </w:tcBorders>
            <w:shd w:val="clear" w:color="auto" w:fill="auto"/>
            <w:noWrap/>
            <w:vAlign w:val="bottom"/>
          </w:tcPr>
          <w:p w14:paraId="1B38B3F2"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1.70a</w:t>
            </w:r>
            <w:r w:rsidRPr="00227AAB">
              <w:rPr>
                <w:rFonts w:eastAsia="Times New Roman"/>
                <w:color w:val="000000"/>
                <w:sz w:val="18"/>
                <w:szCs w:val="22"/>
                <w:vertAlign w:val="superscript"/>
              </w:rPr>
              <w:t xml:space="preserve"> </w:t>
            </w:r>
            <w:r w:rsidRPr="00227AAB">
              <w:rPr>
                <w:rFonts w:eastAsia="Times New Roman"/>
                <w:color w:val="000000"/>
                <w:sz w:val="18"/>
                <w:szCs w:val="22"/>
              </w:rPr>
              <w:t>(0.44)</w:t>
            </w:r>
          </w:p>
        </w:tc>
        <w:tc>
          <w:tcPr>
            <w:tcW w:w="0" w:type="auto"/>
            <w:tcBorders>
              <w:top w:val="nil"/>
              <w:left w:val="nil"/>
              <w:right w:val="nil"/>
            </w:tcBorders>
            <w:shd w:val="clear" w:color="auto" w:fill="auto"/>
            <w:vAlign w:val="center"/>
          </w:tcPr>
          <w:p w14:paraId="695C1B6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15.54a (1.16)</w:t>
            </w:r>
          </w:p>
        </w:tc>
      </w:tr>
      <w:tr w:rsidR="003658EA" w:rsidRPr="001D6F5D" w14:paraId="3A0D4A65" w14:textId="77777777" w:rsidTr="00A53996">
        <w:trPr>
          <w:trHeight w:val="397"/>
        </w:trPr>
        <w:tc>
          <w:tcPr>
            <w:tcW w:w="0" w:type="auto"/>
            <w:vMerge/>
            <w:tcBorders>
              <w:left w:val="nil"/>
              <w:right w:val="nil"/>
            </w:tcBorders>
            <w:vAlign w:val="center"/>
          </w:tcPr>
          <w:p w14:paraId="6EED3113"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1C80920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w:t>
            </w:r>
          </w:p>
        </w:tc>
        <w:tc>
          <w:tcPr>
            <w:tcW w:w="0" w:type="auto"/>
            <w:tcBorders>
              <w:top w:val="nil"/>
              <w:left w:val="nil"/>
              <w:right w:val="nil"/>
            </w:tcBorders>
            <w:shd w:val="clear" w:color="auto" w:fill="auto"/>
            <w:noWrap/>
            <w:vAlign w:val="bottom"/>
          </w:tcPr>
          <w:p w14:paraId="0B6ECE38"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2.78a</w:t>
            </w:r>
            <w:r w:rsidRPr="00227AAB">
              <w:rPr>
                <w:rFonts w:eastAsia="Times New Roman"/>
                <w:color w:val="000000"/>
                <w:sz w:val="18"/>
                <w:szCs w:val="22"/>
                <w:vertAlign w:val="superscript"/>
              </w:rPr>
              <w:t xml:space="preserve"> </w:t>
            </w:r>
            <w:r w:rsidRPr="00227AAB">
              <w:rPr>
                <w:rFonts w:eastAsia="Times New Roman"/>
                <w:color w:val="000000"/>
                <w:sz w:val="18"/>
                <w:szCs w:val="22"/>
              </w:rPr>
              <w:t>(1.22)</w:t>
            </w:r>
          </w:p>
        </w:tc>
        <w:tc>
          <w:tcPr>
            <w:tcW w:w="0" w:type="auto"/>
            <w:tcBorders>
              <w:top w:val="nil"/>
              <w:left w:val="nil"/>
              <w:right w:val="nil"/>
            </w:tcBorders>
            <w:shd w:val="clear" w:color="auto" w:fill="auto"/>
            <w:noWrap/>
            <w:vAlign w:val="bottom"/>
          </w:tcPr>
          <w:p w14:paraId="34E9EC3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4.09a (0.86)</w:t>
            </w:r>
          </w:p>
        </w:tc>
        <w:tc>
          <w:tcPr>
            <w:tcW w:w="0" w:type="auto"/>
            <w:tcBorders>
              <w:top w:val="nil"/>
              <w:left w:val="nil"/>
              <w:right w:val="nil"/>
            </w:tcBorders>
            <w:shd w:val="clear" w:color="auto" w:fill="auto"/>
            <w:noWrap/>
            <w:vAlign w:val="bottom"/>
          </w:tcPr>
          <w:p w14:paraId="0D1905A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3.38a</w:t>
            </w:r>
            <w:r w:rsidRPr="00227AAB">
              <w:rPr>
                <w:rFonts w:eastAsia="Times New Roman"/>
                <w:color w:val="000000"/>
                <w:sz w:val="18"/>
                <w:szCs w:val="22"/>
                <w:vertAlign w:val="superscript"/>
              </w:rPr>
              <w:t xml:space="preserve"> </w:t>
            </w:r>
            <w:r w:rsidRPr="00227AAB">
              <w:rPr>
                <w:rFonts w:eastAsia="Times New Roman"/>
                <w:color w:val="000000"/>
                <w:sz w:val="18"/>
                <w:szCs w:val="22"/>
              </w:rPr>
              <w:t>(0.49)</w:t>
            </w:r>
          </w:p>
        </w:tc>
        <w:tc>
          <w:tcPr>
            <w:tcW w:w="0" w:type="auto"/>
            <w:tcBorders>
              <w:top w:val="nil"/>
              <w:left w:val="nil"/>
              <w:right w:val="nil"/>
            </w:tcBorders>
            <w:shd w:val="clear" w:color="auto" w:fill="auto"/>
            <w:noWrap/>
            <w:vAlign w:val="bottom"/>
          </w:tcPr>
          <w:p w14:paraId="13FBA10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1.03a (0.15)</w:t>
            </w:r>
          </w:p>
        </w:tc>
        <w:tc>
          <w:tcPr>
            <w:tcW w:w="0" w:type="auto"/>
            <w:tcBorders>
              <w:top w:val="nil"/>
              <w:left w:val="nil"/>
              <w:right w:val="nil"/>
            </w:tcBorders>
            <w:shd w:val="clear" w:color="auto" w:fill="auto"/>
            <w:vAlign w:val="center"/>
          </w:tcPr>
          <w:p w14:paraId="375E5C72"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14.57a</w:t>
            </w:r>
            <w:r w:rsidRPr="00227AAB">
              <w:rPr>
                <w:rFonts w:eastAsia="Times New Roman"/>
                <w:color w:val="000000"/>
                <w:sz w:val="18"/>
                <w:szCs w:val="22"/>
                <w:vertAlign w:val="superscript"/>
              </w:rPr>
              <w:t xml:space="preserve"> </w:t>
            </w:r>
            <w:r w:rsidRPr="00227AAB">
              <w:rPr>
                <w:rFonts w:eastAsia="Times New Roman"/>
                <w:color w:val="000000"/>
                <w:sz w:val="18"/>
                <w:szCs w:val="22"/>
              </w:rPr>
              <w:t>(1.01)</w:t>
            </w:r>
          </w:p>
        </w:tc>
      </w:tr>
      <w:tr w:rsidR="003658EA" w:rsidRPr="001D6F5D" w14:paraId="646307CA" w14:textId="77777777" w:rsidTr="00A53996">
        <w:trPr>
          <w:trHeight w:val="271"/>
        </w:trPr>
        <w:tc>
          <w:tcPr>
            <w:tcW w:w="0" w:type="auto"/>
            <w:vMerge/>
            <w:tcBorders>
              <w:left w:val="nil"/>
              <w:right w:val="nil"/>
            </w:tcBorders>
            <w:vAlign w:val="center"/>
          </w:tcPr>
          <w:p w14:paraId="2AEBDB63"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top w:val="nil"/>
              <w:left w:val="nil"/>
              <w:right w:val="nil"/>
            </w:tcBorders>
            <w:shd w:val="clear" w:color="auto" w:fill="auto"/>
            <w:vAlign w:val="center"/>
          </w:tcPr>
          <w:p w14:paraId="354C1E83"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8</w:t>
            </w:r>
          </w:p>
        </w:tc>
        <w:tc>
          <w:tcPr>
            <w:tcW w:w="0" w:type="auto"/>
            <w:tcBorders>
              <w:top w:val="nil"/>
              <w:left w:val="nil"/>
              <w:right w:val="nil"/>
            </w:tcBorders>
            <w:shd w:val="clear" w:color="auto" w:fill="auto"/>
            <w:noWrap/>
            <w:vAlign w:val="bottom"/>
          </w:tcPr>
          <w:p w14:paraId="443B4E3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2.78a</w:t>
            </w:r>
            <w:r w:rsidRPr="00227AAB">
              <w:rPr>
                <w:rFonts w:eastAsia="Times New Roman"/>
                <w:color w:val="000000"/>
                <w:sz w:val="18"/>
                <w:szCs w:val="22"/>
                <w:vertAlign w:val="superscript"/>
              </w:rPr>
              <w:t xml:space="preserve"> </w:t>
            </w:r>
            <w:r w:rsidRPr="00227AAB">
              <w:rPr>
                <w:rFonts w:eastAsia="Times New Roman"/>
                <w:color w:val="000000"/>
                <w:sz w:val="18"/>
                <w:szCs w:val="22"/>
              </w:rPr>
              <w:t>(1.02)</w:t>
            </w:r>
          </w:p>
        </w:tc>
        <w:tc>
          <w:tcPr>
            <w:tcW w:w="0" w:type="auto"/>
            <w:tcBorders>
              <w:top w:val="nil"/>
              <w:left w:val="nil"/>
              <w:right w:val="nil"/>
            </w:tcBorders>
            <w:shd w:val="clear" w:color="auto" w:fill="auto"/>
            <w:noWrap/>
            <w:vAlign w:val="bottom"/>
          </w:tcPr>
          <w:p w14:paraId="3235ABB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5.65a (1.38)</w:t>
            </w:r>
          </w:p>
        </w:tc>
        <w:tc>
          <w:tcPr>
            <w:tcW w:w="0" w:type="auto"/>
            <w:tcBorders>
              <w:top w:val="nil"/>
              <w:left w:val="nil"/>
              <w:right w:val="nil"/>
            </w:tcBorders>
            <w:shd w:val="clear" w:color="auto" w:fill="auto"/>
            <w:noWrap/>
            <w:vAlign w:val="bottom"/>
          </w:tcPr>
          <w:p w14:paraId="500A5E3B"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4.67a</w:t>
            </w:r>
            <w:r w:rsidRPr="00227AAB">
              <w:rPr>
                <w:rFonts w:eastAsia="Times New Roman"/>
                <w:color w:val="000000"/>
                <w:sz w:val="18"/>
                <w:szCs w:val="22"/>
                <w:vertAlign w:val="superscript"/>
              </w:rPr>
              <w:t xml:space="preserve"> </w:t>
            </w:r>
            <w:r w:rsidRPr="00227AAB">
              <w:rPr>
                <w:rFonts w:eastAsia="Times New Roman"/>
                <w:color w:val="000000"/>
                <w:sz w:val="18"/>
                <w:szCs w:val="22"/>
              </w:rPr>
              <w:t>(0.99)</w:t>
            </w:r>
          </w:p>
        </w:tc>
        <w:tc>
          <w:tcPr>
            <w:tcW w:w="0" w:type="auto"/>
            <w:tcBorders>
              <w:top w:val="nil"/>
              <w:left w:val="nil"/>
              <w:right w:val="nil"/>
            </w:tcBorders>
            <w:shd w:val="clear" w:color="auto" w:fill="auto"/>
            <w:noWrap/>
            <w:vAlign w:val="bottom"/>
          </w:tcPr>
          <w:p w14:paraId="38CDDED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1.33a (0.33)</w:t>
            </w:r>
          </w:p>
        </w:tc>
        <w:tc>
          <w:tcPr>
            <w:tcW w:w="0" w:type="auto"/>
            <w:tcBorders>
              <w:top w:val="nil"/>
              <w:left w:val="nil"/>
              <w:right w:val="nil"/>
            </w:tcBorders>
            <w:shd w:val="clear" w:color="auto" w:fill="auto"/>
            <w:vAlign w:val="center"/>
          </w:tcPr>
          <w:p w14:paraId="4CEABD0A"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18.12a (1.12)</w:t>
            </w:r>
          </w:p>
        </w:tc>
      </w:tr>
      <w:tr w:rsidR="003658EA" w:rsidRPr="001D6F5D" w14:paraId="5F3A262B" w14:textId="77777777" w:rsidTr="00A53996">
        <w:trPr>
          <w:trHeight w:val="397"/>
        </w:trPr>
        <w:tc>
          <w:tcPr>
            <w:tcW w:w="0" w:type="auto"/>
            <w:vMerge/>
            <w:tcBorders>
              <w:left w:val="nil"/>
              <w:right w:val="nil"/>
            </w:tcBorders>
            <w:vAlign w:val="center"/>
          </w:tcPr>
          <w:p w14:paraId="462EC472"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right w:val="nil"/>
            </w:tcBorders>
            <w:shd w:val="clear" w:color="auto" w:fill="auto"/>
            <w:vAlign w:val="center"/>
          </w:tcPr>
          <w:p w14:paraId="0B33311E"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24</w:t>
            </w:r>
          </w:p>
        </w:tc>
        <w:tc>
          <w:tcPr>
            <w:tcW w:w="0" w:type="auto"/>
            <w:tcBorders>
              <w:left w:val="nil"/>
              <w:right w:val="nil"/>
            </w:tcBorders>
            <w:shd w:val="clear" w:color="auto" w:fill="auto"/>
            <w:noWrap/>
            <w:vAlign w:val="bottom"/>
          </w:tcPr>
          <w:p w14:paraId="45F00E5C"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2.72a (0.97)</w:t>
            </w:r>
          </w:p>
        </w:tc>
        <w:tc>
          <w:tcPr>
            <w:tcW w:w="0" w:type="auto"/>
            <w:tcBorders>
              <w:left w:val="nil"/>
              <w:right w:val="nil"/>
            </w:tcBorders>
            <w:shd w:val="clear" w:color="auto" w:fill="auto"/>
            <w:noWrap/>
            <w:vAlign w:val="bottom"/>
          </w:tcPr>
          <w:p w14:paraId="2563BDAF"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11.49</w:t>
            </w:r>
            <w:r>
              <w:rPr>
                <w:rFonts w:eastAsia="Times New Roman"/>
                <w:color w:val="000000"/>
                <w:sz w:val="18"/>
                <w:szCs w:val="22"/>
              </w:rPr>
              <w:t>b</w:t>
            </w:r>
            <w:r w:rsidRPr="00227AAB">
              <w:rPr>
                <w:rFonts w:eastAsia="Times New Roman"/>
                <w:color w:val="000000"/>
                <w:sz w:val="18"/>
                <w:szCs w:val="22"/>
                <w:vertAlign w:val="superscript"/>
              </w:rPr>
              <w:t xml:space="preserve"> </w:t>
            </w:r>
            <w:r w:rsidRPr="00227AAB">
              <w:rPr>
                <w:rFonts w:eastAsia="Times New Roman"/>
                <w:color w:val="000000"/>
                <w:sz w:val="18"/>
                <w:szCs w:val="22"/>
              </w:rPr>
              <w:t>(2.90)</w:t>
            </w:r>
          </w:p>
        </w:tc>
        <w:tc>
          <w:tcPr>
            <w:tcW w:w="0" w:type="auto"/>
            <w:tcBorders>
              <w:left w:val="nil"/>
              <w:right w:val="nil"/>
            </w:tcBorders>
            <w:shd w:val="clear" w:color="auto" w:fill="auto"/>
            <w:noWrap/>
            <w:vAlign w:val="bottom"/>
          </w:tcPr>
          <w:p w14:paraId="7E70A961"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5.71a</w:t>
            </w:r>
            <w:r w:rsidRPr="00227AAB">
              <w:rPr>
                <w:rFonts w:eastAsia="Times New Roman"/>
                <w:color w:val="000000"/>
                <w:sz w:val="18"/>
                <w:szCs w:val="22"/>
                <w:vertAlign w:val="superscript"/>
              </w:rPr>
              <w:t xml:space="preserve"> </w:t>
            </w:r>
            <w:r w:rsidRPr="00227AAB">
              <w:rPr>
                <w:rFonts w:eastAsia="Times New Roman"/>
                <w:color w:val="000000"/>
                <w:sz w:val="18"/>
                <w:szCs w:val="22"/>
              </w:rPr>
              <w:t>(1.42)</w:t>
            </w:r>
          </w:p>
        </w:tc>
        <w:tc>
          <w:tcPr>
            <w:tcW w:w="0" w:type="auto"/>
            <w:tcBorders>
              <w:left w:val="nil"/>
              <w:right w:val="nil"/>
            </w:tcBorders>
            <w:shd w:val="clear" w:color="auto" w:fill="auto"/>
            <w:noWrap/>
            <w:vAlign w:val="bottom"/>
          </w:tcPr>
          <w:p w14:paraId="431EE107"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1.69a (0.29)</w:t>
            </w:r>
          </w:p>
        </w:tc>
        <w:tc>
          <w:tcPr>
            <w:tcW w:w="0" w:type="auto"/>
            <w:tcBorders>
              <w:left w:val="nil"/>
              <w:right w:val="nil"/>
            </w:tcBorders>
            <w:shd w:val="clear" w:color="auto" w:fill="auto"/>
            <w:vAlign w:val="center"/>
          </w:tcPr>
          <w:p w14:paraId="12ABADE0" w14:textId="77777777" w:rsidR="003658EA" w:rsidRPr="00227AAB" w:rsidRDefault="003658EA" w:rsidP="00A53996">
            <w:pPr>
              <w:spacing w:after="0" w:line="0" w:lineRule="atLeast"/>
              <w:contextualSpacing/>
              <w:rPr>
                <w:rFonts w:eastAsia="Times New Roman"/>
                <w:color w:val="000000"/>
                <w:sz w:val="18"/>
              </w:rPr>
            </w:pPr>
            <w:r w:rsidRPr="00227AAB">
              <w:rPr>
                <w:rFonts w:eastAsia="Times New Roman"/>
                <w:color w:val="000000"/>
                <w:sz w:val="18"/>
                <w:szCs w:val="22"/>
              </w:rPr>
              <w:t>26.97</w:t>
            </w:r>
            <w:r>
              <w:rPr>
                <w:rFonts w:eastAsia="Times New Roman"/>
                <w:color w:val="000000"/>
                <w:sz w:val="18"/>
                <w:szCs w:val="22"/>
              </w:rPr>
              <w:t>b</w:t>
            </w:r>
            <w:r w:rsidRPr="00227AAB">
              <w:rPr>
                <w:rFonts w:eastAsia="Times New Roman"/>
                <w:color w:val="000000"/>
                <w:sz w:val="18"/>
                <w:szCs w:val="22"/>
              </w:rPr>
              <w:t xml:space="preserve"> (2.56)</w:t>
            </w:r>
          </w:p>
        </w:tc>
      </w:tr>
      <w:tr w:rsidR="003658EA" w:rsidRPr="001D6F5D" w14:paraId="31D91E16" w14:textId="77777777" w:rsidTr="00A53996">
        <w:trPr>
          <w:trHeight w:val="95"/>
        </w:trPr>
        <w:tc>
          <w:tcPr>
            <w:tcW w:w="0" w:type="auto"/>
            <w:tcBorders>
              <w:left w:val="nil"/>
              <w:bottom w:val="single" w:sz="8" w:space="0" w:color="000000"/>
              <w:right w:val="nil"/>
            </w:tcBorders>
            <w:vAlign w:val="center"/>
          </w:tcPr>
          <w:p w14:paraId="54D71783" w14:textId="77777777" w:rsidR="003658EA" w:rsidRPr="001D6F5D" w:rsidRDefault="003658EA" w:rsidP="00A53996">
            <w:pPr>
              <w:spacing w:after="0" w:line="0" w:lineRule="atLeast"/>
              <w:contextualSpacing/>
              <w:jc w:val="both"/>
              <w:rPr>
                <w:rFonts w:ascii="Calibri" w:eastAsia="Times New Roman" w:hAnsi="Calibri" w:cs="Calibri"/>
                <w:bCs/>
                <w:color w:val="000000"/>
                <w:sz w:val="18"/>
              </w:rPr>
            </w:pPr>
          </w:p>
        </w:tc>
        <w:tc>
          <w:tcPr>
            <w:tcW w:w="0" w:type="auto"/>
            <w:tcBorders>
              <w:left w:val="nil"/>
              <w:bottom w:val="single" w:sz="4" w:space="0" w:color="auto"/>
              <w:right w:val="nil"/>
            </w:tcBorders>
            <w:shd w:val="clear" w:color="auto" w:fill="auto"/>
            <w:vAlign w:val="center"/>
          </w:tcPr>
          <w:p w14:paraId="5AADD8E6" w14:textId="77777777" w:rsidR="003658EA" w:rsidRPr="001D6F5D" w:rsidRDefault="003658EA" w:rsidP="00A53996">
            <w:pPr>
              <w:spacing w:after="0" w:line="0" w:lineRule="atLeast"/>
              <w:contextualSpacing/>
              <w:rPr>
                <w:rFonts w:eastAsia="Times New Roman"/>
                <w:color w:val="000000"/>
                <w:sz w:val="18"/>
              </w:rPr>
            </w:pPr>
          </w:p>
        </w:tc>
        <w:tc>
          <w:tcPr>
            <w:tcW w:w="0" w:type="auto"/>
            <w:tcBorders>
              <w:left w:val="nil"/>
              <w:bottom w:val="single" w:sz="4" w:space="0" w:color="auto"/>
              <w:right w:val="nil"/>
            </w:tcBorders>
            <w:shd w:val="clear" w:color="auto" w:fill="auto"/>
            <w:noWrap/>
            <w:vAlign w:val="bottom"/>
          </w:tcPr>
          <w:p w14:paraId="5A66E75D" w14:textId="77777777" w:rsidR="003658EA" w:rsidRPr="001D6F5D" w:rsidRDefault="003658EA" w:rsidP="00A53996">
            <w:pPr>
              <w:spacing w:after="0" w:line="0" w:lineRule="atLeast"/>
              <w:contextualSpacing/>
              <w:rPr>
                <w:rFonts w:eastAsia="Times New Roman"/>
                <w:color w:val="000000"/>
                <w:sz w:val="18"/>
              </w:rPr>
            </w:pPr>
          </w:p>
        </w:tc>
        <w:tc>
          <w:tcPr>
            <w:tcW w:w="0" w:type="auto"/>
            <w:tcBorders>
              <w:left w:val="nil"/>
              <w:bottom w:val="single" w:sz="8" w:space="0" w:color="auto"/>
              <w:right w:val="nil"/>
            </w:tcBorders>
            <w:shd w:val="clear" w:color="auto" w:fill="auto"/>
            <w:noWrap/>
            <w:vAlign w:val="bottom"/>
          </w:tcPr>
          <w:p w14:paraId="38C6C5A2" w14:textId="77777777" w:rsidR="003658EA" w:rsidRPr="001D6F5D" w:rsidRDefault="003658EA" w:rsidP="00A53996">
            <w:pPr>
              <w:spacing w:after="0" w:line="0" w:lineRule="atLeast"/>
              <w:contextualSpacing/>
              <w:rPr>
                <w:rFonts w:eastAsia="Times New Roman"/>
                <w:color w:val="000000"/>
                <w:sz w:val="18"/>
              </w:rPr>
            </w:pPr>
          </w:p>
        </w:tc>
        <w:tc>
          <w:tcPr>
            <w:tcW w:w="0" w:type="auto"/>
            <w:tcBorders>
              <w:left w:val="nil"/>
              <w:bottom w:val="single" w:sz="8" w:space="0" w:color="auto"/>
              <w:right w:val="nil"/>
            </w:tcBorders>
            <w:shd w:val="clear" w:color="auto" w:fill="auto"/>
            <w:noWrap/>
            <w:vAlign w:val="bottom"/>
          </w:tcPr>
          <w:p w14:paraId="3C98B271" w14:textId="77777777" w:rsidR="003658EA" w:rsidRPr="001D6F5D" w:rsidRDefault="003658EA" w:rsidP="00A53996">
            <w:pPr>
              <w:spacing w:after="0" w:line="0" w:lineRule="atLeast"/>
              <w:contextualSpacing/>
              <w:rPr>
                <w:rFonts w:eastAsia="Times New Roman"/>
                <w:color w:val="000000"/>
                <w:sz w:val="18"/>
              </w:rPr>
            </w:pPr>
          </w:p>
        </w:tc>
        <w:tc>
          <w:tcPr>
            <w:tcW w:w="0" w:type="auto"/>
            <w:tcBorders>
              <w:left w:val="nil"/>
              <w:bottom w:val="single" w:sz="8" w:space="0" w:color="auto"/>
              <w:right w:val="nil"/>
            </w:tcBorders>
            <w:shd w:val="clear" w:color="auto" w:fill="auto"/>
            <w:noWrap/>
            <w:vAlign w:val="bottom"/>
          </w:tcPr>
          <w:p w14:paraId="490263AE" w14:textId="77777777" w:rsidR="003658EA" w:rsidRPr="001D6F5D" w:rsidRDefault="003658EA" w:rsidP="00A53996">
            <w:pPr>
              <w:spacing w:after="0" w:line="0" w:lineRule="atLeast"/>
              <w:contextualSpacing/>
              <w:rPr>
                <w:rFonts w:eastAsia="Times New Roman"/>
                <w:color w:val="000000"/>
                <w:sz w:val="18"/>
              </w:rPr>
            </w:pPr>
          </w:p>
        </w:tc>
        <w:tc>
          <w:tcPr>
            <w:tcW w:w="0" w:type="auto"/>
            <w:tcBorders>
              <w:left w:val="nil"/>
              <w:bottom w:val="single" w:sz="8" w:space="0" w:color="auto"/>
              <w:right w:val="nil"/>
            </w:tcBorders>
            <w:shd w:val="clear" w:color="auto" w:fill="auto"/>
            <w:vAlign w:val="center"/>
          </w:tcPr>
          <w:p w14:paraId="7BB6E0C0" w14:textId="77777777" w:rsidR="003658EA" w:rsidRPr="001D6F5D" w:rsidRDefault="003658EA" w:rsidP="00A53996">
            <w:pPr>
              <w:spacing w:after="0" w:line="0" w:lineRule="atLeast"/>
              <w:contextualSpacing/>
              <w:rPr>
                <w:rFonts w:eastAsia="Times New Roman"/>
                <w:color w:val="000000"/>
                <w:sz w:val="18"/>
              </w:rPr>
            </w:pPr>
          </w:p>
        </w:tc>
      </w:tr>
    </w:tbl>
    <w:p w14:paraId="7164010A" w14:textId="77777777" w:rsidR="003658EA" w:rsidRDefault="003658EA" w:rsidP="003658EA">
      <w:pPr>
        <w:spacing w:line="360" w:lineRule="auto"/>
        <w:jc w:val="both"/>
        <w:rPr>
          <w:b/>
          <w:sz w:val="22"/>
        </w:rPr>
        <w:sectPr w:rsidR="003658EA" w:rsidSect="002135C1">
          <w:pgSz w:w="11906" w:h="16838"/>
          <w:pgMar w:top="1440" w:right="1440" w:bottom="1440" w:left="1440" w:header="709" w:footer="709" w:gutter="0"/>
          <w:cols w:space="708"/>
          <w:docGrid w:linePitch="360"/>
        </w:sectPr>
      </w:pPr>
    </w:p>
    <w:p w14:paraId="2488CEAD" w14:textId="77777777" w:rsidR="003658EA" w:rsidRPr="00DF163F" w:rsidRDefault="003658EA" w:rsidP="003658EA">
      <w:pPr>
        <w:spacing w:line="360" w:lineRule="auto"/>
        <w:jc w:val="both"/>
        <w:rPr>
          <w:sz w:val="22"/>
        </w:rPr>
      </w:pPr>
      <w:r>
        <w:rPr>
          <w:b/>
          <w:sz w:val="22"/>
        </w:rPr>
        <w:t>Table S3:</w:t>
      </w:r>
      <w:r w:rsidRPr="00DF163F">
        <w:rPr>
          <w:b/>
          <w:sz w:val="22"/>
        </w:rPr>
        <w:t xml:space="preserve"> Bacterial enumeration (mean log</w:t>
      </w:r>
      <w:r w:rsidRPr="00DF163F">
        <w:rPr>
          <w:b/>
          <w:sz w:val="22"/>
          <w:vertAlign w:val="subscript"/>
        </w:rPr>
        <w:t>10</w:t>
      </w:r>
      <w:r w:rsidRPr="00DF163F">
        <w:rPr>
          <w:b/>
          <w:sz w:val="22"/>
        </w:rPr>
        <w:t xml:space="preserve"> bacterial numbers / mL) of samples taken from static batch cultures after 0, 4, 8 and 24 hours’ fermentation comparing</w:t>
      </w:r>
      <w:r w:rsidRPr="00DF163F">
        <w:rPr>
          <w:b/>
          <w:sz w:val="22"/>
          <w:szCs w:val="22"/>
        </w:rPr>
        <w:t xml:space="preserve"> </w:t>
      </w:r>
      <w:r w:rsidRPr="00DF163F">
        <w:rPr>
          <w:b/>
          <w:sz w:val="22"/>
        </w:rPr>
        <w:t xml:space="preserve">no substrate, FOS and </w:t>
      </w:r>
      <w:r w:rsidRPr="00DF163F">
        <w:rPr>
          <w:b/>
          <w:sz w:val="22"/>
          <w:szCs w:val="22"/>
        </w:rPr>
        <w:t>different ratios of AX and β-glucan</w:t>
      </w:r>
      <w:r w:rsidRPr="00DF163F">
        <w:rPr>
          <w:b/>
          <w:sz w:val="22"/>
        </w:rPr>
        <w:t xml:space="preserve"> </w:t>
      </w:r>
      <w:r w:rsidRPr="00DF163F">
        <w:t>Negative control is no added carbohydrate and positive control is FOS</w:t>
      </w:r>
      <w:r w:rsidRPr="00DF163F">
        <w:rPr>
          <w:sz w:val="22"/>
        </w:rPr>
        <w:t>. Values are mean log</w:t>
      </w:r>
      <w:r w:rsidRPr="00DF163F">
        <w:rPr>
          <w:sz w:val="22"/>
          <w:vertAlign w:val="subscript"/>
        </w:rPr>
        <w:t xml:space="preserve">10 </w:t>
      </w:r>
      <w:r w:rsidRPr="00DF163F">
        <w:rPr>
          <w:sz w:val="22"/>
        </w:rPr>
        <w:t>bacterial number</w:t>
      </w:r>
      <w:r>
        <w:rPr>
          <w:sz w:val="22"/>
        </w:rPr>
        <w:t>s/mL found using flow FISH</w:t>
      </w:r>
      <w:r w:rsidRPr="00CA5616">
        <w:rPr>
          <w:szCs w:val="22"/>
        </w:rPr>
        <w:t xml:space="preserve">. One-way ANVOA and post hoc tukey test were used. SEM is shown in italics.  </w:t>
      </w:r>
      <w:r w:rsidRPr="00CA5616">
        <w:t xml:space="preserve">Significant interaction between sample and its time 0 are denoted </w:t>
      </w:r>
      <w:r>
        <w:t>with letters</w:t>
      </w:r>
      <w:r w:rsidRPr="00CA5616">
        <w:t xml:space="preserve"> (p&lt; 0.05). Significant differences between treatments are denoted with </w:t>
      </w:r>
      <w:r>
        <w:t xml:space="preserve">* </w:t>
      </w:r>
      <w:r w:rsidRPr="00CA5616">
        <w:t>and shown in bold</w:t>
      </w:r>
      <w:r w:rsidRPr="00CA5616">
        <w:rPr>
          <w:sz w:val="22"/>
        </w:rPr>
        <w:t>.</w:t>
      </w:r>
    </w:p>
    <w:p w14:paraId="2F6D8802" w14:textId="77777777" w:rsidR="003658EA" w:rsidRPr="00DF163F" w:rsidRDefault="003658EA" w:rsidP="003658EA">
      <w:pPr>
        <w:spacing w:line="360" w:lineRule="auto"/>
        <w:jc w:val="both"/>
        <w:rPr>
          <w:sz w:val="22"/>
        </w:rPr>
      </w:pPr>
    </w:p>
    <w:tbl>
      <w:tblPr>
        <w:tblpPr w:leftFromText="180" w:rightFromText="180" w:vertAnchor="text" w:horzAnchor="margin" w:tblpXSpec="center" w:tblpY="-43"/>
        <w:tblW w:w="5400" w:type="pct"/>
        <w:tblLook w:val="04A0" w:firstRow="1" w:lastRow="0" w:firstColumn="1" w:lastColumn="0" w:noHBand="0" w:noVBand="1"/>
      </w:tblPr>
      <w:tblGrid>
        <w:gridCol w:w="938"/>
        <w:gridCol w:w="467"/>
        <w:gridCol w:w="1385"/>
        <w:gridCol w:w="1188"/>
        <w:gridCol w:w="1188"/>
        <w:gridCol w:w="1302"/>
        <w:gridCol w:w="1302"/>
        <w:gridCol w:w="1251"/>
        <w:gridCol w:w="1188"/>
        <w:gridCol w:w="1188"/>
        <w:gridCol w:w="1188"/>
        <w:gridCol w:w="1188"/>
        <w:gridCol w:w="1302"/>
      </w:tblGrid>
      <w:tr w:rsidR="003658EA" w:rsidRPr="00C44CFC" w14:paraId="5E7163AB" w14:textId="77777777" w:rsidTr="00A53996">
        <w:trPr>
          <w:trHeight w:val="1830"/>
        </w:trPr>
        <w:tc>
          <w:tcPr>
            <w:tcW w:w="311" w:type="pct"/>
            <w:tcBorders>
              <w:top w:val="nil"/>
              <w:left w:val="nil"/>
              <w:bottom w:val="nil"/>
              <w:right w:val="nil"/>
            </w:tcBorders>
            <w:shd w:val="clear" w:color="auto" w:fill="auto"/>
            <w:noWrap/>
            <w:vAlign w:val="bottom"/>
            <w:hideMark/>
          </w:tcPr>
          <w:p w14:paraId="1807814E" w14:textId="77777777" w:rsidR="003658EA" w:rsidRPr="00C44CFC" w:rsidRDefault="003658EA" w:rsidP="00A53996">
            <w:pPr>
              <w:spacing w:after="0" w:line="240" w:lineRule="auto"/>
              <w:jc w:val="both"/>
              <w:rPr>
                <w:rFonts w:ascii="Times New Roman" w:eastAsia="Times New Roman" w:hAnsi="Times New Roman" w:cs="Times New Roman"/>
                <w:sz w:val="20"/>
                <w:szCs w:val="20"/>
              </w:rPr>
            </w:pPr>
            <w:bookmarkStart w:id="3" w:name="_Hlk525660338"/>
          </w:p>
        </w:tc>
        <w:tc>
          <w:tcPr>
            <w:tcW w:w="157" w:type="pct"/>
            <w:tcBorders>
              <w:top w:val="nil"/>
              <w:left w:val="nil"/>
              <w:bottom w:val="single" w:sz="8" w:space="0" w:color="auto"/>
              <w:right w:val="nil"/>
            </w:tcBorders>
            <w:shd w:val="clear" w:color="auto" w:fill="auto"/>
            <w:textDirection w:val="btLr"/>
            <w:vAlign w:val="center"/>
            <w:hideMark/>
          </w:tcPr>
          <w:p w14:paraId="72F8593C" w14:textId="77777777" w:rsidR="003658EA" w:rsidRPr="00C44CFC" w:rsidRDefault="003658EA" w:rsidP="00A53996">
            <w:pPr>
              <w:spacing w:after="0" w:line="240" w:lineRule="auto"/>
              <w:jc w:val="both"/>
              <w:rPr>
                <w:rFonts w:ascii="Calibri" w:eastAsia="Times New Roman" w:hAnsi="Calibri" w:cs="Calibri"/>
                <w:color w:val="000000"/>
                <w:sz w:val="20"/>
                <w:szCs w:val="18"/>
              </w:rPr>
            </w:pPr>
            <w:r w:rsidRPr="00C44CFC">
              <w:rPr>
                <w:rFonts w:ascii="Calibri" w:eastAsia="Times New Roman" w:hAnsi="Calibri" w:cs="Calibri"/>
                <w:color w:val="000000"/>
                <w:sz w:val="20"/>
                <w:szCs w:val="18"/>
              </w:rPr>
              <w:t>Time (h)</w:t>
            </w:r>
          </w:p>
        </w:tc>
        <w:tc>
          <w:tcPr>
            <w:tcW w:w="432" w:type="pct"/>
            <w:tcBorders>
              <w:top w:val="nil"/>
              <w:left w:val="nil"/>
              <w:bottom w:val="single" w:sz="8" w:space="0" w:color="auto"/>
              <w:right w:val="nil"/>
            </w:tcBorders>
            <w:shd w:val="clear" w:color="auto" w:fill="auto"/>
            <w:textDirection w:val="btLr"/>
            <w:vAlign w:val="center"/>
            <w:hideMark/>
          </w:tcPr>
          <w:p w14:paraId="3C845313"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Bifidobacterium</w:t>
            </w:r>
            <w:r w:rsidRPr="00C44CFC">
              <w:rPr>
                <w:rFonts w:ascii="Calibri" w:eastAsia="Times New Roman" w:hAnsi="Calibri" w:cs="Calibri"/>
                <w:color w:val="000000"/>
                <w:sz w:val="20"/>
                <w:szCs w:val="18"/>
              </w:rPr>
              <w:t xml:space="preserve"> genus</w:t>
            </w:r>
          </w:p>
        </w:tc>
        <w:tc>
          <w:tcPr>
            <w:tcW w:w="397" w:type="pct"/>
            <w:tcBorders>
              <w:top w:val="nil"/>
              <w:left w:val="nil"/>
              <w:bottom w:val="single" w:sz="8" w:space="0" w:color="auto"/>
              <w:right w:val="nil"/>
            </w:tcBorders>
            <w:shd w:val="clear" w:color="auto" w:fill="auto"/>
            <w:textDirection w:val="btLr"/>
            <w:vAlign w:val="center"/>
            <w:hideMark/>
          </w:tcPr>
          <w:p w14:paraId="3B73D88B"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 xml:space="preserve">Lactobacillus Enterococcus </w:t>
            </w:r>
            <w:r w:rsidRPr="00C44CFC">
              <w:rPr>
                <w:rFonts w:ascii="Calibri" w:eastAsia="Times New Roman" w:hAnsi="Calibri" w:cs="Calibri"/>
                <w:color w:val="000000"/>
                <w:sz w:val="20"/>
                <w:szCs w:val="18"/>
              </w:rPr>
              <w:t>group</w:t>
            </w:r>
          </w:p>
        </w:tc>
        <w:tc>
          <w:tcPr>
            <w:tcW w:w="394" w:type="pct"/>
            <w:tcBorders>
              <w:top w:val="nil"/>
              <w:left w:val="nil"/>
              <w:bottom w:val="single" w:sz="8" w:space="0" w:color="auto"/>
              <w:right w:val="nil"/>
            </w:tcBorders>
            <w:shd w:val="clear" w:color="auto" w:fill="auto"/>
            <w:textDirection w:val="btLr"/>
            <w:vAlign w:val="center"/>
            <w:hideMark/>
          </w:tcPr>
          <w:p w14:paraId="664721C3"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 xml:space="preserve">Bacteroides- Prevotella </w:t>
            </w:r>
            <w:r w:rsidRPr="00C44CFC">
              <w:rPr>
                <w:rFonts w:ascii="Calibri" w:eastAsia="Times New Roman" w:hAnsi="Calibri" w:cs="Calibri"/>
                <w:color w:val="000000"/>
                <w:sz w:val="20"/>
                <w:szCs w:val="18"/>
              </w:rPr>
              <w:t>group</w:t>
            </w:r>
          </w:p>
        </w:tc>
        <w:tc>
          <w:tcPr>
            <w:tcW w:w="432" w:type="pct"/>
            <w:tcBorders>
              <w:top w:val="nil"/>
              <w:left w:val="nil"/>
              <w:bottom w:val="single" w:sz="8" w:space="0" w:color="auto"/>
              <w:right w:val="nil"/>
            </w:tcBorders>
            <w:shd w:val="clear" w:color="auto" w:fill="auto"/>
            <w:textDirection w:val="btLr"/>
            <w:vAlign w:val="center"/>
            <w:hideMark/>
          </w:tcPr>
          <w:p w14:paraId="51E72ACD"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 xml:space="preserve">Clostridium coccoides- Eubacterium rectale </w:t>
            </w:r>
            <w:r w:rsidRPr="00C44CFC">
              <w:rPr>
                <w:rFonts w:ascii="Calibri" w:eastAsia="Times New Roman" w:hAnsi="Calibri" w:cs="Calibri"/>
                <w:color w:val="000000"/>
                <w:sz w:val="20"/>
                <w:szCs w:val="18"/>
              </w:rPr>
              <w:t>group</w:t>
            </w:r>
          </w:p>
        </w:tc>
        <w:tc>
          <w:tcPr>
            <w:tcW w:w="432" w:type="pct"/>
            <w:tcBorders>
              <w:top w:val="nil"/>
              <w:left w:val="nil"/>
              <w:bottom w:val="single" w:sz="8" w:space="0" w:color="auto"/>
              <w:right w:val="nil"/>
            </w:tcBorders>
            <w:shd w:val="clear" w:color="auto" w:fill="auto"/>
            <w:textDirection w:val="btLr"/>
            <w:vAlign w:val="center"/>
            <w:hideMark/>
          </w:tcPr>
          <w:p w14:paraId="2C61E911"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Roseburia</w:t>
            </w:r>
          </w:p>
        </w:tc>
        <w:tc>
          <w:tcPr>
            <w:tcW w:w="429" w:type="pct"/>
            <w:tcBorders>
              <w:top w:val="nil"/>
              <w:left w:val="nil"/>
              <w:bottom w:val="single" w:sz="8" w:space="0" w:color="auto"/>
              <w:right w:val="nil"/>
            </w:tcBorders>
            <w:shd w:val="clear" w:color="auto" w:fill="auto"/>
            <w:textDirection w:val="btLr"/>
            <w:vAlign w:val="center"/>
            <w:hideMark/>
          </w:tcPr>
          <w:p w14:paraId="43370EE9"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Atopobium</w:t>
            </w:r>
            <w:r w:rsidRPr="00C44CFC">
              <w:rPr>
                <w:rFonts w:ascii="Calibri" w:eastAsia="Times New Roman" w:hAnsi="Calibri" w:cs="Calibri"/>
                <w:color w:val="000000"/>
                <w:sz w:val="20"/>
                <w:szCs w:val="18"/>
              </w:rPr>
              <w:t xml:space="preserve"> cluster</w:t>
            </w:r>
          </w:p>
        </w:tc>
        <w:tc>
          <w:tcPr>
            <w:tcW w:w="397" w:type="pct"/>
            <w:tcBorders>
              <w:top w:val="nil"/>
              <w:left w:val="nil"/>
              <w:bottom w:val="single" w:sz="8" w:space="0" w:color="auto"/>
              <w:right w:val="nil"/>
            </w:tcBorders>
            <w:shd w:val="clear" w:color="auto" w:fill="auto"/>
            <w:textDirection w:val="btLr"/>
            <w:vAlign w:val="center"/>
            <w:hideMark/>
          </w:tcPr>
          <w:p w14:paraId="3243E367"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 xml:space="preserve">Clostridium </w:t>
            </w:r>
            <w:r w:rsidRPr="00C44CFC">
              <w:rPr>
                <w:rFonts w:ascii="Calibri" w:eastAsia="Times New Roman" w:hAnsi="Calibri" w:cs="Calibri"/>
                <w:color w:val="000000"/>
                <w:sz w:val="20"/>
                <w:szCs w:val="18"/>
              </w:rPr>
              <w:t>cluster IX</w:t>
            </w:r>
          </w:p>
        </w:tc>
        <w:tc>
          <w:tcPr>
            <w:tcW w:w="397" w:type="pct"/>
            <w:tcBorders>
              <w:top w:val="nil"/>
              <w:left w:val="nil"/>
              <w:bottom w:val="single" w:sz="8" w:space="0" w:color="auto"/>
              <w:right w:val="nil"/>
            </w:tcBorders>
            <w:shd w:val="clear" w:color="auto" w:fill="auto"/>
            <w:textDirection w:val="btLr"/>
            <w:vAlign w:val="center"/>
            <w:hideMark/>
          </w:tcPr>
          <w:p w14:paraId="7177A954" w14:textId="77777777" w:rsidR="003658EA" w:rsidRPr="00C44CFC" w:rsidRDefault="003658EA" w:rsidP="00A53996">
            <w:pPr>
              <w:spacing w:after="0" w:line="240" w:lineRule="auto"/>
              <w:jc w:val="both"/>
              <w:rPr>
                <w:rFonts w:ascii="Calibri" w:eastAsia="Times New Roman" w:hAnsi="Calibri" w:cs="Calibri"/>
                <w:i/>
                <w:color w:val="000000"/>
                <w:sz w:val="20"/>
                <w:szCs w:val="16"/>
              </w:rPr>
            </w:pPr>
            <w:r w:rsidRPr="00C44CFC">
              <w:rPr>
                <w:rFonts w:ascii="Calibri" w:eastAsia="Times New Roman" w:hAnsi="Calibri" w:cs="Calibri"/>
                <w:i/>
                <w:color w:val="000000"/>
                <w:sz w:val="20"/>
                <w:szCs w:val="16"/>
              </w:rPr>
              <w:t>Faecalibacterium prausnitzii group</w:t>
            </w:r>
          </w:p>
        </w:tc>
        <w:tc>
          <w:tcPr>
            <w:tcW w:w="394" w:type="pct"/>
            <w:tcBorders>
              <w:top w:val="nil"/>
              <w:left w:val="nil"/>
              <w:bottom w:val="single" w:sz="8" w:space="0" w:color="auto"/>
              <w:right w:val="nil"/>
            </w:tcBorders>
            <w:shd w:val="clear" w:color="auto" w:fill="auto"/>
            <w:textDirection w:val="btLr"/>
            <w:vAlign w:val="center"/>
            <w:hideMark/>
          </w:tcPr>
          <w:p w14:paraId="16A7DD3A"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Desulfovibrionales</w:t>
            </w:r>
          </w:p>
        </w:tc>
        <w:tc>
          <w:tcPr>
            <w:tcW w:w="397" w:type="pct"/>
            <w:tcBorders>
              <w:top w:val="nil"/>
              <w:left w:val="nil"/>
              <w:bottom w:val="single" w:sz="8" w:space="0" w:color="auto"/>
              <w:right w:val="nil"/>
            </w:tcBorders>
            <w:shd w:val="clear" w:color="auto" w:fill="auto"/>
            <w:textDirection w:val="btLr"/>
            <w:vAlign w:val="center"/>
            <w:hideMark/>
          </w:tcPr>
          <w:p w14:paraId="40DEA827" w14:textId="77777777" w:rsidR="003658EA" w:rsidRPr="00C44CFC" w:rsidRDefault="003658EA" w:rsidP="00A53996">
            <w:pPr>
              <w:spacing w:after="0" w:line="240" w:lineRule="auto"/>
              <w:jc w:val="both"/>
              <w:rPr>
                <w:rFonts w:ascii="Calibri" w:eastAsia="Times New Roman" w:hAnsi="Calibri" w:cs="Calibri"/>
                <w:i/>
                <w:iCs/>
                <w:color w:val="000000"/>
                <w:sz w:val="20"/>
                <w:szCs w:val="18"/>
              </w:rPr>
            </w:pPr>
            <w:r w:rsidRPr="00C44CFC">
              <w:rPr>
                <w:rFonts w:ascii="Calibri" w:eastAsia="Times New Roman" w:hAnsi="Calibri" w:cs="Calibri"/>
                <w:i/>
                <w:iCs/>
                <w:color w:val="000000"/>
                <w:sz w:val="20"/>
                <w:szCs w:val="18"/>
              </w:rPr>
              <w:t>Clostridium-cluster I and II</w:t>
            </w:r>
          </w:p>
        </w:tc>
        <w:tc>
          <w:tcPr>
            <w:tcW w:w="432" w:type="pct"/>
            <w:tcBorders>
              <w:top w:val="nil"/>
              <w:left w:val="nil"/>
              <w:bottom w:val="single" w:sz="8" w:space="0" w:color="auto"/>
              <w:right w:val="nil"/>
            </w:tcBorders>
            <w:shd w:val="clear" w:color="auto" w:fill="auto"/>
            <w:textDirection w:val="btLr"/>
            <w:vAlign w:val="center"/>
            <w:hideMark/>
          </w:tcPr>
          <w:p w14:paraId="38E5AED8" w14:textId="77777777" w:rsidR="003658EA" w:rsidRPr="00C44CFC" w:rsidRDefault="003658EA" w:rsidP="00A53996">
            <w:pPr>
              <w:spacing w:after="0" w:line="240" w:lineRule="auto"/>
              <w:jc w:val="both"/>
              <w:rPr>
                <w:rFonts w:ascii="Calibri" w:eastAsia="Times New Roman" w:hAnsi="Calibri" w:cs="Calibri"/>
                <w:color w:val="000000"/>
                <w:sz w:val="20"/>
                <w:szCs w:val="18"/>
              </w:rPr>
            </w:pPr>
            <w:r w:rsidRPr="00C44CFC">
              <w:rPr>
                <w:rFonts w:ascii="Calibri" w:eastAsia="Times New Roman" w:hAnsi="Calibri" w:cs="Calibri"/>
                <w:color w:val="000000"/>
                <w:sz w:val="20"/>
                <w:szCs w:val="18"/>
              </w:rPr>
              <w:t>Total</w:t>
            </w:r>
          </w:p>
        </w:tc>
      </w:tr>
      <w:tr w:rsidR="003658EA" w:rsidRPr="00C44CFC" w14:paraId="62304F63" w14:textId="77777777" w:rsidTr="00A53996">
        <w:trPr>
          <w:trHeight w:val="300"/>
        </w:trPr>
        <w:tc>
          <w:tcPr>
            <w:tcW w:w="311" w:type="pct"/>
            <w:vMerge w:val="restart"/>
            <w:tcBorders>
              <w:top w:val="single" w:sz="4" w:space="0" w:color="auto"/>
              <w:left w:val="nil"/>
              <w:bottom w:val="nil"/>
              <w:right w:val="nil"/>
            </w:tcBorders>
            <w:shd w:val="clear" w:color="auto" w:fill="auto"/>
            <w:noWrap/>
            <w:vAlign w:val="bottom"/>
            <w:hideMark/>
          </w:tcPr>
          <w:p w14:paraId="3F0970B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Negative</w:t>
            </w:r>
          </w:p>
        </w:tc>
        <w:tc>
          <w:tcPr>
            <w:tcW w:w="157" w:type="pct"/>
            <w:tcBorders>
              <w:top w:val="single" w:sz="4" w:space="0" w:color="auto"/>
              <w:left w:val="nil"/>
              <w:bottom w:val="nil"/>
              <w:right w:val="nil"/>
            </w:tcBorders>
            <w:shd w:val="clear" w:color="auto" w:fill="auto"/>
            <w:noWrap/>
            <w:vAlign w:val="bottom"/>
            <w:hideMark/>
          </w:tcPr>
          <w:p w14:paraId="6836BF6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0</w:t>
            </w:r>
          </w:p>
        </w:tc>
        <w:tc>
          <w:tcPr>
            <w:tcW w:w="432" w:type="pct"/>
            <w:tcBorders>
              <w:top w:val="single" w:sz="4" w:space="0" w:color="auto"/>
              <w:left w:val="nil"/>
              <w:bottom w:val="nil"/>
              <w:right w:val="nil"/>
            </w:tcBorders>
            <w:shd w:val="clear" w:color="auto" w:fill="auto"/>
            <w:noWrap/>
            <w:vAlign w:val="bottom"/>
            <w:hideMark/>
          </w:tcPr>
          <w:p w14:paraId="175A9E5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7.54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(0.32)</w:t>
            </w:r>
          </w:p>
        </w:tc>
        <w:tc>
          <w:tcPr>
            <w:tcW w:w="397" w:type="pct"/>
            <w:tcBorders>
              <w:top w:val="single" w:sz="4" w:space="0" w:color="auto"/>
              <w:left w:val="nil"/>
              <w:bottom w:val="nil"/>
              <w:right w:val="nil"/>
            </w:tcBorders>
            <w:shd w:val="clear" w:color="auto" w:fill="auto"/>
            <w:noWrap/>
            <w:vAlign w:val="bottom"/>
            <w:hideMark/>
          </w:tcPr>
          <w:p w14:paraId="0A79AFC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394" w:type="pct"/>
            <w:tcBorders>
              <w:top w:val="single" w:sz="4" w:space="0" w:color="auto"/>
              <w:left w:val="nil"/>
              <w:bottom w:val="nil"/>
              <w:right w:val="nil"/>
            </w:tcBorders>
            <w:shd w:val="clear" w:color="auto" w:fill="auto"/>
            <w:noWrap/>
            <w:vAlign w:val="bottom"/>
            <w:hideMark/>
          </w:tcPr>
          <w:p w14:paraId="7959FB6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(0.14)</w:t>
            </w:r>
          </w:p>
        </w:tc>
        <w:tc>
          <w:tcPr>
            <w:tcW w:w="432" w:type="pct"/>
            <w:tcBorders>
              <w:top w:val="single" w:sz="4" w:space="0" w:color="auto"/>
              <w:left w:val="nil"/>
              <w:bottom w:val="nil"/>
              <w:right w:val="nil"/>
            </w:tcBorders>
            <w:shd w:val="clear" w:color="auto" w:fill="auto"/>
            <w:noWrap/>
            <w:vAlign w:val="bottom"/>
            <w:hideMark/>
          </w:tcPr>
          <w:p w14:paraId="0C0F680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8.43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(0.20)</w:t>
            </w:r>
          </w:p>
        </w:tc>
        <w:tc>
          <w:tcPr>
            <w:tcW w:w="432" w:type="pct"/>
            <w:tcBorders>
              <w:top w:val="single" w:sz="4" w:space="0" w:color="auto"/>
              <w:left w:val="nil"/>
              <w:bottom w:val="nil"/>
              <w:right w:val="nil"/>
            </w:tcBorders>
            <w:shd w:val="clear" w:color="auto" w:fill="auto"/>
            <w:noWrap/>
            <w:vAlign w:val="bottom"/>
            <w:hideMark/>
          </w:tcPr>
          <w:p w14:paraId="4616AFE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(0.09)</w:t>
            </w:r>
          </w:p>
        </w:tc>
        <w:tc>
          <w:tcPr>
            <w:tcW w:w="429" w:type="pct"/>
            <w:tcBorders>
              <w:top w:val="single" w:sz="4" w:space="0" w:color="auto"/>
              <w:left w:val="nil"/>
              <w:bottom w:val="nil"/>
              <w:right w:val="nil"/>
            </w:tcBorders>
            <w:shd w:val="clear" w:color="auto" w:fill="auto"/>
            <w:noWrap/>
            <w:vAlign w:val="bottom"/>
            <w:hideMark/>
          </w:tcPr>
          <w:p w14:paraId="6F6634A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(0.06)</w:t>
            </w:r>
          </w:p>
        </w:tc>
        <w:tc>
          <w:tcPr>
            <w:tcW w:w="397" w:type="pct"/>
            <w:tcBorders>
              <w:top w:val="single" w:sz="4" w:space="0" w:color="auto"/>
              <w:left w:val="nil"/>
              <w:bottom w:val="nil"/>
              <w:right w:val="nil"/>
            </w:tcBorders>
            <w:shd w:val="clear" w:color="auto" w:fill="auto"/>
            <w:noWrap/>
            <w:vAlign w:val="bottom"/>
            <w:hideMark/>
          </w:tcPr>
          <w:p w14:paraId="3F0017A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(0.02)</w:t>
            </w:r>
          </w:p>
        </w:tc>
        <w:tc>
          <w:tcPr>
            <w:tcW w:w="397" w:type="pct"/>
            <w:tcBorders>
              <w:top w:val="single" w:sz="4" w:space="0" w:color="auto"/>
              <w:left w:val="nil"/>
              <w:bottom w:val="nil"/>
              <w:right w:val="nil"/>
            </w:tcBorders>
            <w:shd w:val="clear" w:color="auto" w:fill="auto"/>
            <w:noWrap/>
            <w:vAlign w:val="bottom"/>
            <w:hideMark/>
          </w:tcPr>
          <w:p w14:paraId="019777A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(0.13)</w:t>
            </w:r>
          </w:p>
        </w:tc>
        <w:tc>
          <w:tcPr>
            <w:tcW w:w="394" w:type="pct"/>
            <w:tcBorders>
              <w:top w:val="single" w:sz="4" w:space="0" w:color="auto"/>
              <w:left w:val="nil"/>
              <w:bottom w:val="nil"/>
              <w:right w:val="nil"/>
            </w:tcBorders>
            <w:shd w:val="clear" w:color="auto" w:fill="auto"/>
            <w:noWrap/>
            <w:vAlign w:val="bottom"/>
            <w:hideMark/>
          </w:tcPr>
          <w:p w14:paraId="2AD5CDF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(0.20)</w:t>
            </w:r>
          </w:p>
        </w:tc>
        <w:tc>
          <w:tcPr>
            <w:tcW w:w="397" w:type="pct"/>
            <w:tcBorders>
              <w:top w:val="single" w:sz="4" w:space="0" w:color="auto"/>
              <w:left w:val="nil"/>
              <w:bottom w:val="nil"/>
              <w:right w:val="nil"/>
            </w:tcBorders>
            <w:shd w:val="clear" w:color="auto" w:fill="auto"/>
            <w:noWrap/>
            <w:vAlign w:val="bottom"/>
            <w:hideMark/>
          </w:tcPr>
          <w:p w14:paraId="674B01C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(0.34)</w:t>
            </w:r>
          </w:p>
        </w:tc>
        <w:tc>
          <w:tcPr>
            <w:tcW w:w="432" w:type="pct"/>
            <w:tcBorders>
              <w:top w:val="single" w:sz="4" w:space="0" w:color="auto"/>
              <w:left w:val="nil"/>
              <w:bottom w:val="nil"/>
              <w:right w:val="nil"/>
            </w:tcBorders>
            <w:shd w:val="clear" w:color="auto" w:fill="auto"/>
            <w:noWrap/>
            <w:vAlign w:val="bottom"/>
            <w:hideMark/>
          </w:tcPr>
          <w:p w14:paraId="438F0E9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9.00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w:t>
            </w:r>
            <w:r w:rsidRPr="00C95A3E">
              <w:rPr>
                <w:rFonts w:ascii="Calibri" w:eastAsia="Times New Roman" w:hAnsi="Calibri" w:cs="Calibri"/>
                <w:color w:val="000000"/>
                <w:sz w:val="20"/>
                <w:szCs w:val="20"/>
              </w:rPr>
              <w:t>0.14)</w:t>
            </w:r>
          </w:p>
        </w:tc>
      </w:tr>
      <w:tr w:rsidR="003658EA" w:rsidRPr="00C44CFC" w14:paraId="2EF25BB1" w14:textId="77777777" w:rsidTr="00A53996">
        <w:trPr>
          <w:trHeight w:val="300"/>
        </w:trPr>
        <w:tc>
          <w:tcPr>
            <w:tcW w:w="311" w:type="pct"/>
            <w:vMerge/>
            <w:tcBorders>
              <w:top w:val="single" w:sz="4" w:space="0" w:color="auto"/>
              <w:left w:val="nil"/>
              <w:bottom w:val="nil"/>
              <w:right w:val="nil"/>
            </w:tcBorders>
            <w:vAlign w:val="center"/>
            <w:hideMark/>
          </w:tcPr>
          <w:p w14:paraId="72626533"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43D1465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4</w:t>
            </w:r>
          </w:p>
        </w:tc>
        <w:tc>
          <w:tcPr>
            <w:tcW w:w="432" w:type="pct"/>
            <w:tcBorders>
              <w:top w:val="nil"/>
              <w:left w:val="nil"/>
              <w:bottom w:val="nil"/>
              <w:right w:val="nil"/>
            </w:tcBorders>
            <w:shd w:val="clear" w:color="auto" w:fill="auto"/>
            <w:noWrap/>
            <w:vAlign w:val="bottom"/>
            <w:hideMark/>
          </w:tcPr>
          <w:p w14:paraId="4E85734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(0.39)</w:t>
            </w:r>
          </w:p>
        </w:tc>
        <w:tc>
          <w:tcPr>
            <w:tcW w:w="397" w:type="pct"/>
            <w:tcBorders>
              <w:top w:val="nil"/>
              <w:left w:val="nil"/>
              <w:bottom w:val="nil"/>
              <w:right w:val="nil"/>
            </w:tcBorders>
            <w:shd w:val="clear" w:color="auto" w:fill="auto"/>
            <w:noWrap/>
            <w:vAlign w:val="bottom"/>
            <w:hideMark/>
          </w:tcPr>
          <w:p w14:paraId="70A3DFD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6.91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(0.12)</w:t>
            </w:r>
          </w:p>
        </w:tc>
        <w:tc>
          <w:tcPr>
            <w:tcW w:w="394" w:type="pct"/>
            <w:tcBorders>
              <w:top w:val="nil"/>
              <w:left w:val="nil"/>
              <w:bottom w:val="nil"/>
              <w:right w:val="nil"/>
            </w:tcBorders>
            <w:shd w:val="clear" w:color="auto" w:fill="auto"/>
            <w:noWrap/>
            <w:vAlign w:val="bottom"/>
            <w:hideMark/>
          </w:tcPr>
          <w:p w14:paraId="59CF9A7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432" w:type="pct"/>
            <w:tcBorders>
              <w:top w:val="nil"/>
              <w:left w:val="nil"/>
              <w:bottom w:val="nil"/>
              <w:right w:val="nil"/>
            </w:tcBorders>
            <w:shd w:val="clear" w:color="auto" w:fill="auto"/>
            <w:noWrap/>
            <w:vAlign w:val="bottom"/>
            <w:hideMark/>
          </w:tcPr>
          <w:p w14:paraId="0C65B33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432" w:type="pct"/>
            <w:tcBorders>
              <w:top w:val="nil"/>
              <w:left w:val="nil"/>
              <w:bottom w:val="nil"/>
              <w:right w:val="nil"/>
            </w:tcBorders>
            <w:shd w:val="clear" w:color="auto" w:fill="auto"/>
            <w:noWrap/>
            <w:vAlign w:val="bottom"/>
            <w:hideMark/>
          </w:tcPr>
          <w:p w14:paraId="3498A1E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6.81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(0.16)</w:t>
            </w:r>
          </w:p>
        </w:tc>
        <w:tc>
          <w:tcPr>
            <w:tcW w:w="429" w:type="pct"/>
            <w:tcBorders>
              <w:top w:val="nil"/>
              <w:left w:val="nil"/>
              <w:bottom w:val="nil"/>
              <w:right w:val="nil"/>
            </w:tcBorders>
            <w:shd w:val="clear" w:color="auto" w:fill="auto"/>
            <w:noWrap/>
            <w:vAlign w:val="bottom"/>
            <w:hideMark/>
          </w:tcPr>
          <w:p w14:paraId="5E88678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7.04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(0.26)</w:t>
            </w:r>
          </w:p>
        </w:tc>
        <w:tc>
          <w:tcPr>
            <w:tcW w:w="397" w:type="pct"/>
            <w:tcBorders>
              <w:top w:val="nil"/>
              <w:left w:val="nil"/>
              <w:bottom w:val="nil"/>
              <w:right w:val="nil"/>
            </w:tcBorders>
            <w:shd w:val="clear" w:color="auto" w:fill="auto"/>
            <w:noWrap/>
            <w:vAlign w:val="bottom"/>
            <w:hideMark/>
          </w:tcPr>
          <w:p w14:paraId="31F9420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(0.19)</w:t>
            </w:r>
          </w:p>
        </w:tc>
        <w:tc>
          <w:tcPr>
            <w:tcW w:w="397" w:type="pct"/>
            <w:tcBorders>
              <w:top w:val="nil"/>
              <w:left w:val="nil"/>
              <w:bottom w:val="nil"/>
              <w:right w:val="nil"/>
            </w:tcBorders>
            <w:shd w:val="clear" w:color="auto" w:fill="auto"/>
            <w:noWrap/>
            <w:vAlign w:val="bottom"/>
            <w:hideMark/>
          </w:tcPr>
          <w:p w14:paraId="4266A3B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394" w:type="pct"/>
            <w:tcBorders>
              <w:top w:val="nil"/>
              <w:left w:val="nil"/>
              <w:bottom w:val="nil"/>
              <w:right w:val="nil"/>
            </w:tcBorders>
            <w:shd w:val="clear" w:color="auto" w:fill="auto"/>
            <w:noWrap/>
            <w:vAlign w:val="bottom"/>
            <w:hideMark/>
          </w:tcPr>
          <w:p w14:paraId="76A28A0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397" w:type="pct"/>
            <w:tcBorders>
              <w:top w:val="nil"/>
              <w:left w:val="nil"/>
              <w:bottom w:val="nil"/>
              <w:right w:val="nil"/>
            </w:tcBorders>
            <w:shd w:val="clear" w:color="auto" w:fill="auto"/>
            <w:noWrap/>
            <w:vAlign w:val="bottom"/>
            <w:hideMark/>
          </w:tcPr>
          <w:p w14:paraId="5496086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7.28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432" w:type="pct"/>
            <w:tcBorders>
              <w:top w:val="nil"/>
              <w:left w:val="nil"/>
              <w:bottom w:val="nil"/>
              <w:right w:val="nil"/>
            </w:tcBorders>
            <w:shd w:val="clear" w:color="auto" w:fill="auto"/>
            <w:noWrap/>
            <w:vAlign w:val="bottom"/>
            <w:hideMark/>
          </w:tcPr>
          <w:p w14:paraId="1ACC695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8.99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r>
      <w:tr w:rsidR="003658EA" w:rsidRPr="00C44CFC" w14:paraId="1AF31EFF" w14:textId="77777777" w:rsidTr="00A53996">
        <w:trPr>
          <w:trHeight w:val="300"/>
        </w:trPr>
        <w:tc>
          <w:tcPr>
            <w:tcW w:w="311" w:type="pct"/>
            <w:vMerge/>
            <w:tcBorders>
              <w:top w:val="single" w:sz="4" w:space="0" w:color="auto"/>
              <w:left w:val="nil"/>
              <w:bottom w:val="nil"/>
              <w:right w:val="nil"/>
            </w:tcBorders>
            <w:vAlign w:val="center"/>
            <w:hideMark/>
          </w:tcPr>
          <w:p w14:paraId="22B45F68"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7CBCE4E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8</w:t>
            </w:r>
          </w:p>
        </w:tc>
        <w:tc>
          <w:tcPr>
            <w:tcW w:w="432" w:type="pct"/>
            <w:tcBorders>
              <w:top w:val="nil"/>
              <w:left w:val="nil"/>
              <w:bottom w:val="nil"/>
              <w:right w:val="nil"/>
            </w:tcBorders>
            <w:shd w:val="clear" w:color="auto" w:fill="auto"/>
            <w:noWrap/>
            <w:vAlign w:val="bottom"/>
            <w:hideMark/>
          </w:tcPr>
          <w:p w14:paraId="75A68719"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7.27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(0.51)</w:t>
            </w:r>
          </w:p>
        </w:tc>
        <w:tc>
          <w:tcPr>
            <w:tcW w:w="397" w:type="pct"/>
            <w:tcBorders>
              <w:top w:val="nil"/>
              <w:left w:val="nil"/>
              <w:bottom w:val="nil"/>
              <w:right w:val="nil"/>
            </w:tcBorders>
            <w:shd w:val="clear" w:color="auto" w:fill="auto"/>
            <w:noWrap/>
            <w:vAlign w:val="bottom"/>
            <w:hideMark/>
          </w:tcPr>
          <w:p w14:paraId="1099BCC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6.83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(0.21)</w:t>
            </w:r>
          </w:p>
        </w:tc>
        <w:tc>
          <w:tcPr>
            <w:tcW w:w="394" w:type="pct"/>
            <w:tcBorders>
              <w:top w:val="nil"/>
              <w:left w:val="nil"/>
              <w:bottom w:val="nil"/>
              <w:right w:val="nil"/>
            </w:tcBorders>
            <w:shd w:val="clear" w:color="auto" w:fill="auto"/>
            <w:noWrap/>
            <w:vAlign w:val="bottom"/>
            <w:hideMark/>
          </w:tcPr>
          <w:p w14:paraId="74ECBB8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(0.56)</w:t>
            </w:r>
          </w:p>
        </w:tc>
        <w:tc>
          <w:tcPr>
            <w:tcW w:w="432" w:type="pct"/>
            <w:tcBorders>
              <w:top w:val="nil"/>
              <w:left w:val="nil"/>
              <w:bottom w:val="nil"/>
              <w:right w:val="nil"/>
            </w:tcBorders>
            <w:shd w:val="clear" w:color="auto" w:fill="auto"/>
            <w:noWrap/>
            <w:vAlign w:val="bottom"/>
            <w:hideMark/>
          </w:tcPr>
          <w:p w14:paraId="38E3B0B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(0.40)</w:t>
            </w:r>
          </w:p>
        </w:tc>
        <w:tc>
          <w:tcPr>
            <w:tcW w:w="432" w:type="pct"/>
            <w:tcBorders>
              <w:top w:val="nil"/>
              <w:left w:val="nil"/>
              <w:bottom w:val="nil"/>
              <w:right w:val="nil"/>
            </w:tcBorders>
            <w:shd w:val="clear" w:color="auto" w:fill="auto"/>
            <w:noWrap/>
            <w:vAlign w:val="bottom"/>
            <w:hideMark/>
          </w:tcPr>
          <w:p w14:paraId="12003C9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6.95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(0.16)</w:t>
            </w:r>
          </w:p>
        </w:tc>
        <w:tc>
          <w:tcPr>
            <w:tcW w:w="429" w:type="pct"/>
            <w:tcBorders>
              <w:top w:val="nil"/>
              <w:left w:val="nil"/>
              <w:bottom w:val="nil"/>
              <w:right w:val="nil"/>
            </w:tcBorders>
            <w:shd w:val="clear" w:color="auto" w:fill="auto"/>
            <w:noWrap/>
            <w:vAlign w:val="bottom"/>
            <w:hideMark/>
          </w:tcPr>
          <w:p w14:paraId="2E2074D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(0.21)</w:t>
            </w:r>
          </w:p>
        </w:tc>
        <w:tc>
          <w:tcPr>
            <w:tcW w:w="397" w:type="pct"/>
            <w:tcBorders>
              <w:top w:val="nil"/>
              <w:left w:val="nil"/>
              <w:bottom w:val="nil"/>
              <w:right w:val="nil"/>
            </w:tcBorders>
            <w:shd w:val="clear" w:color="auto" w:fill="auto"/>
            <w:noWrap/>
            <w:vAlign w:val="bottom"/>
            <w:hideMark/>
          </w:tcPr>
          <w:p w14:paraId="2E2E769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(0.49)</w:t>
            </w:r>
          </w:p>
        </w:tc>
        <w:tc>
          <w:tcPr>
            <w:tcW w:w="397" w:type="pct"/>
            <w:tcBorders>
              <w:top w:val="nil"/>
              <w:left w:val="nil"/>
              <w:bottom w:val="nil"/>
              <w:right w:val="nil"/>
            </w:tcBorders>
            <w:shd w:val="clear" w:color="auto" w:fill="auto"/>
            <w:noWrap/>
            <w:vAlign w:val="bottom"/>
            <w:hideMark/>
          </w:tcPr>
          <w:p w14:paraId="4787E0E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7.89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(0.45)</w:t>
            </w:r>
          </w:p>
        </w:tc>
        <w:tc>
          <w:tcPr>
            <w:tcW w:w="394" w:type="pct"/>
            <w:tcBorders>
              <w:top w:val="nil"/>
              <w:left w:val="nil"/>
              <w:bottom w:val="nil"/>
              <w:right w:val="nil"/>
            </w:tcBorders>
            <w:shd w:val="clear" w:color="auto" w:fill="auto"/>
            <w:noWrap/>
            <w:vAlign w:val="bottom"/>
            <w:hideMark/>
          </w:tcPr>
          <w:p w14:paraId="42CB252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7.57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(0.38)</w:t>
            </w:r>
          </w:p>
        </w:tc>
        <w:tc>
          <w:tcPr>
            <w:tcW w:w="397" w:type="pct"/>
            <w:tcBorders>
              <w:top w:val="nil"/>
              <w:left w:val="nil"/>
              <w:bottom w:val="nil"/>
              <w:right w:val="nil"/>
            </w:tcBorders>
            <w:shd w:val="clear" w:color="auto" w:fill="auto"/>
            <w:noWrap/>
            <w:vAlign w:val="bottom"/>
            <w:hideMark/>
          </w:tcPr>
          <w:p w14:paraId="065C337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7.03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(0.31)</w:t>
            </w:r>
          </w:p>
        </w:tc>
        <w:tc>
          <w:tcPr>
            <w:tcW w:w="432" w:type="pct"/>
            <w:tcBorders>
              <w:top w:val="nil"/>
              <w:left w:val="nil"/>
              <w:bottom w:val="nil"/>
              <w:right w:val="nil"/>
            </w:tcBorders>
            <w:shd w:val="clear" w:color="auto" w:fill="auto"/>
            <w:noWrap/>
            <w:vAlign w:val="bottom"/>
            <w:hideMark/>
          </w:tcPr>
          <w:p w14:paraId="1A2F12D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8.63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(0.41)</w:t>
            </w:r>
          </w:p>
        </w:tc>
      </w:tr>
      <w:tr w:rsidR="003658EA" w:rsidRPr="00C44CFC" w14:paraId="497BB29B" w14:textId="77777777" w:rsidTr="00A53996">
        <w:trPr>
          <w:trHeight w:val="300"/>
        </w:trPr>
        <w:tc>
          <w:tcPr>
            <w:tcW w:w="311" w:type="pct"/>
            <w:vMerge/>
            <w:tcBorders>
              <w:top w:val="single" w:sz="4" w:space="0" w:color="auto"/>
              <w:left w:val="nil"/>
              <w:bottom w:val="nil"/>
              <w:right w:val="nil"/>
            </w:tcBorders>
            <w:vAlign w:val="center"/>
            <w:hideMark/>
          </w:tcPr>
          <w:p w14:paraId="7BF8E264"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16121AA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24</w:t>
            </w:r>
          </w:p>
        </w:tc>
        <w:tc>
          <w:tcPr>
            <w:tcW w:w="432" w:type="pct"/>
            <w:tcBorders>
              <w:top w:val="nil"/>
              <w:left w:val="nil"/>
              <w:bottom w:val="nil"/>
              <w:right w:val="nil"/>
            </w:tcBorders>
            <w:shd w:val="clear" w:color="auto" w:fill="auto"/>
            <w:noWrap/>
            <w:vAlign w:val="bottom"/>
            <w:hideMark/>
          </w:tcPr>
          <w:p w14:paraId="4F954A1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7.56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(0.37)</w:t>
            </w:r>
          </w:p>
        </w:tc>
        <w:tc>
          <w:tcPr>
            <w:tcW w:w="397" w:type="pct"/>
            <w:tcBorders>
              <w:top w:val="nil"/>
              <w:left w:val="nil"/>
              <w:bottom w:val="nil"/>
              <w:right w:val="nil"/>
            </w:tcBorders>
            <w:shd w:val="clear" w:color="auto" w:fill="auto"/>
            <w:noWrap/>
            <w:vAlign w:val="bottom"/>
            <w:hideMark/>
          </w:tcPr>
          <w:p w14:paraId="2D49256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(0.02)</w:t>
            </w:r>
          </w:p>
        </w:tc>
        <w:tc>
          <w:tcPr>
            <w:tcW w:w="394" w:type="pct"/>
            <w:tcBorders>
              <w:top w:val="nil"/>
              <w:left w:val="nil"/>
              <w:bottom w:val="nil"/>
              <w:right w:val="nil"/>
            </w:tcBorders>
            <w:shd w:val="clear" w:color="auto" w:fill="auto"/>
            <w:noWrap/>
            <w:vAlign w:val="bottom"/>
            <w:hideMark/>
          </w:tcPr>
          <w:p w14:paraId="6A2BFB3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7.27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(0.35)</w:t>
            </w:r>
          </w:p>
        </w:tc>
        <w:tc>
          <w:tcPr>
            <w:tcW w:w="432" w:type="pct"/>
            <w:tcBorders>
              <w:top w:val="nil"/>
              <w:left w:val="nil"/>
              <w:bottom w:val="nil"/>
              <w:right w:val="nil"/>
            </w:tcBorders>
            <w:shd w:val="clear" w:color="auto" w:fill="auto"/>
            <w:noWrap/>
            <w:vAlign w:val="bottom"/>
            <w:hideMark/>
          </w:tcPr>
          <w:p w14:paraId="3450516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(0.29)</w:t>
            </w:r>
          </w:p>
        </w:tc>
        <w:tc>
          <w:tcPr>
            <w:tcW w:w="432" w:type="pct"/>
            <w:tcBorders>
              <w:top w:val="nil"/>
              <w:left w:val="nil"/>
              <w:bottom w:val="nil"/>
              <w:right w:val="nil"/>
            </w:tcBorders>
            <w:shd w:val="clear" w:color="auto" w:fill="auto"/>
            <w:noWrap/>
            <w:vAlign w:val="bottom"/>
            <w:hideMark/>
          </w:tcPr>
          <w:p w14:paraId="0850BF8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7.20</w:t>
            </w:r>
            <w:r>
              <w:rPr>
                <w:rFonts w:ascii="Calibri" w:eastAsia="Times New Roman" w:hAnsi="Calibri" w:cs="Calibri"/>
                <w:color w:val="000000"/>
                <w:sz w:val="20"/>
                <w:szCs w:val="20"/>
              </w:rPr>
              <w:t>ab</w:t>
            </w:r>
            <w:r w:rsidRPr="00C95A3E">
              <w:rPr>
                <w:rFonts w:ascii="Calibri" w:eastAsia="Times New Roman" w:hAnsi="Calibri" w:cs="Calibri"/>
                <w:color w:val="000000"/>
                <w:sz w:val="20"/>
                <w:szCs w:val="20"/>
              </w:rPr>
              <w:t xml:space="preserve"> (0.06)</w:t>
            </w:r>
          </w:p>
        </w:tc>
        <w:tc>
          <w:tcPr>
            <w:tcW w:w="429" w:type="pct"/>
            <w:tcBorders>
              <w:top w:val="nil"/>
              <w:left w:val="nil"/>
              <w:bottom w:val="nil"/>
              <w:right w:val="nil"/>
            </w:tcBorders>
            <w:shd w:val="clear" w:color="auto" w:fill="auto"/>
            <w:noWrap/>
            <w:vAlign w:val="bottom"/>
            <w:hideMark/>
          </w:tcPr>
          <w:p w14:paraId="1CCF89D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7.51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(0.14)</w:t>
            </w:r>
          </w:p>
        </w:tc>
        <w:tc>
          <w:tcPr>
            <w:tcW w:w="397" w:type="pct"/>
            <w:tcBorders>
              <w:top w:val="nil"/>
              <w:left w:val="nil"/>
              <w:bottom w:val="nil"/>
              <w:right w:val="nil"/>
            </w:tcBorders>
            <w:shd w:val="clear" w:color="auto" w:fill="auto"/>
            <w:noWrap/>
            <w:vAlign w:val="bottom"/>
            <w:hideMark/>
          </w:tcPr>
          <w:p w14:paraId="60E7A5A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(0.14)</w:t>
            </w:r>
          </w:p>
        </w:tc>
        <w:tc>
          <w:tcPr>
            <w:tcW w:w="397" w:type="pct"/>
            <w:tcBorders>
              <w:top w:val="nil"/>
              <w:left w:val="nil"/>
              <w:bottom w:val="nil"/>
              <w:right w:val="nil"/>
            </w:tcBorders>
            <w:shd w:val="clear" w:color="auto" w:fill="auto"/>
            <w:noWrap/>
            <w:vAlign w:val="bottom"/>
            <w:hideMark/>
          </w:tcPr>
          <w:p w14:paraId="31CA68A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(0.26)</w:t>
            </w:r>
          </w:p>
        </w:tc>
        <w:tc>
          <w:tcPr>
            <w:tcW w:w="394" w:type="pct"/>
            <w:tcBorders>
              <w:top w:val="nil"/>
              <w:left w:val="nil"/>
              <w:bottom w:val="nil"/>
              <w:right w:val="nil"/>
            </w:tcBorders>
            <w:shd w:val="clear" w:color="auto" w:fill="auto"/>
            <w:noWrap/>
            <w:vAlign w:val="bottom"/>
            <w:hideMark/>
          </w:tcPr>
          <w:p w14:paraId="3D1ECED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(0.12)</w:t>
            </w:r>
          </w:p>
        </w:tc>
        <w:tc>
          <w:tcPr>
            <w:tcW w:w="397" w:type="pct"/>
            <w:tcBorders>
              <w:top w:val="nil"/>
              <w:left w:val="nil"/>
              <w:bottom w:val="nil"/>
              <w:right w:val="nil"/>
            </w:tcBorders>
            <w:shd w:val="clear" w:color="auto" w:fill="auto"/>
            <w:noWrap/>
            <w:vAlign w:val="bottom"/>
            <w:hideMark/>
          </w:tcPr>
          <w:p w14:paraId="61F158E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432" w:type="pct"/>
            <w:tcBorders>
              <w:top w:val="nil"/>
              <w:left w:val="nil"/>
              <w:bottom w:val="nil"/>
              <w:right w:val="nil"/>
            </w:tcBorders>
            <w:shd w:val="clear" w:color="auto" w:fill="auto"/>
            <w:noWrap/>
            <w:vAlign w:val="bottom"/>
            <w:hideMark/>
          </w:tcPr>
          <w:p w14:paraId="02EC9779"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8.74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(0.17)</w:t>
            </w:r>
          </w:p>
        </w:tc>
      </w:tr>
      <w:tr w:rsidR="003658EA" w:rsidRPr="00C44CFC" w14:paraId="442719E5" w14:textId="77777777" w:rsidTr="00A53996">
        <w:trPr>
          <w:trHeight w:val="300"/>
        </w:trPr>
        <w:tc>
          <w:tcPr>
            <w:tcW w:w="311" w:type="pct"/>
            <w:vMerge w:val="restart"/>
            <w:tcBorders>
              <w:top w:val="single" w:sz="4" w:space="0" w:color="auto"/>
              <w:left w:val="nil"/>
              <w:bottom w:val="nil"/>
              <w:right w:val="nil"/>
            </w:tcBorders>
            <w:shd w:val="clear" w:color="auto" w:fill="auto"/>
            <w:noWrap/>
            <w:vAlign w:val="bottom"/>
            <w:hideMark/>
          </w:tcPr>
          <w:p w14:paraId="297FC04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FOS</w:t>
            </w:r>
          </w:p>
        </w:tc>
        <w:tc>
          <w:tcPr>
            <w:tcW w:w="157" w:type="pct"/>
            <w:tcBorders>
              <w:top w:val="single" w:sz="4" w:space="0" w:color="auto"/>
              <w:left w:val="nil"/>
              <w:bottom w:val="nil"/>
              <w:right w:val="nil"/>
            </w:tcBorders>
            <w:shd w:val="clear" w:color="auto" w:fill="auto"/>
            <w:noWrap/>
            <w:vAlign w:val="bottom"/>
            <w:hideMark/>
          </w:tcPr>
          <w:p w14:paraId="24FF1CD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0</w:t>
            </w:r>
          </w:p>
        </w:tc>
        <w:tc>
          <w:tcPr>
            <w:tcW w:w="432" w:type="pct"/>
            <w:tcBorders>
              <w:top w:val="single" w:sz="4" w:space="0" w:color="auto"/>
              <w:left w:val="nil"/>
              <w:bottom w:val="nil"/>
              <w:right w:val="nil"/>
            </w:tcBorders>
            <w:shd w:val="clear" w:color="auto" w:fill="auto"/>
            <w:noWrap/>
            <w:vAlign w:val="bottom"/>
            <w:hideMark/>
          </w:tcPr>
          <w:p w14:paraId="6A02F3F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(0.16)</w:t>
            </w:r>
          </w:p>
        </w:tc>
        <w:tc>
          <w:tcPr>
            <w:tcW w:w="397" w:type="pct"/>
            <w:tcBorders>
              <w:top w:val="single" w:sz="4" w:space="0" w:color="auto"/>
              <w:left w:val="nil"/>
              <w:bottom w:val="nil"/>
              <w:right w:val="nil"/>
            </w:tcBorders>
            <w:shd w:val="clear" w:color="auto" w:fill="auto"/>
            <w:noWrap/>
            <w:vAlign w:val="bottom"/>
            <w:hideMark/>
          </w:tcPr>
          <w:p w14:paraId="0E55647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(0.09)</w:t>
            </w:r>
          </w:p>
        </w:tc>
        <w:tc>
          <w:tcPr>
            <w:tcW w:w="394" w:type="pct"/>
            <w:tcBorders>
              <w:top w:val="single" w:sz="4" w:space="0" w:color="auto"/>
              <w:left w:val="nil"/>
              <w:bottom w:val="nil"/>
              <w:right w:val="nil"/>
            </w:tcBorders>
            <w:shd w:val="clear" w:color="auto" w:fill="auto"/>
            <w:noWrap/>
            <w:vAlign w:val="bottom"/>
            <w:hideMark/>
          </w:tcPr>
          <w:p w14:paraId="7CFB924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7.86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(0.08)</w:t>
            </w:r>
          </w:p>
        </w:tc>
        <w:tc>
          <w:tcPr>
            <w:tcW w:w="432" w:type="pct"/>
            <w:tcBorders>
              <w:top w:val="single" w:sz="4" w:space="0" w:color="auto"/>
              <w:left w:val="nil"/>
              <w:bottom w:val="nil"/>
              <w:right w:val="nil"/>
            </w:tcBorders>
            <w:shd w:val="clear" w:color="auto" w:fill="auto"/>
            <w:noWrap/>
            <w:vAlign w:val="bottom"/>
            <w:hideMark/>
          </w:tcPr>
          <w:p w14:paraId="5A287DD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(0.04)</w:t>
            </w:r>
          </w:p>
        </w:tc>
        <w:tc>
          <w:tcPr>
            <w:tcW w:w="432" w:type="pct"/>
            <w:tcBorders>
              <w:top w:val="single" w:sz="4" w:space="0" w:color="auto"/>
              <w:left w:val="nil"/>
              <w:bottom w:val="nil"/>
              <w:right w:val="nil"/>
            </w:tcBorders>
            <w:shd w:val="clear" w:color="auto" w:fill="auto"/>
            <w:noWrap/>
            <w:vAlign w:val="bottom"/>
            <w:hideMark/>
          </w:tcPr>
          <w:p w14:paraId="5E70BAA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7.73a </w:t>
            </w:r>
            <w:r w:rsidRPr="00C95A3E">
              <w:rPr>
                <w:rFonts w:ascii="Calibri" w:eastAsia="Times New Roman" w:hAnsi="Calibri" w:cs="Calibri"/>
                <w:color w:val="000000"/>
                <w:sz w:val="20"/>
                <w:szCs w:val="20"/>
              </w:rPr>
              <w:t>(0.05)</w:t>
            </w:r>
          </w:p>
        </w:tc>
        <w:tc>
          <w:tcPr>
            <w:tcW w:w="429" w:type="pct"/>
            <w:tcBorders>
              <w:top w:val="single" w:sz="4" w:space="0" w:color="auto"/>
              <w:left w:val="nil"/>
              <w:bottom w:val="nil"/>
              <w:right w:val="nil"/>
            </w:tcBorders>
            <w:shd w:val="clear" w:color="auto" w:fill="auto"/>
            <w:noWrap/>
            <w:vAlign w:val="bottom"/>
            <w:hideMark/>
          </w:tcPr>
          <w:p w14:paraId="25B4B9A9"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(0.08)</w:t>
            </w:r>
          </w:p>
        </w:tc>
        <w:tc>
          <w:tcPr>
            <w:tcW w:w="397" w:type="pct"/>
            <w:tcBorders>
              <w:top w:val="single" w:sz="4" w:space="0" w:color="auto"/>
              <w:left w:val="nil"/>
              <w:bottom w:val="nil"/>
              <w:right w:val="nil"/>
            </w:tcBorders>
            <w:shd w:val="clear" w:color="auto" w:fill="auto"/>
            <w:noWrap/>
            <w:vAlign w:val="bottom"/>
            <w:hideMark/>
          </w:tcPr>
          <w:p w14:paraId="214355F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Pr>
                <w:rFonts w:ascii="Calibri" w:eastAsia="Times New Roman" w:hAnsi="Calibri" w:cs="Calibri"/>
                <w:color w:val="000000"/>
                <w:sz w:val="20"/>
                <w:szCs w:val="20"/>
              </w:rPr>
              <w:t xml:space="preserve">8.26a </w:t>
            </w:r>
            <w:r w:rsidRPr="00C95A3E">
              <w:rPr>
                <w:rFonts w:ascii="Calibri" w:eastAsia="Times New Roman" w:hAnsi="Calibri" w:cs="Calibri"/>
                <w:color w:val="000000"/>
                <w:sz w:val="20"/>
                <w:szCs w:val="20"/>
              </w:rPr>
              <w:t>(0.06)</w:t>
            </w:r>
          </w:p>
        </w:tc>
        <w:tc>
          <w:tcPr>
            <w:tcW w:w="397" w:type="pct"/>
            <w:tcBorders>
              <w:top w:val="single" w:sz="4" w:space="0" w:color="auto"/>
              <w:left w:val="nil"/>
              <w:bottom w:val="nil"/>
              <w:right w:val="nil"/>
            </w:tcBorders>
            <w:shd w:val="clear" w:color="auto" w:fill="auto"/>
            <w:noWrap/>
            <w:vAlign w:val="bottom"/>
            <w:hideMark/>
          </w:tcPr>
          <w:p w14:paraId="2F44FEA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(0.05)</w:t>
            </w:r>
          </w:p>
        </w:tc>
        <w:tc>
          <w:tcPr>
            <w:tcW w:w="394" w:type="pct"/>
            <w:tcBorders>
              <w:top w:val="single" w:sz="4" w:space="0" w:color="auto"/>
              <w:left w:val="nil"/>
              <w:bottom w:val="nil"/>
              <w:right w:val="nil"/>
            </w:tcBorders>
            <w:shd w:val="clear" w:color="auto" w:fill="auto"/>
            <w:noWrap/>
            <w:vAlign w:val="bottom"/>
            <w:hideMark/>
          </w:tcPr>
          <w:p w14:paraId="04EB23E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7.82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(0.01)</w:t>
            </w:r>
          </w:p>
        </w:tc>
        <w:tc>
          <w:tcPr>
            <w:tcW w:w="397" w:type="pct"/>
            <w:tcBorders>
              <w:top w:val="single" w:sz="4" w:space="0" w:color="auto"/>
              <w:left w:val="nil"/>
              <w:bottom w:val="nil"/>
              <w:right w:val="nil"/>
            </w:tcBorders>
            <w:shd w:val="clear" w:color="auto" w:fill="auto"/>
            <w:noWrap/>
            <w:vAlign w:val="bottom"/>
            <w:hideMark/>
          </w:tcPr>
          <w:p w14:paraId="4BCDA58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(0.20)</w:t>
            </w:r>
          </w:p>
        </w:tc>
        <w:tc>
          <w:tcPr>
            <w:tcW w:w="432" w:type="pct"/>
            <w:tcBorders>
              <w:top w:val="single" w:sz="4" w:space="0" w:color="auto"/>
              <w:left w:val="nil"/>
              <w:bottom w:val="nil"/>
              <w:right w:val="nil"/>
            </w:tcBorders>
            <w:shd w:val="clear" w:color="auto" w:fill="auto"/>
            <w:noWrap/>
            <w:vAlign w:val="bottom"/>
            <w:hideMark/>
          </w:tcPr>
          <w:p w14:paraId="2B53AD2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9.01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(0.02)</w:t>
            </w:r>
          </w:p>
        </w:tc>
      </w:tr>
      <w:tr w:rsidR="003658EA" w:rsidRPr="00C44CFC" w14:paraId="4A24AE65" w14:textId="77777777" w:rsidTr="00A53996">
        <w:trPr>
          <w:trHeight w:val="300"/>
        </w:trPr>
        <w:tc>
          <w:tcPr>
            <w:tcW w:w="311" w:type="pct"/>
            <w:vMerge/>
            <w:tcBorders>
              <w:top w:val="single" w:sz="4" w:space="0" w:color="auto"/>
              <w:left w:val="nil"/>
              <w:bottom w:val="nil"/>
              <w:right w:val="nil"/>
            </w:tcBorders>
            <w:vAlign w:val="center"/>
            <w:hideMark/>
          </w:tcPr>
          <w:p w14:paraId="2B1946C7"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03BCF8F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4</w:t>
            </w:r>
          </w:p>
        </w:tc>
        <w:tc>
          <w:tcPr>
            <w:tcW w:w="432" w:type="pct"/>
            <w:tcBorders>
              <w:top w:val="nil"/>
              <w:left w:val="nil"/>
              <w:bottom w:val="nil"/>
              <w:right w:val="nil"/>
            </w:tcBorders>
            <w:shd w:val="clear" w:color="auto" w:fill="auto"/>
            <w:noWrap/>
            <w:vAlign w:val="bottom"/>
            <w:hideMark/>
          </w:tcPr>
          <w:p w14:paraId="03A6F55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8.12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(0.17)</w:t>
            </w:r>
          </w:p>
        </w:tc>
        <w:tc>
          <w:tcPr>
            <w:tcW w:w="397" w:type="pct"/>
            <w:tcBorders>
              <w:top w:val="nil"/>
              <w:left w:val="nil"/>
              <w:bottom w:val="nil"/>
              <w:right w:val="nil"/>
            </w:tcBorders>
            <w:shd w:val="clear" w:color="auto" w:fill="auto"/>
            <w:noWrap/>
            <w:vAlign w:val="bottom"/>
            <w:hideMark/>
          </w:tcPr>
          <w:p w14:paraId="371DEE0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(0.20)</w:t>
            </w:r>
          </w:p>
        </w:tc>
        <w:tc>
          <w:tcPr>
            <w:tcW w:w="394" w:type="pct"/>
            <w:tcBorders>
              <w:top w:val="nil"/>
              <w:left w:val="nil"/>
              <w:bottom w:val="nil"/>
              <w:right w:val="nil"/>
            </w:tcBorders>
            <w:shd w:val="clear" w:color="auto" w:fill="auto"/>
            <w:noWrap/>
            <w:vAlign w:val="bottom"/>
            <w:hideMark/>
          </w:tcPr>
          <w:p w14:paraId="1240847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7.85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(0.14)</w:t>
            </w:r>
          </w:p>
        </w:tc>
        <w:tc>
          <w:tcPr>
            <w:tcW w:w="432" w:type="pct"/>
            <w:tcBorders>
              <w:top w:val="nil"/>
              <w:left w:val="nil"/>
              <w:bottom w:val="nil"/>
              <w:right w:val="nil"/>
            </w:tcBorders>
            <w:shd w:val="clear" w:color="auto" w:fill="auto"/>
            <w:noWrap/>
            <w:vAlign w:val="bottom"/>
            <w:hideMark/>
          </w:tcPr>
          <w:p w14:paraId="5025A1F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432" w:type="pct"/>
            <w:tcBorders>
              <w:top w:val="nil"/>
              <w:left w:val="nil"/>
              <w:bottom w:val="nil"/>
              <w:right w:val="nil"/>
            </w:tcBorders>
            <w:shd w:val="clear" w:color="auto" w:fill="auto"/>
            <w:noWrap/>
            <w:vAlign w:val="bottom"/>
            <w:hideMark/>
          </w:tcPr>
          <w:p w14:paraId="4EC456E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(0.03)</w:t>
            </w:r>
          </w:p>
        </w:tc>
        <w:tc>
          <w:tcPr>
            <w:tcW w:w="429" w:type="pct"/>
            <w:tcBorders>
              <w:top w:val="nil"/>
              <w:left w:val="nil"/>
              <w:bottom w:val="nil"/>
              <w:right w:val="nil"/>
            </w:tcBorders>
            <w:shd w:val="clear" w:color="auto" w:fill="auto"/>
            <w:noWrap/>
            <w:vAlign w:val="bottom"/>
            <w:hideMark/>
          </w:tcPr>
          <w:p w14:paraId="5D47B12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(0.07)</w:t>
            </w:r>
          </w:p>
        </w:tc>
        <w:tc>
          <w:tcPr>
            <w:tcW w:w="397" w:type="pct"/>
            <w:tcBorders>
              <w:top w:val="nil"/>
              <w:left w:val="nil"/>
              <w:bottom w:val="nil"/>
              <w:right w:val="nil"/>
            </w:tcBorders>
            <w:shd w:val="clear" w:color="auto" w:fill="auto"/>
            <w:noWrap/>
            <w:vAlign w:val="bottom"/>
            <w:hideMark/>
          </w:tcPr>
          <w:p w14:paraId="2263934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8.26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(0.08)</w:t>
            </w:r>
          </w:p>
        </w:tc>
        <w:tc>
          <w:tcPr>
            <w:tcW w:w="397" w:type="pct"/>
            <w:tcBorders>
              <w:top w:val="nil"/>
              <w:left w:val="nil"/>
              <w:bottom w:val="nil"/>
              <w:right w:val="nil"/>
            </w:tcBorders>
            <w:shd w:val="clear" w:color="auto" w:fill="auto"/>
            <w:noWrap/>
            <w:vAlign w:val="bottom"/>
            <w:hideMark/>
          </w:tcPr>
          <w:p w14:paraId="61153B5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8.51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394" w:type="pct"/>
            <w:tcBorders>
              <w:top w:val="nil"/>
              <w:left w:val="nil"/>
              <w:bottom w:val="nil"/>
              <w:right w:val="nil"/>
            </w:tcBorders>
            <w:shd w:val="clear" w:color="auto" w:fill="auto"/>
            <w:noWrap/>
            <w:vAlign w:val="bottom"/>
            <w:hideMark/>
          </w:tcPr>
          <w:p w14:paraId="069370A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8.25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(0.03)</w:t>
            </w:r>
          </w:p>
        </w:tc>
        <w:tc>
          <w:tcPr>
            <w:tcW w:w="397" w:type="pct"/>
            <w:tcBorders>
              <w:top w:val="nil"/>
              <w:left w:val="nil"/>
              <w:bottom w:val="nil"/>
              <w:right w:val="nil"/>
            </w:tcBorders>
            <w:shd w:val="clear" w:color="auto" w:fill="auto"/>
            <w:noWrap/>
            <w:vAlign w:val="bottom"/>
            <w:hideMark/>
          </w:tcPr>
          <w:p w14:paraId="6156430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432" w:type="pct"/>
            <w:tcBorders>
              <w:top w:val="nil"/>
              <w:left w:val="nil"/>
              <w:bottom w:val="nil"/>
              <w:right w:val="nil"/>
            </w:tcBorders>
            <w:shd w:val="clear" w:color="auto" w:fill="auto"/>
            <w:noWrap/>
            <w:vAlign w:val="bottom"/>
            <w:hideMark/>
          </w:tcPr>
          <w:p w14:paraId="455788B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9.15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(0.04)</w:t>
            </w:r>
          </w:p>
        </w:tc>
      </w:tr>
      <w:tr w:rsidR="003658EA" w:rsidRPr="00C44CFC" w14:paraId="09B57632" w14:textId="77777777" w:rsidTr="00A53996">
        <w:trPr>
          <w:trHeight w:val="300"/>
        </w:trPr>
        <w:tc>
          <w:tcPr>
            <w:tcW w:w="311" w:type="pct"/>
            <w:vMerge/>
            <w:tcBorders>
              <w:top w:val="single" w:sz="4" w:space="0" w:color="auto"/>
              <w:left w:val="nil"/>
              <w:bottom w:val="nil"/>
              <w:right w:val="nil"/>
            </w:tcBorders>
            <w:vAlign w:val="center"/>
            <w:hideMark/>
          </w:tcPr>
          <w:p w14:paraId="7C433154"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38C85F2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8</w:t>
            </w:r>
          </w:p>
        </w:tc>
        <w:tc>
          <w:tcPr>
            <w:tcW w:w="432" w:type="pct"/>
            <w:tcBorders>
              <w:top w:val="nil"/>
              <w:left w:val="nil"/>
              <w:bottom w:val="nil"/>
              <w:right w:val="nil"/>
            </w:tcBorders>
            <w:shd w:val="clear" w:color="auto" w:fill="auto"/>
            <w:noWrap/>
            <w:vAlign w:val="bottom"/>
            <w:hideMark/>
          </w:tcPr>
          <w:p w14:paraId="79F7038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Pr>
                <w:rFonts w:ascii="Calibri" w:eastAsia="Times New Roman" w:hAnsi="Calibri" w:cs="Calibri"/>
                <w:b/>
                <w:bCs/>
                <w:color w:val="000000"/>
                <w:sz w:val="20"/>
                <w:szCs w:val="20"/>
              </w:rPr>
              <w:t>9.42b*</w:t>
            </w:r>
            <w:r w:rsidRPr="00C95A3E">
              <w:rPr>
                <w:rFonts w:ascii="Calibri" w:eastAsia="Times New Roman" w:hAnsi="Calibri" w:cs="Calibri"/>
                <w:color w:val="000000"/>
                <w:sz w:val="20"/>
                <w:szCs w:val="20"/>
              </w:rPr>
              <w:t xml:space="preserve"> (0.27)</w:t>
            </w:r>
          </w:p>
        </w:tc>
        <w:tc>
          <w:tcPr>
            <w:tcW w:w="397" w:type="pct"/>
            <w:tcBorders>
              <w:top w:val="nil"/>
              <w:left w:val="nil"/>
              <w:bottom w:val="nil"/>
              <w:right w:val="nil"/>
            </w:tcBorders>
            <w:shd w:val="clear" w:color="auto" w:fill="auto"/>
            <w:noWrap/>
            <w:vAlign w:val="bottom"/>
            <w:hideMark/>
          </w:tcPr>
          <w:p w14:paraId="145034C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6.97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394" w:type="pct"/>
            <w:tcBorders>
              <w:top w:val="nil"/>
              <w:left w:val="nil"/>
              <w:bottom w:val="nil"/>
              <w:right w:val="nil"/>
            </w:tcBorders>
            <w:shd w:val="clear" w:color="auto" w:fill="auto"/>
            <w:noWrap/>
            <w:vAlign w:val="bottom"/>
            <w:hideMark/>
          </w:tcPr>
          <w:p w14:paraId="6404A5C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8.29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(0.26)</w:t>
            </w:r>
          </w:p>
        </w:tc>
        <w:tc>
          <w:tcPr>
            <w:tcW w:w="432" w:type="pct"/>
            <w:tcBorders>
              <w:top w:val="nil"/>
              <w:left w:val="nil"/>
              <w:bottom w:val="nil"/>
              <w:right w:val="nil"/>
            </w:tcBorders>
            <w:shd w:val="clear" w:color="auto" w:fill="auto"/>
            <w:noWrap/>
            <w:vAlign w:val="bottom"/>
            <w:hideMark/>
          </w:tcPr>
          <w:p w14:paraId="2157CE8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8.89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(0.03)</w:t>
            </w:r>
          </w:p>
        </w:tc>
        <w:tc>
          <w:tcPr>
            <w:tcW w:w="432" w:type="pct"/>
            <w:tcBorders>
              <w:top w:val="nil"/>
              <w:left w:val="nil"/>
              <w:bottom w:val="nil"/>
              <w:right w:val="nil"/>
            </w:tcBorders>
            <w:shd w:val="clear" w:color="auto" w:fill="auto"/>
            <w:noWrap/>
            <w:vAlign w:val="bottom"/>
            <w:hideMark/>
          </w:tcPr>
          <w:p w14:paraId="409BF79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6.94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(0.29)</w:t>
            </w:r>
          </w:p>
        </w:tc>
        <w:tc>
          <w:tcPr>
            <w:tcW w:w="429" w:type="pct"/>
            <w:tcBorders>
              <w:top w:val="nil"/>
              <w:left w:val="nil"/>
              <w:bottom w:val="nil"/>
              <w:right w:val="nil"/>
            </w:tcBorders>
            <w:shd w:val="clear" w:color="auto" w:fill="auto"/>
            <w:noWrap/>
            <w:vAlign w:val="bottom"/>
            <w:hideMark/>
          </w:tcPr>
          <w:p w14:paraId="3A75A20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8.31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(0.35)</w:t>
            </w:r>
          </w:p>
        </w:tc>
        <w:tc>
          <w:tcPr>
            <w:tcW w:w="397" w:type="pct"/>
            <w:tcBorders>
              <w:top w:val="nil"/>
              <w:left w:val="nil"/>
              <w:bottom w:val="nil"/>
              <w:right w:val="nil"/>
            </w:tcBorders>
            <w:shd w:val="clear" w:color="auto" w:fill="auto"/>
            <w:noWrap/>
            <w:vAlign w:val="bottom"/>
            <w:hideMark/>
          </w:tcPr>
          <w:p w14:paraId="4DD51E3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8.52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(0.25)</w:t>
            </w:r>
          </w:p>
        </w:tc>
        <w:tc>
          <w:tcPr>
            <w:tcW w:w="397" w:type="pct"/>
            <w:tcBorders>
              <w:top w:val="nil"/>
              <w:left w:val="nil"/>
              <w:bottom w:val="nil"/>
              <w:right w:val="nil"/>
            </w:tcBorders>
            <w:shd w:val="clear" w:color="auto" w:fill="auto"/>
            <w:noWrap/>
            <w:vAlign w:val="bottom"/>
            <w:hideMark/>
          </w:tcPr>
          <w:p w14:paraId="03F5D92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8.78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(0.22)</w:t>
            </w:r>
          </w:p>
        </w:tc>
        <w:tc>
          <w:tcPr>
            <w:tcW w:w="394" w:type="pct"/>
            <w:tcBorders>
              <w:top w:val="nil"/>
              <w:left w:val="nil"/>
              <w:bottom w:val="nil"/>
              <w:right w:val="nil"/>
            </w:tcBorders>
            <w:shd w:val="clear" w:color="auto" w:fill="auto"/>
            <w:noWrap/>
            <w:vAlign w:val="bottom"/>
            <w:hideMark/>
          </w:tcPr>
          <w:p w14:paraId="0997D86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8.47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(0.26)</w:t>
            </w:r>
          </w:p>
        </w:tc>
        <w:tc>
          <w:tcPr>
            <w:tcW w:w="397" w:type="pct"/>
            <w:tcBorders>
              <w:top w:val="nil"/>
              <w:left w:val="nil"/>
              <w:bottom w:val="nil"/>
              <w:right w:val="nil"/>
            </w:tcBorders>
            <w:shd w:val="clear" w:color="auto" w:fill="auto"/>
            <w:noWrap/>
            <w:vAlign w:val="bottom"/>
            <w:hideMark/>
          </w:tcPr>
          <w:p w14:paraId="215696B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(0.15)</w:t>
            </w:r>
          </w:p>
        </w:tc>
        <w:tc>
          <w:tcPr>
            <w:tcW w:w="432" w:type="pct"/>
            <w:tcBorders>
              <w:top w:val="nil"/>
              <w:left w:val="nil"/>
              <w:bottom w:val="nil"/>
              <w:right w:val="nil"/>
            </w:tcBorders>
            <w:shd w:val="clear" w:color="auto" w:fill="auto"/>
            <w:noWrap/>
            <w:vAlign w:val="bottom"/>
            <w:hideMark/>
          </w:tcPr>
          <w:p w14:paraId="11E1423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F61954">
              <w:rPr>
                <w:rFonts w:ascii="Calibri" w:eastAsia="Times New Roman" w:hAnsi="Calibri" w:cs="Calibri"/>
                <w:b/>
                <w:bCs/>
                <w:color w:val="000000"/>
                <w:sz w:val="20"/>
                <w:szCs w:val="20"/>
              </w:rPr>
              <w:t>9.80b</w:t>
            </w:r>
            <w:r>
              <w:rPr>
                <w:rFonts w:ascii="Calibri" w:eastAsia="Times New Roman" w:hAnsi="Calibri" w:cs="Calibri"/>
                <w:b/>
                <w:bCs/>
                <w:color w:val="000000"/>
                <w:sz w:val="20"/>
                <w:szCs w:val="20"/>
              </w:rPr>
              <w:t>*</w:t>
            </w:r>
            <w:r w:rsidRPr="00C95A3E">
              <w:rPr>
                <w:rFonts w:ascii="Calibri" w:eastAsia="Times New Roman" w:hAnsi="Calibri" w:cs="Calibri"/>
                <w:color w:val="000000"/>
                <w:sz w:val="20"/>
                <w:szCs w:val="20"/>
              </w:rPr>
              <w:t xml:space="preserve"> (0.21)</w:t>
            </w:r>
          </w:p>
        </w:tc>
      </w:tr>
      <w:tr w:rsidR="003658EA" w:rsidRPr="00C44CFC" w14:paraId="40FC8279" w14:textId="77777777" w:rsidTr="00A53996">
        <w:trPr>
          <w:trHeight w:val="300"/>
        </w:trPr>
        <w:tc>
          <w:tcPr>
            <w:tcW w:w="311" w:type="pct"/>
            <w:vMerge/>
            <w:tcBorders>
              <w:top w:val="single" w:sz="4" w:space="0" w:color="auto"/>
              <w:left w:val="nil"/>
              <w:bottom w:val="nil"/>
              <w:right w:val="nil"/>
            </w:tcBorders>
            <w:vAlign w:val="center"/>
            <w:hideMark/>
          </w:tcPr>
          <w:p w14:paraId="11842393"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155575D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24</w:t>
            </w:r>
          </w:p>
        </w:tc>
        <w:tc>
          <w:tcPr>
            <w:tcW w:w="432" w:type="pct"/>
            <w:tcBorders>
              <w:top w:val="nil"/>
              <w:left w:val="nil"/>
              <w:bottom w:val="nil"/>
              <w:right w:val="nil"/>
            </w:tcBorders>
            <w:shd w:val="clear" w:color="auto" w:fill="auto"/>
            <w:noWrap/>
            <w:vAlign w:val="bottom"/>
            <w:hideMark/>
          </w:tcPr>
          <w:p w14:paraId="0A96EF8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2A21">
              <w:rPr>
                <w:rFonts w:ascii="Calibri" w:eastAsia="Times New Roman" w:hAnsi="Calibri" w:cs="Calibri"/>
                <w:b/>
                <w:bCs/>
                <w:color w:val="000000"/>
                <w:sz w:val="20"/>
                <w:szCs w:val="20"/>
              </w:rPr>
              <w:t>9.07b*</w:t>
            </w:r>
            <w:r w:rsidRPr="00C95A3E">
              <w:rPr>
                <w:rFonts w:ascii="Calibri" w:eastAsia="Times New Roman" w:hAnsi="Calibri" w:cs="Calibri"/>
                <w:color w:val="000000"/>
                <w:sz w:val="20"/>
                <w:szCs w:val="20"/>
              </w:rPr>
              <w:t xml:space="preserve"> (0.23)</w:t>
            </w:r>
          </w:p>
        </w:tc>
        <w:tc>
          <w:tcPr>
            <w:tcW w:w="397" w:type="pct"/>
            <w:tcBorders>
              <w:top w:val="nil"/>
              <w:left w:val="nil"/>
              <w:bottom w:val="nil"/>
              <w:right w:val="nil"/>
            </w:tcBorders>
            <w:shd w:val="clear" w:color="auto" w:fill="auto"/>
            <w:noWrap/>
            <w:vAlign w:val="bottom"/>
            <w:hideMark/>
          </w:tcPr>
          <w:p w14:paraId="5B70FFB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(0.13)</w:t>
            </w:r>
          </w:p>
        </w:tc>
        <w:tc>
          <w:tcPr>
            <w:tcW w:w="394" w:type="pct"/>
            <w:tcBorders>
              <w:top w:val="nil"/>
              <w:left w:val="nil"/>
              <w:bottom w:val="nil"/>
              <w:right w:val="nil"/>
            </w:tcBorders>
            <w:shd w:val="clear" w:color="auto" w:fill="auto"/>
            <w:noWrap/>
            <w:vAlign w:val="bottom"/>
            <w:hideMark/>
          </w:tcPr>
          <w:p w14:paraId="190FD7B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0.18)</w:t>
            </w:r>
          </w:p>
        </w:tc>
        <w:tc>
          <w:tcPr>
            <w:tcW w:w="432" w:type="pct"/>
            <w:tcBorders>
              <w:top w:val="nil"/>
              <w:left w:val="nil"/>
              <w:bottom w:val="nil"/>
              <w:right w:val="nil"/>
            </w:tcBorders>
            <w:shd w:val="clear" w:color="auto" w:fill="auto"/>
            <w:noWrap/>
            <w:vAlign w:val="bottom"/>
            <w:hideMark/>
          </w:tcPr>
          <w:p w14:paraId="0FD464F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8.66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(0.04)</w:t>
            </w:r>
          </w:p>
        </w:tc>
        <w:tc>
          <w:tcPr>
            <w:tcW w:w="432" w:type="pct"/>
            <w:tcBorders>
              <w:top w:val="nil"/>
              <w:left w:val="nil"/>
              <w:bottom w:val="nil"/>
              <w:right w:val="nil"/>
            </w:tcBorders>
            <w:shd w:val="clear" w:color="auto" w:fill="auto"/>
            <w:noWrap/>
            <w:vAlign w:val="bottom"/>
            <w:hideMark/>
          </w:tcPr>
          <w:p w14:paraId="6231785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6.68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(0.15)</w:t>
            </w:r>
          </w:p>
        </w:tc>
        <w:tc>
          <w:tcPr>
            <w:tcW w:w="429" w:type="pct"/>
            <w:tcBorders>
              <w:top w:val="nil"/>
              <w:left w:val="nil"/>
              <w:bottom w:val="nil"/>
              <w:right w:val="nil"/>
            </w:tcBorders>
            <w:shd w:val="clear" w:color="auto" w:fill="auto"/>
            <w:noWrap/>
            <w:vAlign w:val="bottom"/>
            <w:hideMark/>
          </w:tcPr>
          <w:p w14:paraId="1EE2BF6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(0.26)</w:t>
            </w:r>
          </w:p>
        </w:tc>
        <w:tc>
          <w:tcPr>
            <w:tcW w:w="397" w:type="pct"/>
            <w:tcBorders>
              <w:top w:val="nil"/>
              <w:left w:val="nil"/>
              <w:bottom w:val="nil"/>
              <w:right w:val="nil"/>
            </w:tcBorders>
            <w:shd w:val="clear" w:color="auto" w:fill="auto"/>
            <w:noWrap/>
            <w:vAlign w:val="bottom"/>
            <w:hideMark/>
          </w:tcPr>
          <w:p w14:paraId="7BD5C0C9"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(0.13)</w:t>
            </w:r>
          </w:p>
        </w:tc>
        <w:tc>
          <w:tcPr>
            <w:tcW w:w="397" w:type="pct"/>
            <w:tcBorders>
              <w:top w:val="nil"/>
              <w:left w:val="nil"/>
              <w:bottom w:val="nil"/>
              <w:right w:val="nil"/>
            </w:tcBorders>
            <w:shd w:val="clear" w:color="auto" w:fill="auto"/>
            <w:noWrap/>
            <w:vAlign w:val="bottom"/>
            <w:hideMark/>
          </w:tcPr>
          <w:p w14:paraId="5251CE3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6.84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(0.32)</w:t>
            </w:r>
          </w:p>
        </w:tc>
        <w:tc>
          <w:tcPr>
            <w:tcW w:w="394" w:type="pct"/>
            <w:tcBorders>
              <w:top w:val="nil"/>
              <w:left w:val="nil"/>
              <w:bottom w:val="nil"/>
              <w:right w:val="nil"/>
            </w:tcBorders>
            <w:shd w:val="clear" w:color="auto" w:fill="auto"/>
            <w:noWrap/>
            <w:vAlign w:val="bottom"/>
            <w:hideMark/>
          </w:tcPr>
          <w:p w14:paraId="2760DCB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(0.25)</w:t>
            </w:r>
          </w:p>
        </w:tc>
        <w:tc>
          <w:tcPr>
            <w:tcW w:w="397" w:type="pct"/>
            <w:tcBorders>
              <w:top w:val="nil"/>
              <w:left w:val="nil"/>
              <w:bottom w:val="nil"/>
              <w:right w:val="nil"/>
            </w:tcBorders>
            <w:shd w:val="clear" w:color="auto" w:fill="auto"/>
            <w:noWrap/>
            <w:vAlign w:val="bottom"/>
            <w:hideMark/>
          </w:tcPr>
          <w:p w14:paraId="4A01007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(0.36)</w:t>
            </w:r>
          </w:p>
        </w:tc>
        <w:tc>
          <w:tcPr>
            <w:tcW w:w="432" w:type="pct"/>
            <w:tcBorders>
              <w:top w:val="nil"/>
              <w:left w:val="nil"/>
              <w:bottom w:val="nil"/>
              <w:right w:val="nil"/>
            </w:tcBorders>
            <w:shd w:val="clear" w:color="auto" w:fill="auto"/>
            <w:noWrap/>
            <w:vAlign w:val="bottom"/>
            <w:hideMark/>
          </w:tcPr>
          <w:p w14:paraId="237B01B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9.37</w:t>
            </w:r>
            <w:r>
              <w:rPr>
                <w:rFonts w:ascii="Calibri" w:eastAsia="Times New Roman" w:hAnsi="Calibri" w:cs="Calibri"/>
                <w:color w:val="000000"/>
                <w:sz w:val="20"/>
                <w:szCs w:val="20"/>
              </w:rPr>
              <w:t>b</w:t>
            </w:r>
            <w:r w:rsidRPr="00C95A3E">
              <w:rPr>
                <w:rFonts w:ascii="Calibri" w:eastAsia="Times New Roman" w:hAnsi="Calibri" w:cs="Calibri"/>
                <w:color w:val="000000"/>
                <w:sz w:val="20"/>
                <w:szCs w:val="20"/>
              </w:rPr>
              <w:t xml:space="preserve"> (0.14)</w:t>
            </w:r>
          </w:p>
        </w:tc>
      </w:tr>
      <w:tr w:rsidR="003658EA" w:rsidRPr="00C44CFC" w14:paraId="79F33855" w14:textId="77777777" w:rsidTr="00A53996">
        <w:trPr>
          <w:trHeight w:val="300"/>
        </w:trPr>
        <w:tc>
          <w:tcPr>
            <w:tcW w:w="311" w:type="pct"/>
            <w:vMerge w:val="restart"/>
            <w:tcBorders>
              <w:top w:val="single" w:sz="4" w:space="0" w:color="auto"/>
              <w:left w:val="nil"/>
              <w:bottom w:val="nil"/>
              <w:right w:val="nil"/>
            </w:tcBorders>
            <w:shd w:val="clear" w:color="auto" w:fill="auto"/>
            <w:noWrap/>
            <w:vAlign w:val="bottom"/>
            <w:hideMark/>
          </w:tcPr>
          <w:p w14:paraId="3226250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 xml:space="preserve">AX </w:t>
            </w:r>
          </w:p>
        </w:tc>
        <w:tc>
          <w:tcPr>
            <w:tcW w:w="157" w:type="pct"/>
            <w:tcBorders>
              <w:top w:val="single" w:sz="4" w:space="0" w:color="auto"/>
              <w:left w:val="nil"/>
              <w:bottom w:val="nil"/>
              <w:right w:val="nil"/>
            </w:tcBorders>
            <w:shd w:val="clear" w:color="auto" w:fill="auto"/>
            <w:noWrap/>
            <w:vAlign w:val="bottom"/>
            <w:hideMark/>
          </w:tcPr>
          <w:p w14:paraId="7C66C1B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0</w:t>
            </w:r>
          </w:p>
        </w:tc>
        <w:tc>
          <w:tcPr>
            <w:tcW w:w="432" w:type="pct"/>
            <w:tcBorders>
              <w:top w:val="single" w:sz="4" w:space="0" w:color="auto"/>
              <w:left w:val="nil"/>
              <w:bottom w:val="nil"/>
              <w:right w:val="nil"/>
            </w:tcBorders>
            <w:shd w:val="clear" w:color="auto" w:fill="auto"/>
            <w:noWrap/>
            <w:vAlign w:val="bottom"/>
            <w:hideMark/>
          </w:tcPr>
          <w:p w14:paraId="0D23BE8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(0.23)</w:t>
            </w:r>
          </w:p>
        </w:tc>
        <w:tc>
          <w:tcPr>
            <w:tcW w:w="397" w:type="pct"/>
            <w:tcBorders>
              <w:top w:val="single" w:sz="4" w:space="0" w:color="auto"/>
              <w:left w:val="nil"/>
              <w:bottom w:val="nil"/>
              <w:right w:val="nil"/>
            </w:tcBorders>
            <w:shd w:val="clear" w:color="auto" w:fill="auto"/>
            <w:noWrap/>
            <w:vAlign w:val="bottom"/>
            <w:hideMark/>
          </w:tcPr>
          <w:p w14:paraId="2F517B3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(0.06)</w:t>
            </w:r>
          </w:p>
        </w:tc>
        <w:tc>
          <w:tcPr>
            <w:tcW w:w="394" w:type="pct"/>
            <w:tcBorders>
              <w:top w:val="single" w:sz="4" w:space="0" w:color="auto"/>
              <w:left w:val="nil"/>
              <w:bottom w:val="nil"/>
              <w:right w:val="nil"/>
            </w:tcBorders>
            <w:shd w:val="clear" w:color="auto" w:fill="auto"/>
            <w:noWrap/>
            <w:vAlign w:val="bottom"/>
            <w:hideMark/>
          </w:tcPr>
          <w:p w14:paraId="63F1BB7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7.84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(0.17)</w:t>
            </w:r>
          </w:p>
        </w:tc>
        <w:tc>
          <w:tcPr>
            <w:tcW w:w="432" w:type="pct"/>
            <w:tcBorders>
              <w:top w:val="single" w:sz="4" w:space="0" w:color="auto"/>
              <w:left w:val="nil"/>
              <w:bottom w:val="nil"/>
              <w:right w:val="nil"/>
            </w:tcBorders>
            <w:shd w:val="clear" w:color="auto" w:fill="auto"/>
            <w:noWrap/>
            <w:vAlign w:val="bottom"/>
            <w:hideMark/>
          </w:tcPr>
          <w:p w14:paraId="4BB171B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8.47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(0.19)</w:t>
            </w:r>
          </w:p>
        </w:tc>
        <w:tc>
          <w:tcPr>
            <w:tcW w:w="432" w:type="pct"/>
            <w:tcBorders>
              <w:top w:val="single" w:sz="4" w:space="0" w:color="auto"/>
              <w:left w:val="nil"/>
              <w:bottom w:val="nil"/>
              <w:right w:val="nil"/>
            </w:tcBorders>
            <w:shd w:val="clear" w:color="auto" w:fill="auto"/>
            <w:noWrap/>
            <w:vAlign w:val="bottom"/>
            <w:hideMark/>
          </w:tcPr>
          <w:p w14:paraId="716436C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(0.17)</w:t>
            </w:r>
          </w:p>
        </w:tc>
        <w:tc>
          <w:tcPr>
            <w:tcW w:w="429" w:type="pct"/>
            <w:tcBorders>
              <w:top w:val="single" w:sz="4" w:space="0" w:color="auto"/>
              <w:left w:val="nil"/>
              <w:bottom w:val="nil"/>
              <w:right w:val="nil"/>
            </w:tcBorders>
            <w:shd w:val="clear" w:color="auto" w:fill="auto"/>
            <w:noWrap/>
            <w:vAlign w:val="bottom"/>
            <w:hideMark/>
          </w:tcPr>
          <w:p w14:paraId="2C9613B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7.43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(0.09)</w:t>
            </w:r>
          </w:p>
        </w:tc>
        <w:tc>
          <w:tcPr>
            <w:tcW w:w="397" w:type="pct"/>
            <w:tcBorders>
              <w:top w:val="single" w:sz="4" w:space="0" w:color="auto"/>
              <w:left w:val="nil"/>
              <w:bottom w:val="nil"/>
              <w:right w:val="nil"/>
            </w:tcBorders>
            <w:shd w:val="clear" w:color="auto" w:fill="auto"/>
            <w:noWrap/>
            <w:vAlign w:val="bottom"/>
            <w:hideMark/>
          </w:tcPr>
          <w:p w14:paraId="147FE9FE"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8.07</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397" w:type="pct"/>
            <w:tcBorders>
              <w:top w:val="single" w:sz="4" w:space="0" w:color="auto"/>
              <w:left w:val="nil"/>
              <w:bottom w:val="nil"/>
              <w:right w:val="nil"/>
            </w:tcBorders>
            <w:shd w:val="clear" w:color="auto" w:fill="auto"/>
            <w:noWrap/>
            <w:vAlign w:val="bottom"/>
            <w:hideMark/>
          </w:tcPr>
          <w:p w14:paraId="0A406ED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8.28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(0.09)</w:t>
            </w:r>
          </w:p>
        </w:tc>
        <w:tc>
          <w:tcPr>
            <w:tcW w:w="394" w:type="pct"/>
            <w:tcBorders>
              <w:top w:val="single" w:sz="4" w:space="0" w:color="auto"/>
              <w:left w:val="nil"/>
              <w:bottom w:val="nil"/>
              <w:right w:val="nil"/>
            </w:tcBorders>
            <w:shd w:val="clear" w:color="auto" w:fill="auto"/>
            <w:noWrap/>
            <w:vAlign w:val="bottom"/>
            <w:hideMark/>
          </w:tcPr>
          <w:p w14:paraId="64E834F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(0.15)</w:t>
            </w:r>
          </w:p>
        </w:tc>
        <w:tc>
          <w:tcPr>
            <w:tcW w:w="397" w:type="pct"/>
            <w:tcBorders>
              <w:top w:val="single" w:sz="4" w:space="0" w:color="auto"/>
              <w:left w:val="nil"/>
              <w:bottom w:val="nil"/>
              <w:right w:val="nil"/>
            </w:tcBorders>
            <w:shd w:val="clear" w:color="auto" w:fill="auto"/>
            <w:noWrap/>
            <w:vAlign w:val="bottom"/>
            <w:hideMark/>
          </w:tcPr>
          <w:p w14:paraId="3B440CC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7.20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(0.16)</w:t>
            </w:r>
          </w:p>
        </w:tc>
        <w:tc>
          <w:tcPr>
            <w:tcW w:w="432" w:type="pct"/>
            <w:tcBorders>
              <w:top w:val="single" w:sz="4" w:space="0" w:color="auto"/>
              <w:left w:val="nil"/>
              <w:bottom w:val="nil"/>
              <w:right w:val="nil"/>
            </w:tcBorders>
            <w:shd w:val="clear" w:color="auto" w:fill="auto"/>
            <w:noWrap/>
            <w:vAlign w:val="bottom"/>
            <w:hideMark/>
          </w:tcPr>
          <w:p w14:paraId="3CAAA7C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9.02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r>
      <w:tr w:rsidR="003658EA" w:rsidRPr="00C44CFC" w14:paraId="336D3198" w14:textId="77777777" w:rsidTr="00A53996">
        <w:trPr>
          <w:trHeight w:val="300"/>
        </w:trPr>
        <w:tc>
          <w:tcPr>
            <w:tcW w:w="311" w:type="pct"/>
            <w:vMerge/>
            <w:tcBorders>
              <w:top w:val="single" w:sz="4" w:space="0" w:color="auto"/>
              <w:left w:val="nil"/>
              <w:bottom w:val="nil"/>
              <w:right w:val="nil"/>
            </w:tcBorders>
            <w:vAlign w:val="center"/>
            <w:hideMark/>
          </w:tcPr>
          <w:p w14:paraId="02C51A2E"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5E8A0F9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4</w:t>
            </w:r>
          </w:p>
        </w:tc>
        <w:tc>
          <w:tcPr>
            <w:tcW w:w="432" w:type="pct"/>
            <w:tcBorders>
              <w:top w:val="nil"/>
              <w:left w:val="nil"/>
              <w:bottom w:val="nil"/>
              <w:right w:val="nil"/>
            </w:tcBorders>
            <w:shd w:val="clear" w:color="auto" w:fill="auto"/>
            <w:noWrap/>
            <w:vAlign w:val="bottom"/>
            <w:hideMark/>
          </w:tcPr>
          <w:p w14:paraId="71849BC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8.49</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(0.37)</w:t>
            </w:r>
          </w:p>
        </w:tc>
        <w:tc>
          <w:tcPr>
            <w:tcW w:w="397" w:type="pct"/>
            <w:tcBorders>
              <w:top w:val="nil"/>
              <w:left w:val="nil"/>
              <w:bottom w:val="nil"/>
              <w:right w:val="nil"/>
            </w:tcBorders>
            <w:shd w:val="clear" w:color="auto" w:fill="auto"/>
            <w:noWrap/>
            <w:vAlign w:val="bottom"/>
            <w:hideMark/>
          </w:tcPr>
          <w:p w14:paraId="0759DBB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6.65</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(0.03)</w:t>
            </w:r>
          </w:p>
        </w:tc>
        <w:tc>
          <w:tcPr>
            <w:tcW w:w="394" w:type="pct"/>
            <w:tcBorders>
              <w:top w:val="nil"/>
              <w:left w:val="nil"/>
              <w:bottom w:val="nil"/>
              <w:right w:val="nil"/>
            </w:tcBorders>
            <w:shd w:val="clear" w:color="auto" w:fill="auto"/>
            <w:noWrap/>
            <w:vAlign w:val="bottom"/>
            <w:hideMark/>
          </w:tcPr>
          <w:p w14:paraId="1D4DF57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(0.04)</w:t>
            </w:r>
          </w:p>
        </w:tc>
        <w:tc>
          <w:tcPr>
            <w:tcW w:w="432" w:type="pct"/>
            <w:tcBorders>
              <w:top w:val="nil"/>
              <w:left w:val="nil"/>
              <w:bottom w:val="nil"/>
              <w:right w:val="nil"/>
            </w:tcBorders>
            <w:shd w:val="clear" w:color="auto" w:fill="auto"/>
            <w:noWrap/>
            <w:vAlign w:val="bottom"/>
            <w:hideMark/>
          </w:tcPr>
          <w:p w14:paraId="52CD7EE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8.56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(0.15)</w:t>
            </w:r>
          </w:p>
        </w:tc>
        <w:tc>
          <w:tcPr>
            <w:tcW w:w="432" w:type="pct"/>
            <w:tcBorders>
              <w:top w:val="nil"/>
              <w:left w:val="nil"/>
              <w:bottom w:val="nil"/>
              <w:right w:val="nil"/>
            </w:tcBorders>
            <w:shd w:val="clear" w:color="auto" w:fill="auto"/>
            <w:noWrap/>
            <w:vAlign w:val="bottom"/>
            <w:hideMark/>
          </w:tcPr>
          <w:p w14:paraId="3089A2F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7.13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(0.36)</w:t>
            </w:r>
          </w:p>
        </w:tc>
        <w:tc>
          <w:tcPr>
            <w:tcW w:w="429" w:type="pct"/>
            <w:tcBorders>
              <w:top w:val="nil"/>
              <w:left w:val="nil"/>
              <w:bottom w:val="nil"/>
              <w:right w:val="nil"/>
            </w:tcBorders>
            <w:shd w:val="clear" w:color="auto" w:fill="auto"/>
            <w:noWrap/>
            <w:vAlign w:val="bottom"/>
            <w:hideMark/>
          </w:tcPr>
          <w:p w14:paraId="2B3D585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6.73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(0.35)</w:t>
            </w:r>
          </w:p>
        </w:tc>
        <w:tc>
          <w:tcPr>
            <w:tcW w:w="397" w:type="pct"/>
            <w:tcBorders>
              <w:top w:val="nil"/>
              <w:left w:val="nil"/>
              <w:bottom w:val="nil"/>
              <w:right w:val="nil"/>
            </w:tcBorders>
            <w:shd w:val="clear" w:color="auto" w:fill="auto"/>
            <w:noWrap/>
            <w:vAlign w:val="bottom"/>
            <w:hideMark/>
          </w:tcPr>
          <w:p w14:paraId="6B72B21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vertAlign w:val="superscript"/>
              </w:rPr>
              <w:t xml:space="preserve"> </w:t>
            </w:r>
            <w:r w:rsidRPr="00C95A3E">
              <w:rPr>
                <w:rFonts w:ascii="Calibri" w:eastAsia="Times New Roman" w:hAnsi="Calibri" w:cs="Calibri"/>
                <w:color w:val="000000"/>
                <w:sz w:val="20"/>
                <w:szCs w:val="20"/>
              </w:rPr>
              <w:t>(0.42)</w:t>
            </w:r>
          </w:p>
        </w:tc>
        <w:tc>
          <w:tcPr>
            <w:tcW w:w="397" w:type="pct"/>
            <w:tcBorders>
              <w:top w:val="nil"/>
              <w:left w:val="nil"/>
              <w:bottom w:val="nil"/>
              <w:right w:val="nil"/>
            </w:tcBorders>
            <w:shd w:val="clear" w:color="auto" w:fill="auto"/>
            <w:noWrap/>
            <w:vAlign w:val="bottom"/>
            <w:hideMark/>
          </w:tcPr>
          <w:p w14:paraId="2A26BD7A"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8.24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(0.04)</w:t>
            </w:r>
          </w:p>
        </w:tc>
        <w:tc>
          <w:tcPr>
            <w:tcW w:w="394" w:type="pct"/>
            <w:tcBorders>
              <w:top w:val="nil"/>
              <w:left w:val="nil"/>
              <w:bottom w:val="nil"/>
              <w:right w:val="nil"/>
            </w:tcBorders>
            <w:shd w:val="clear" w:color="auto" w:fill="auto"/>
            <w:noWrap/>
            <w:vAlign w:val="bottom"/>
            <w:hideMark/>
          </w:tcPr>
          <w:p w14:paraId="2B3FAFE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(0.02)</w:t>
            </w:r>
          </w:p>
        </w:tc>
        <w:tc>
          <w:tcPr>
            <w:tcW w:w="397" w:type="pct"/>
            <w:tcBorders>
              <w:top w:val="nil"/>
              <w:left w:val="nil"/>
              <w:bottom w:val="nil"/>
              <w:right w:val="nil"/>
            </w:tcBorders>
            <w:shd w:val="clear" w:color="auto" w:fill="auto"/>
            <w:noWrap/>
            <w:vAlign w:val="bottom"/>
            <w:hideMark/>
          </w:tcPr>
          <w:p w14:paraId="454B64A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6.91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(0.18)</w:t>
            </w:r>
          </w:p>
        </w:tc>
        <w:tc>
          <w:tcPr>
            <w:tcW w:w="432" w:type="pct"/>
            <w:tcBorders>
              <w:top w:val="nil"/>
              <w:left w:val="nil"/>
              <w:bottom w:val="nil"/>
              <w:right w:val="nil"/>
            </w:tcBorders>
            <w:shd w:val="clear" w:color="auto" w:fill="auto"/>
            <w:noWrap/>
            <w:vAlign w:val="bottom"/>
            <w:hideMark/>
          </w:tcPr>
          <w:p w14:paraId="7860C4D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9.23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r>
      <w:tr w:rsidR="003658EA" w:rsidRPr="00C44CFC" w14:paraId="4805EBF3" w14:textId="77777777" w:rsidTr="00A53996">
        <w:trPr>
          <w:trHeight w:val="300"/>
        </w:trPr>
        <w:tc>
          <w:tcPr>
            <w:tcW w:w="311" w:type="pct"/>
            <w:vMerge/>
            <w:tcBorders>
              <w:top w:val="single" w:sz="4" w:space="0" w:color="auto"/>
              <w:left w:val="nil"/>
              <w:bottom w:val="nil"/>
              <w:right w:val="nil"/>
            </w:tcBorders>
            <w:vAlign w:val="center"/>
            <w:hideMark/>
          </w:tcPr>
          <w:p w14:paraId="7F146FDA"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4E140404"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8</w:t>
            </w:r>
          </w:p>
        </w:tc>
        <w:tc>
          <w:tcPr>
            <w:tcW w:w="432" w:type="pct"/>
            <w:tcBorders>
              <w:top w:val="nil"/>
              <w:left w:val="nil"/>
              <w:bottom w:val="nil"/>
              <w:right w:val="nil"/>
            </w:tcBorders>
            <w:shd w:val="clear" w:color="auto" w:fill="auto"/>
            <w:noWrap/>
            <w:vAlign w:val="bottom"/>
            <w:hideMark/>
          </w:tcPr>
          <w:p w14:paraId="70EAF72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2A21">
              <w:rPr>
                <w:rFonts w:ascii="Calibri" w:eastAsia="Times New Roman" w:hAnsi="Calibri" w:cs="Calibri"/>
                <w:b/>
                <w:bCs/>
                <w:color w:val="000000"/>
                <w:sz w:val="20"/>
                <w:szCs w:val="20"/>
              </w:rPr>
              <w:t>8.86a</w:t>
            </w:r>
            <w:r>
              <w:rPr>
                <w:rFonts w:ascii="Calibri" w:eastAsia="Times New Roman" w:hAnsi="Calibri" w:cs="Calibri"/>
                <w:b/>
                <w:bCs/>
                <w:color w:val="000000"/>
                <w:sz w:val="20"/>
                <w:szCs w:val="20"/>
              </w:rPr>
              <w:t>b*</w:t>
            </w:r>
            <w:r w:rsidRPr="00C95A3E">
              <w:rPr>
                <w:rFonts w:ascii="Calibri" w:eastAsia="Times New Roman" w:hAnsi="Calibri" w:cs="Calibri"/>
                <w:bCs/>
                <w:color w:val="000000"/>
                <w:sz w:val="20"/>
                <w:szCs w:val="20"/>
                <w:vertAlign w:val="superscript"/>
              </w:rPr>
              <w:t xml:space="preserve"> </w:t>
            </w:r>
            <w:r w:rsidRPr="00C95A3E">
              <w:rPr>
                <w:rFonts w:ascii="Calibri" w:eastAsia="Times New Roman" w:hAnsi="Calibri" w:cs="Calibri"/>
                <w:color w:val="000000"/>
                <w:sz w:val="20"/>
                <w:szCs w:val="20"/>
              </w:rPr>
              <w:t>(0.15)</w:t>
            </w:r>
          </w:p>
        </w:tc>
        <w:tc>
          <w:tcPr>
            <w:tcW w:w="397" w:type="pct"/>
            <w:tcBorders>
              <w:top w:val="nil"/>
              <w:left w:val="nil"/>
              <w:bottom w:val="nil"/>
              <w:right w:val="nil"/>
            </w:tcBorders>
            <w:shd w:val="clear" w:color="auto" w:fill="auto"/>
            <w:noWrap/>
            <w:vAlign w:val="bottom"/>
            <w:hideMark/>
          </w:tcPr>
          <w:p w14:paraId="01195E81"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6.60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(0.23)</w:t>
            </w:r>
          </w:p>
        </w:tc>
        <w:tc>
          <w:tcPr>
            <w:tcW w:w="394" w:type="pct"/>
            <w:tcBorders>
              <w:top w:val="nil"/>
              <w:left w:val="nil"/>
              <w:bottom w:val="nil"/>
              <w:right w:val="nil"/>
            </w:tcBorders>
            <w:shd w:val="clear" w:color="auto" w:fill="auto"/>
            <w:noWrap/>
            <w:vAlign w:val="bottom"/>
            <w:hideMark/>
          </w:tcPr>
          <w:p w14:paraId="454B36B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(0.49)</w:t>
            </w:r>
          </w:p>
        </w:tc>
        <w:tc>
          <w:tcPr>
            <w:tcW w:w="432" w:type="pct"/>
            <w:tcBorders>
              <w:top w:val="nil"/>
              <w:left w:val="nil"/>
              <w:bottom w:val="nil"/>
              <w:right w:val="nil"/>
            </w:tcBorders>
            <w:shd w:val="clear" w:color="auto" w:fill="auto"/>
            <w:noWrap/>
            <w:vAlign w:val="bottom"/>
            <w:hideMark/>
          </w:tcPr>
          <w:p w14:paraId="717F82CB"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bCs/>
                <w:color w:val="000000"/>
                <w:sz w:val="20"/>
                <w:szCs w:val="20"/>
              </w:rPr>
              <w:t>8.95</w:t>
            </w:r>
            <w:r>
              <w:rPr>
                <w:rFonts w:ascii="Calibri" w:eastAsia="Times New Roman" w:hAnsi="Calibri" w:cs="Calibri"/>
                <w:bCs/>
                <w:color w:val="000000"/>
                <w:sz w:val="20"/>
                <w:szCs w:val="20"/>
              </w:rPr>
              <w:t>a</w:t>
            </w:r>
            <w:r w:rsidRPr="00C95A3E">
              <w:rPr>
                <w:rFonts w:ascii="Calibri" w:eastAsia="Times New Roman" w:hAnsi="Calibri" w:cs="Calibri"/>
                <w:color w:val="000000"/>
                <w:sz w:val="20"/>
                <w:szCs w:val="20"/>
              </w:rPr>
              <w:t xml:space="preserve"> (0.12)</w:t>
            </w:r>
          </w:p>
        </w:tc>
        <w:tc>
          <w:tcPr>
            <w:tcW w:w="432" w:type="pct"/>
            <w:tcBorders>
              <w:top w:val="nil"/>
              <w:left w:val="nil"/>
              <w:bottom w:val="nil"/>
              <w:right w:val="nil"/>
            </w:tcBorders>
            <w:shd w:val="clear" w:color="auto" w:fill="auto"/>
            <w:noWrap/>
            <w:vAlign w:val="bottom"/>
            <w:hideMark/>
          </w:tcPr>
          <w:p w14:paraId="43C9896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7.70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(0.52)</w:t>
            </w:r>
          </w:p>
        </w:tc>
        <w:tc>
          <w:tcPr>
            <w:tcW w:w="429" w:type="pct"/>
            <w:tcBorders>
              <w:top w:val="nil"/>
              <w:left w:val="nil"/>
              <w:bottom w:val="nil"/>
              <w:right w:val="nil"/>
            </w:tcBorders>
            <w:shd w:val="clear" w:color="auto" w:fill="auto"/>
            <w:noWrap/>
            <w:vAlign w:val="bottom"/>
            <w:hideMark/>
          </w:tcPr>
          <w:p w14:paraId="25A8FE6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6.78</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(0.19)</w:t>
            </w:r>
          </w:p>
        </w:tc>
        <w:tc>
          <w:tcPr>
            <w:tcW w:w="397" w:type="pct"/>
            <w:tcBorders>
              <w:top w:val="nil"/>
              <w:left w:val="nil"/>
              <w:bottom w:val="nil"/>
              <w:right w:val="nil"/>
            </w:tcBorders>
            <w:shd w:val="clear" w:color="auto" w:fill="auto"/>
            <w:noWrap/>
            <w:vAlign w:val="bottom"/>
            <w:hideMark/>
          </w:tcPr>
          <w:p w14:paraId="5F33671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7.32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(0.61)</w:t>
            </w:r>
          </w:p>
        </w:tc>
        <w:tc>
          <w:tcPr>
            <w:tcW w:w="397" w:type="pct"/>
            <w:tcBorders>
              <w:top w:val="nil"/>
              <w:left w:val="nil"/>
              <w:bottom w:val="nil"/>
              <w:right w:val="nil"/>
            </w:tcBorders>
            <w:shd w:val="clear" w:color="auto" w:fill="auto"/>
            <w:noWrap/>
            <w:vAlign w:val="bottom"/>
            <w:hideMark/>
          </w:tcPr>
          <w:p w14:paraId="5205C7D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7.66</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(0.70)</w:t>
            </w:r>
          </w:p>
        </w:tc>
        <w:tc>
          <w:tcPr>
            <w:tcW w:w="394" w:type="pct"/>
            <w:tcBorders>
              <w:top w:val="nil"/>
              <w:left w:val="nil"/>
              <w:bottom w:val="nil"/>
              <w:right w:val="nil"/>
            </w:tcBorders>
            <w:shd w:val="clear" w:color="auto" w:fill="auto"/>
            <w:noWrap/>
            <w:vAlign w:val="bottom"/>
            <w:hideMark/>
          </w:tcPr>
          <w:p w14:paraId="42D1A7E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6.80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(0.59)</w:t>
            </w:r>
          </w:p>
        </w:tc>
        <w:tc>
          <w:tcPr>
            <w:tcW w:w="397" w:type="pct"/>
            <w:tcBorders>
              <w:top w:val="nil"/>
              <w:left w:val="nil"/>
              <w:bottom w:val="nil"/>
              <w:right w:val="nil"/>
            </w:tcBorders>
            <w:shd w:val="clear" w:color="auto" w:fill="auto"/>
            <w:noWrap/>
            <w:vAlign w:val="bottom"/>
            <w:hideMark/>
          </w:tcPr>
          <w:p w14:paraId="0023265C"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6.51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(0.01)</w:t>
            </w:r>
          </w:p>
        </w:tc>
        <w:tc>
          <w:tcPr>
            <w:tcW w:w="432" w:type="pct"/>
            <w:tcBorders>
              <w:top w:val="nil"/>
              <w:left w:val="nil"/>
              <w:bottom w:val="nil"/>
              <w:right w:val="nil"/>
            </w:tcBorders>
            <w:shd w:val="clear" w:color="auto" w:fill="auto"/>
            <w:noWrap/>
            <w:vAlign w:val="bottom"/>
            <w:hideMark/>
          </w:tcPr>
          <w:p w14:paraId="5F8337F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bCs/>
                <w:color w:val="000000"/>
                <w:sz w:val="20"/>
                <w:szCs w:val="20"/>
              </w:rPr>
              <w:t>9.45</w:t>
            </w:r>
            <w:r>
              <w:rPr>
                <w:rFonts w:ascii="Calibri" w:eastAsia="Times New Roman" w:hAnsi="Calibri" w:cs="Calibri"/>
                <w:bCs/>
                <w:color w:val="000000"/>
                <w:sz w:val="20"/>
                <w:szCs w:val="20"/>
              </w:rPr>
              <w:t>b</w:t>
            </w:r>
            <w:r w:rsidRPr="00C95A3E">
              <w:rPr>
                <w:rFonts w:ascii="Calibri" w:eastAsia="Times New Roman" w:hAnsi="Calibri" w:cs="Calibri"/>
                <w:color w:val="000000"/>
                <w:sz w:val="20"/>
                <w:szCs w:val="20"/>
              </w:rPr>
              <w:t xml:space="preserve"> (0.09)</w:t>
            </w:r>
          </w:p>
        </w:tc>
      </w:tr>
      <w:tr w:rsidR="003658EA" w:rsidRPr="00C44CFC" w14:paraId="709D6109" w14:textId="77777777" w:rsidTr="00A53996">
        <w:trPr>
          <w:trHeight w:val="300"/>
        </w:trPr>
        <w:tc>
          <w:tcPr>
            <w:tcW w:w="311" w:type="pct"/>
            <w:vMerge/>
            <w:tcBorders>
              <w:top w:val="single" w:sz="4" w:space="0" w:color="auto"/>
              <w:left w:val="nil"/>
              <w:bottom w:val="nil"/>
              <w:right w:val="nil"/>
            </w:tcBorders>
            <w:vAlign w:val="center"/>
            <w:hideMark/>
          </w:tcPr>
          <w:p w14:paraId="26399183" w14:textId="77777777" w:rsidR="003658EA" w:rsidRPr="00C44CFC" w:rsidRDefault="003658EA" w:rsidP="00A53996">
            <w:pPr>
              <w:spacing w:after="0" w:line="240" w:lineRule="auto"/>
              <w:jc w:val="both"/>
              <w:rPr>
                <w:rFonts w:ascii="Calibri" w:eastAsia="Times New Roman" w:hAnsi="Calibri" w:cs="Calibri"/>
                <w:color w:val="000000"/>
                <w:sz w:val="20"/>
                <w:szCs w:val="20"/>
              </w:rPr>
            </w:pPr>
          </w:p>
        </w:tc>
        <w:tc>
          <w:tcPr>
            <w:tcW w:w="157" w:type="pct"/>
            <w:tcBorders>
              <w:top w:val="nil"/>
              <w:left w:val="nil"/>
              <w:bottom w:val="nil"/>
              <w:right w:val="nil"/>
            </w:tcBorders>
            <w:shd w:val="clear" w:color="auto" w:fill="auto"/>
            <w:noWrap/>
            <w:vAlign w:val="bottom"/>
            <w:hideMark/>
          </w:tcPr>
          <w:p w14:paraId="099005F7"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44CFC">
              <w:rPr>
                <w:rFonts w:ascii="Calibri" w:eastAsia="Times New Roman" w:hAnsi="Calibri" w:cs="Calibri"/>
                <w:color w:val="000000"/>
                <w:sz w:val="20"/>
                <w:szCs w:val="20"/>
              </w:rPr>
              <w:t>24</w:t>
            </w:r>
          </w:p>
        </w:tc>
        <w:tc>
          <w:tcPr>
            <w:tcW w:w="432" w:type="pct"/>
            <w:tcBorders>
              <w:top w:val="nil"/>
              <w:left w:val="nil"/>
              <w:bottom w:val="nil"/>
              <w:right w:val="nil"/>
            </w:tcBorders>
            <w:shd w:val="clear" w:color="auto" w:fill="auto"/>
            <w:noWrap/>
            <w:vAlign w:val="bottom"/>
            <w:hideMark/>
          </w:tcPr>
          <w:p w14:paraId="7541911F"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Pr>
                <w:rFonts w:ascii="Calibri" w:eastAsia="Times New Roman" w:hAnsi="Calibri" w:cs="Calibri"/>
                <w:b/>
                <w:bCs/>
                <w:color w:val="000000"/>
                <w:sz w:val="20"/>
                <w:szCs w:val="20"/>
              </w:rPr>
              <w:t>9.13</w:t>
            </w:r>
            <w:r w:rsidRPr="00C92A21">
              <w:rPr>
                <w:rFonts w:ascii="Calibri" w:eastAsia="Times New Roman" w:hAnsi="Calibri" w:cs="Calibri"/>
                <w:b/>
                <w:bCs/>
                <w:color w:val="000000"/>
                <w:sz w:val="20"/>
                <w:szCs w:val="20"/>
              </w:rPr>
              <w:t>b*</w:t>
            </w:r>
            <w:r w:rsidRPr="00C95A3E">
              <w:rPr>
                <w:rFonts w:ascii="Calibri" w:eastAsia="Times New Roman" w:hAnsi="Calibri" w:cs="Calibri"/>
                <w:color w:val="000000"/>
                <w:sz w:val="20"/>
                <w:szCs w:val="20"/>
              </w:rPr>
              <w:t xml:space="preserve"> (0.28)</w:t>
            </w:r>
          </w:p>
        </w:tc>
        <w:tc>
          <w:tcPr>
            <w:tcW w:w="397" w:type="pct"/>
            <w:tcBorders>
              <w:top w:val="nil"/>
              <w:left w:val="nil"/>
              <w:bottom w:val="nil"/>
              <w:right w:val="nil"/>
            </w:tcBorders>
            <w:shd w:val="clear" w:color="auto" w:fill="auto"/>
            <w:noWrap/>
            <w:vAlign w:val="bottom"/>
            <w:hideMark/>
          </w:tcPr>
          <w:p w14:paraId="6F693B89"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(0.13)</w:t>
            </w:r>
          </w:p>
        </w:tc>
        <w:tc>
          <w:tcPr>
            <w:tcW w:w="394" w:type="pct"/>
            <w:tcBorders>
              <w:top w:val="nil"/>
              <w:left w:val="nil"/>
              <w:bottom w:val="nil"/>
              <w:right w:val="nil"/>
            </w:tcBorders>
            <w:shd w:val="clear" w:color="auto" w:fill="auto"/>
            <w:noWrap/>
            <w:vAlign w:val="bottom"/>
            <w:hideMark/>
          </w:tcPr>
          <w:p w14:paraId="331DD88D"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8.50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(0.11)</w:t>
            </w:r>
          </w:p>
        </w:tc>
        <w:tc>
          <w:tcPr>
            <w:tcW w:w="432" w:type="pct"/>
            <w:tcBorders>
              <w:top w:val="nil"/>
              <w:left w:val="nil"/>
              <w:bottom w:val="nil"/>
              <w:right w:val="nil"/>
            </w:tcBorders>
            <w:shd w:val="clear" w:color="auto" w:fill="auto"/>
            <w:noWrap/>
            <w:vAlign w:val="bottom"/>
            <w:hideMark/>
          </w:tcPr>
          <w:p w14:paraId="1B0974B6"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Pr>
                <w:rFonts w:ascii="Calibri" w:eastAsia="Times New Roman" w:hAnsi="Calibri" w:cs="Calibri"/>
                <w:b/>
                <w:bCs/>
                <w:color w:val="000000"/>
                <w:sz w:val="20"/>
                <w:szCs w:val="20"/>
              </w:rPr>
              <w:t>9.44b*</w:t>
            </w:r>
            <w:r w:rsidRPr="00C95A3E">
              <w:rPr>
                <w:rFonts w:ascii="Calibri" w:eastAsia="Times New Roman" w:hAnsi="Calibri" w:cs="Calibri"/>
                <w:color w:val="000000"/>
                <w:sz w:val="20"/>
                <w:szCs w:val="20"/>
              </w:rPr>
              <w:t xml:space="preserve"> (0.14)</w:t>
            </w:r>
          </w:p>
        </w:tc>
        <w:tc>
          <w:tcPr>
            <w:tcW w:w="432" w:type="pct"/>
            <w:tcBorders>
              <w:top w:val="nil"/>
              <w:left w:val="nil"/>
              <w:bottom w:val="nil"/>
              <w:right w:val="nil"/>
            </w:tcBorders>
            <w:shd w:val="clear" w:color="auto" w:fill="auto"/>
            <w:noWrap/>
            <w:vAlign w:val="bottom"/>
            <w:hideMark/>
          </w:tcPr>
          <w:p w14:paraId="54CF3BA3"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2A21">
              <w:rPr>
                <w:rFonts w:ascii="Calibri" w:eastAsia="Times New Roman" w:hAnsi="Calibri" w:cs="Calibri"/>
                <w:b/>
                <w:bCs/>
                <w:color w:val="000000"/>
                <w:sz w:val="20"/>
                <w:szCs w:val="20"/>
              </w:rPr>
              <w:t>8.59b</w:t>
            </w:r>
            <w:r>
              <w:rPr>
                <w:rFonts w:ascii="Calibri" w:eastAsia="Times New Roman" w:hAnsi="Calibri" w:cs="Calibri"/>
                <w:b/>
                <w:bCs/>
                <w:color w:val="000000"/>
                <w:sz w:val="20"/>
                <w:szCs w:val="20"/>
              </w:rPr>
              <w:t>*</w:t>
            </w:r>
            <w:r w:rsidRPr="00C95A3E">
              <w:rPr>
                <w:rFonts w:ascii="Calibri" w:eastAsia="Times New Roman" w:hAnsi="Calibri" w:cs="Calibri"/>
                <w:color w:val="000000"/>
                <w:sz w:val="20"/>
                <w:szCs w:val="20"/>
              </w:rPr>
              <w:t xml:space="preserve"> (0.06)</w:t>
            </w:r>
          </w:p>
        </w:tc>
        <w:tc>
          <w:tcPr>
            <w:tcW w:w="429" w:type="pct"/>
            <w:tcBorders>
              <w:top w:val="nil"/>
              <w:left w:val="nil"/>
              <w:bottom w:val="nil"/>
              <w:right w:val="nil"/>
            </w:tcBorders>
            <w:shd w:val="clear" w:color="auto" w:fill="auto"/>
            <w:noWrap/>
            <w:vAlign w:val="bottom"/>
            <w:hideMark/>
          </w:tcPr>
          <w:p w14:paraId="2D2FCE0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7.93</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(0.05)</w:t>
            </w:r>
          </w:p>
        </w:tc>
        <w:tc>
          <w:tcPr>
            <w:tcW w:w="397" w:type="pct"/>
            <w:tcBorders>
              <w:top w:val="nil"/>
              <w:left w:val="nil"/>
              <w:bottom w:val="nil"/>
              <w:right w:val="nil"/>
            </w:tcBorders>
            <w:shd w:val="clear" w:color="auto" w:fill="auto"/>
            <w:noWrap/>
            <w:vAlign w:val="bottom"/>
            <w:hideMark/>
          </w:tcPr>
          <w:p w14:paraId="1DFFDF6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8.50</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(0.10)</w:t>
            </w:r>
          </w:p>
        </w:tc>
        <w:tc>
          <w:tcPr>
            <w:tcW w:w="397" w:type="pct"/>
            <w:tcBorders>
              <w:top w:val="nil"/>
              <w:left w:val="nil"/>
              <w:bottom w:val="nil"/>
              <w:right w:val="nil"/>
            </w:tcBorders>
            <w:shd w:val="clear" w:color="auto" w:fill="auto"/>
            <w:noWrap/>
            <w:vAlign w:val="bottom"/>
            <w:hideMark/>
          </w:tcPr>
          <w:p w14:paraId="7C2930E0"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7.94</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(0.28)</w:t>
            </w:r>
          </w:p>
        </w:tc>
        <w:tc>
          <w:tcPr>
            <w:tcW w:w="394" w:type="pct"/>
            <w:tcBorders>
              <w:top w:val="nil"/>
              <w:left w:val="nil"/>
              <w:bottom w:val="nil"/>
              <w:right w:val="nil"/>
            </w:tcBorders>
            <w:shd w:val="clear" w:color="auto" w:fill="auto"/>
            <w:noWrap/>
            <w:vAlign w:val="bottom"/>
            <w:hideMark/>
          </w:tcPr>
          <w:p w14:paraId="5344FAC2"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8.12</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(0.06)</w:t>
            </w:r>
          </w:p>
        </w:tc>
        <w:tc>
          <w:tcPr>
            <w:tcW w:w="397" w:type="pct"/>
            <w:tcBorders>
              <w:top w:val="nil"/>
              <w:left w:val="nil"/>
              <w:bottom w:val="nil"/>
              <w:right w:val="nil"/>
            </w:tcBorders>
            <w:shd w:val="clear" w:color="auto" w:fill="auto"/>
            <w:noWrap/>
            <w:vAlign w:val="bottom"/>
            <w:hideMark/>
          </w:tcPr>
          <w:p w14:paraId="1854C835"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5A3E">
              <w:rPr>
                <w:rFonts w:ascii="Calibri" w:eastAsia="Times New Roman" w:hAnsi="Calibri" w:cs="Calibri"/>
                <w:color w:val="000000"/>
                <w:sz w:val="20"/>
                <w:szCs w:val="20"/>
              </w:rPr>
              <w:t>8.01</w:t>
            </w:r>
            <w:r>
              <w:rPr>
                <w:rFonts w:ascii="Calibri" w:eastAsia="Times New Roman" w:hAnsi="Calibri" w:cs="Calibri"/>
                <w:color w:val="000000"/>
                <w:sz w:val="20"/>
                <w:szCs w:val="20"/>
              </w:rPr>
              <w:t>a</w:t>
            </w:r>
            <w:r w:rsidRPr="00C95A3E">
              <w:rPr>
                <w:rFonts w:ascii="Calibri" w:eastAsia="Times New Roman" w:hAnsi="Calibri" w:cs="Calibri"/>
                <w:color w:val="000000"/>
                <w:sz w:val="20"/>
                <w:szCs w:val="20"/>
              </w:rPr>
              <w:t xml:space="preserve"> (0.19)</w:t>
            </w:r>
          </w:p>
        </w:tc>
        <w:tc>
          <w:tcPr>
            <w:tcW w:w="432" w:type="pct"/>
            <w:tcBorders>
              <w:top w:val="nil"/>
              <w:left w:val="nil"/>
              <w:bottom w:val="nil"/>
              <w:right w:val="nil"/>
            </w:tcBorders>
            <w:shd w:val="clear" w:color="auto" w:fill="auto"/>
            <w:noWrap/>
            <w:vAlign w:val="bottom"/>
            <w:hideMark/>
          </w:tcPr>
          <w:p w14:paraId="07916A08" w14:textId="77777777" w:rsidR="003658EA" w:rsidRPr="00C44CFC" w:rsidRDefault="003658EA" w:rsidP="00A53996">
            <w:pPr>
              <w:spacing w:after="0" w:line="240" w:lineRule="auto"/>
              <w:jc w:val="both"/>
              <w:rPr>
                <w:rFonts w:ascii="Calibri" w:eastAsia="Times New Roman" w:hAnsi="Calibri" w:cs="Calibri"/>
                <w:color w:val="000000"/>
                <w:sz w:val="20"/>
                <w:szCs w:val="20"/>
              </w:rPr>
            </w:pPr>
            <w:r w:rsidRPr="00C92A21">
              <w:rPr>
                <w:rFonts w:ascii="Calibri" w:eastAsia="Times New Roman" w:hAnsi="Calibri" w:cs="Calibri"/>
                <w:b/>
                <w:bCs/>
                <w:color w:val="000000"/>
                <w:sz w:val="20"/>
                <w:szCs w:val="20"/>
              </w:rPr>
              <w:t>9.77</w:t>
            </w:r>
            <w:r>
              <w:rPr>
                <w:rFonts w:ascii="Calibri" w:eastAsia="Times New Roman" w:hAnsi="Calibri" w:cs="Calibri"/>
                <w:b/>
                <w:bCs/>
                <w:color w:val="000000"/>
                <w:sz w:val="20"/>
                <w:szCs w:val="20"/>
              </w:rPr>
              <w:t>b*</w:t>
            </w:r>
            <w:r w:rsidRPr="00C95A3E">
              <w:rPr>
                <w:rFonts w:ascii="Calibri" w:eastAsia="Times New Roman" w:hAnsi="Calibri" w:cs="Calibri"/>
                <w:color w:val="000000"/>
                <w:sz w:val="20"/>
                <w:szCs w:val="20"/>
              </w:rPr>
              <w:t xml:space="preserve"> (0.01)</w:t>
            </w:r>
          </w:p>
        </w:tc>
      </w:tr>
    </w:tbl>
    <w:tbl>
      <w:tblPr>
        <w:tblpPr w:leftFromText="180" w:rightFromText="180" w:vertAnchor="page" w:horzAnchor="margin" w:tblpXSpec="center" w:tblpY="1307"/>
        <w:tblW w:w="14742" w:type="dxa"/>
        <w:tblLayout w:type="fixed"/>
        <w:tblLook w:val="04A0" w:firstRow="1" w:lastRow="0" w:firstColumn="1" w:lastColumn="0" w:noHBand="0" w:noVBand="1"/>
      </w:tblPr>
      <w:tblGrid>
        <w:gridCol w:w="993"/>
        <w:gridCol w:w="425"/>
        <w:gridCol w:w="1276"/>
        <w:gridCol w:w="1134"/>
        <w:gridCol w:w="1342"/>
        <w:gridCol w:w="1209"/>
        <w:gridCol w:w="1276"/>
        <w:gridCol w:w="1193"/>
        <w:gridCol w:w="1263"/>
        <w:gridCol w:w="1124"/>
        <w:gridCol w:w="1098"/>
        <w:gridCol w:w="1134"/>
        <w:gridCol w:w="1275"/>
      </w:tblGrid>
      <w:tr w:rsidR="003658EA" w:rsidRPr="00C44CFC" w14:paraId="2E3E2FCC" w14:textId="77777777" w:rsidTr="00A53996">
        <w:trPr>
          <w:trHeight w:val="1770"/>
        </w:trPr>
        <w:tc>
          <w:tcPr>
            <w:tcW w:w="993" w:type="dxa"/>
            <w:tcBorders>
              <w:top w:val="nil"/>
              <w:left w:val="nil"/>
              <w:bottom w:val="nil"/>
              <w:right w:val="nil"/>
            </w:tcBorders>
            <w:shd w:val="clear" w:color="auto" w:fill="auto"/>
            <w:noWrap/>
            <w:vAlign w:val="bottom"/>
            <w:hideMark/>
          </w:tcPr>
          <w:p w14:paraId="60A095F2" w14:textId="77777777" w:rsidR="003658EA" w:rsidRPr="00C44CFC" w:rsidRDefault="003658EA" w:rsidP="00A53996">
            <w:pPr>
              <w:spacing w:after="0" w:line="240" w:lineRule="auto"/>
              <w:contextualSpacing/>
              <w:jc w:val="both"/>
              <w:rPr>
                <w:rFonts w:ascii="Times New Roman" w:eastAsia="Times New Roman" w:hAnsi="Times New Roman" w:cs="Times New Roman"/>
                <w:sz w:val="18"/>
              </w:rPr>
            </w:pPr>
            <w:bookmarkStart w:id="4" w:name="_Hlk525660324"/>
            <w:bookmarkEnd w:id="3"/>
          </w:p>
        </w:tc>
        <w:tc>
          <w:tcPr>
            <w:tcW w:w="425" w:type="dxa"/>
            <w:tcBorders>
              <w:top w:val="nil"/>
              <w:left w:val="nil"/>
              <w:bottom w:val="single" w:sz="8" w:space="0" w:color="auto"/>
              <w:right w:val="nil"/>
            </w:tcBorders>
            <w:shd w:val="clear" w:color="auto" w:fill="auto"/>
            <w:textDirection w:val="btLr"/>
            <w:vAlign w:val="center"/>
            <w:hideMark/>
          </w:tcPr>
          <w:p w14:paraId="0BA5528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Time (h)</w:t>
            </w:r>
          </w:p>
        </w:tc>
        <w:tc>
          <w:tcPr>
            <w:tcW w:w="1276" w:type="dxa"/>
            <w:tcBorders>
              <w:top w:val="nil"/>
              <w:left w:val="nil"/>
              <w:bottom w:val="single" w:sz="8" w:space="0" w:color="auto"/>
              <w:right w:val="nil"/>
            </w:tcBorders>
            <w:shd w:val="clear" w:color="auto" w:fill="auto"/>
            <w:textDirection w:val="btLr"/>
            <w:vAlign w:val="center"/>
            <w:hideMark/>
          </w:tcPr>
          <w:p w14:paraId="605C21A4"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Bifidobacterium</w:t>
            </w:r>
            <w:r w:rsidRPr="00C44CFC">
              <w:rPr>
                <w:rFonts w:ascii="Calibri" w:eastAsia="Times New Roman" w:hAnsi="Calibri" w:cs="Calibri"/>
                <w:color w:val="000000"/>
                <w:sz w:val="18"/>
                <w:szCs w:val="22"/>
              </w:rPr>
              <w:t xml:space="preserve"> genus</w:t>
            </w:r>
          </w:p>
        </w:tc>
        <w:tc>
          <w:tcPr>
            <w:tcW w:w="1134" w:type="dxa"/>
            <w:tcBorders>
              <w:top w:val="nil"/>
              <w:left w:val="nil"/>
              <w:bottom w:val="single" w:sz="8" w:space="0" w:color="auto"/>
              <w:right w:val="nil"/>
            </w:tcBorders>
            <w:shd w:val="clear" w:color="auto" w:fill="auto"/>
            <w:textDirection w:val="btLr"/>
            <w:vAlign w:val="center"/>
            <w:hideMark/>
          </w:tcPr>
          <w:p w14:paraId="4983828B"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 xml:space="preserve">Lactobacillus Enterococcus </w:t>
            </w:r>
            <w:r w:rsidRPr="00C44CFC">
              <w:rPr>
                <w:rFonts w:ascii="Calibri" w:eastAsia="Times New Roman" w:hAnsi="Calibri" w:cs="Calibri"/>
                <w:color w:val="000000"/>
                <w:sz w:val="18"/>
                <w:szCs w:val="22"/>
              </w:rPr>
              <w:t>group</w:t>
            </w:r>
          </w:p>
        </w:tc>
        <w:tc>
          <w:tcPr>
            <w:tcW w:w="1342" w:type="dxa"/>
            <w:tcBorders>
              <w:top w:val="nil"/>
              <w:left w:val="nil"/>
              <w:bottom w:val="single" w:sz="8" w:space="0" w:color="auto"/>
              <w:right w:val="nil"/>
            </w:tcBorders>
            <w:shd w:val="clear" w:color="auto" w:fill="auto"/>
            <w:textDirection w:val="btLr"/>
            <w:vAlign w:val="center"/>
            <w:hideMark/>
          </w:tcPr>
          <w:p w14:paraId="5533F2E6"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 xml:space="preserve">Bacteroides- Prevotella </w:t>
            </w:r>
            <w:r w:rsidRPr="00C44CFC">
              <w:rPr>
                <w:rFonts w:ascii="Calibri" w:eastAsia="Times New Roman" w:hAnsi="Calibri" w:cs="Calibri"/>
                <w:color w:val="000000"/>
                <w:sz w:val="18"/>
                <w:szCs w:val="22"/>
              </w:rPr>
              <w:t>group</w:t>
            </w:r>
          </w:p>
        </w:tc>
        <w:tc>
          <w:tcPr>
            <w:tcW w:w="1209" w:type="dxa"/>
            <w:tcBorders>
              <w:top w:val="nil"/>
              <w:left w:val="nil"/>
              <w:bottom w:val="single" w:sz="8" w:space="0" w:color="auto"/>
              <w:right w:val="nil"/>
            </w:tcBorders>
            <w:shd w:val="clear" w:color="auto" w:fill="auto"/>
            <w:textDirection w:val="btLr"/>
            <w:vAlign w:val="center"/>
            <w:hideMark/>
          </w:tcPr>
          <w:p w14:paraId="44FA4AAE"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 xml:space="preserve">Clostridium coccoides- Eubacterium rectale </w:t>
            </w:r>
            <w:r w:rsidRPr="00C44CFC">
              <w:rPr>
                <w:rFonts w:ascii="Calibri" w:eastAsia="Times New Roman" w:hAnsi="Calibri" w:cs="Calibri"/>
                <w:color w:val="000000"/>
                <w:sz w:val="18"/>
                <w:szCs w:val="22"/>
              </w:rPr>
              <w:t>group</w:t>
            </w:r>
          </w:p>
        </w:tc>
        <w:tc>
          <w:tcPr>
            <w:tcW w:w="1276" w:type="dxa"/>
            <w:tcBorders>
              <w:top w:val="nil"/>
              <w:left w:val="nil"/>
              <w:bottom w:val="single" w:sz="8" w:space="0" w:color="auto"/>
              <w:right w:val="nil"/>
            </w:tcBorders>
            <w:shd w:val="clear" w:color="auto" w:fill="auto"/>
            <w:textDirection w:val="btLr"/>
            <w:vAlign w:val="center"/>
            <w:hideMark/>
          </w:tcPr>
          <w:p w14:paraId="510FC8FB"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Roseburia</w:t>
            </w:r>
          </w:p>
        </w:tc>
        <w:tc>
          <w:tcPr>
            <w:tcW w:w="1193" w:type="dxa"/>
            <w:tcBorders>
              <w:top w:val="nil"/>
              <w:left w:val="nil"/>
              <w:bottom w:val="single" w:sz="8" w:space="0" w:color="auto"/>
              <w:right w:val="nil"/>
            </w:tcBorders>
            <w:shd w:val="clear" w:color="auto" w:fill="auto"/>
            <w:textDirection w:val="btLr"/>
            <w:vAlign w:val="center"/>
            <w:hideMark/>
          </w:tcPr>
          <w:p w14:paraId="659E21DE"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Atopobium</w:t>
            </w:r>
            <w:r w:rsidRPr="00C44CFC">
              <w:rPr>
                <w:rFonts w:ascii="Calibri" w:eastAsia="Times New Roman" w:hAnsi="Calibri" w:cs="Calibri"/>
                <w:color w:val="000000"/>
                <w:sz w:val="18"/>
                <w:szCs w:val="22"/>
              </w:rPr>
              <w:t xml:space="preserve"> cluster</w:t>
            </w:r>
          </w:p>
        </w:tc>
        <w:tc>
          <w:tcPr>
            <w:tcW w:w="1263" w:type="dxa"/>
            <w:tcBorders>
              <w:top w:val="nil"/>
              <w:left w:val="nil"/>
              <w:bottom w:val="single" w:sz="8" w:space="0" w:color="auto"/>
              <w:right w:val="nil"/>
            </w:tcBorders>
            <w:shd w:val="clear" w:color="auto" w:fill="auto"/>
            <w:textDirection w:val="btLr"/>
            <w:vAlign w:val="center"/>
            <w:hideMark/>
          </w:tcPr>
          <w:p w14:paraId="7E8635EF"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 xml:space="preserve">Clostridium </w:t>
            </w:r>
            <w:r w:rsidRPr="00C44CFC">
              <w:rPr>
                <w:rFonts w:ascii="Calibri" w:eastAsia="Times New Roman" w:hAnsi="Calibri" w:cs="Calibri"/>
                <w:color w:val="000000"/>
                <w:sz w:val="18"/>
                <w:szCs w:val="22"/>
              </w:rPr>
              <w:t>cluster IX</w:t>
            </w:r>
          </w:p>
        </w:tc>
        <w:tc>
          <w:tcPr>
            <w:tcW w:w="1124" w:type="dxa"/>
            <w:tcBorders>
              <w:top w:val="nil"/>
              <w:left w:val="nil"/>
              <w:bottom w:val="single" w:sz="8" w:space="0" w:color="auto"/>
              <w:right w:val="nil"/>
            </w:tcBorders>
            <w:shd w:val="clear" w:color="auto" w:fill="auto"/>
            <w:textDirection w:val="btLr"/>
            <w:vAlign w:val="center"/>
            <w:hideMark/>
          </w:tcPr>
          <w:p w14:paraId="7DD00E6D" w14:textId="77777777" w:rsidR="003658EA" w:rsidRPr="00C44CFC" w:rsidRDefault="003658EA" w:rsidP="00A53996">
            <w:pPr>
              <w:spacing w:after="0" w:line="240" w:lineRule="auto"/>
              <w:contextualSpacing/>
              <w:jc w:val="both"/>
              <w:rPr>
                <w:rFonts w:ascii="Calibri" w:eastAsia="Times New Roman" w:hAnsi="Calibri" w:cs="Calibri"/>
                <w:i/>
                <w:color w:val="000000"/>
                <w:sz w:val="18"/>
              </w:rPr>
            </w:pPr>
            <w:r w:rsidRPr="00C44CFC">
              <w:rPr>
                <w:rFonts w:ascii="Calibri" w:eastAsia="Times New Roman" w:hAnsi="Calibri" w:cs="Calibri"/>
                <w:i/>
                <w:color w:val="000000"/>
                <w:sz w:val="18"/>
                <w:szCs w:val="22"/>
              </w:rPr>
              <w:t>Faecalibacterium prausnitzii group</w:t>
            </w:r>
          </w:p>
        </w:tc>
        <w:tc>
          <w:tcPr>
            <w:tcW w:w="1098" w:type="dxa"/>
            <w:tcBorders>
              <w:top w:val="nil"/>
              <w:left w:val="nil"/>
              <w:bottom w:val="single" w:sz="8" w:space="0" w:color="auto"/>
              <w:right w:val="nil"/>
            </w:tcBorders>
            <w:shd w:val="clear" w:color="auto" w:fill="auto"/>
            <w:textDirection w:val="btLr"/>
            <w:vAlign w:val="center"/>
            <w:hideMark/>
          </w:tcPr>
          <w:p w14:paraId="31C66E80"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Desulfovibrionales</w:t>
            </w:r>
          </w:p>
        </w:tc>
        <w:tc>
          <w:tcPr>
            <w:tcW w:w="1134" w:type="dxa"/>
            <w:tcBorders>
              <w:top w:val="nil"/>
              <w:left w:val="nil"/>
              <w:bottom w:val="single" w:sz="8" w:space="0" w:color="auto"/>
              <w:right w:val="nil"/>
            </w:tcBorders>
            <w:shd w:val="clear" w:color="auto" w:fill="auto"/>
            <w:textDirection w:val="btLr"/>
            <w:vAlign w:val="center"/>
            <w:hideMark/>
          </w:tcPr>
          <w:p w14:paraId="2489E491" w14:textId="77777777" w:rsidR="003658EA" w:rsidRPr="00C44CFC" w:rsidRDefault="003658EA" w:rsidP="00A53996">
            <w:pPr>
              <w:spacing w:after="0" w:line="240" w:lineRule="auto"/>
              <w:contextualSpacing/>
              <w:jc w:val="both"/>
              <w:rPr>
                <w:rFonts w:ascii="Calibri" w:eastAsia="Times New Roman" w:hAnsi="Calibri" w:cs="Calibri"/>
                <w:i/>
                <w:iCs/>
                <w:color w:val="000000"/>
                <w:sz w:val="18"/>
              </w:rPr>
            </w:pPr>
            <w:r w:rsidRPr="00C44CFC">
              <w:rPr>
                <w:rFonts w:ascii="Calibri" w:eastAsia="Times New Roman" w:hAnsi="Calibri" w:cs="Calibri"/>
                <w:i/>
                <w:iCs/>
                <w:color w:val="000000"/>
                <w:sz w:val="18"/>
                <w:szCs w:val="22"/>
              </w:rPr>
              <w:t>Clostridium-cluster I and II</w:t>
            </w:r>
          </w:p>
        </w:tc>
        <w:tc>
          <w:tcPr>
            <w:tcW w:w="1275" w:type="dxa"/>
            <w:tcBorders>
              <w:top w:val="nil"/>
              <w:left w:val="nil"/>
              <w:bottom w:val="single" w:sz="8" w:space="0" w:color="auto"/>
              <w:right w:val="nil"/>
            </w:tcBorders>
            <w:shd w:val="clear" w:color="auto" w:fill="auto"/>
            <w:textDirection w:val="btLr"/>
            <w:vAlign w:val="center"/>
            <w:hideMark/>
          </w:tcPr>
          <w:p w14:paraId="59124DC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Total</w:t>
            </w:r>
          </w:p>
        </w:tc>
      </w:tr>
      <w:tr w:rsidR="003658EA" w:rsidRPr="00C44CFC" w14:paraId="13E6BF44" w14:textId="77777777" w:rsidTr="00A53996">
        <w:trPr>
          <w:trHeight w:val="300"/>
        </w:trPr>
        <w:tc>
          <w:tcPr>
            <w:tcW w:w="993" w:type="dxa"/>
            <w:vMerge w:val="restart"/>
            <w:tcBorders>
              <w:top w:val="single" w:sz="4" w:space="0" w:color="auto"/>
              <w:left w:val="nil"/>
              <w:bottom w:val="nil"/>
              <w:right w:val="nil"/>
            </w:tcBorders>
            <w:shd w:val="clear" w:color="auto" w:fill="auto"/>
            <w:noWrap/>
            <w:vAlign w:val="bottom"/>
            <w:hideMark/>
          </w:tcPr>
          <w:p w14:paraId="22BC658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hAnsi="Calibri"/>
                <w:color w:val="000000"/>
                <w:sz w:val="18"/>
              </w:rPr>
              <w:t xml:space="preserve">AX </w:t>
            </w:r>
            <w:r w:rsidRPr="00C44CFC">
              <w:rPr>
                <w:rFonts w:ascii="Calibri" w:eastAsia="Times New Roman" w:hAnsi="Calibri" w:cs="Calibri"/>
                <w:bCs/>
                <w:color w:val="000000"/>
                <w:sz w:val="18"/>
                <w:szCs w:val="22"/>
              </w:rPr>
              <w:t>3:1 B glucan</w:t>
            </w:r>
          </w:p>
        </w:tc>
        <w:tc>
          <w:tcPr>
            <w:tcW w:w="425" w:type="dxa"/>
            <w:tcBorders>
              <w:top w:val="single" w:sz="4" w:space="0" w:color="auto"/>
              <w:left w:val="nil"/>
              <w:bottom w:val="nil"/>
              <w:right w:val="nil"/>
            </w:tcBorders>
            <w:shd w:val="clear" w:color="auto" w:fill="auto"/>
            <w:noWrap/>
            <w:vAlign w:val="bottom"/>
            <w:hideMark/>
          </w:tcPr>
          <w:p w14:paraId="30908DC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0</w:t>
            </w:r>
          </w:p>
        </w:tc>
        <w:tc>
          <w:tcPr>
            <w:tcW w:w="1276" w:type="dxa"/>
            <w:tcBorders>
              <w:top w:val="single" w:sz="4" w:space="0" w:color="auto"/>
              <w:left w:val="nil"/>
              <w:bottom w:val="nil"/>
              <w:right w:val="nil"/>
            </w:tcBorders>
            <w:shd w:val="clear" w:color="auto" w:fill="auto"/>
            <w:noWrap/>
            <w:vAlign w:val="bottom"/>
            <w:hideMark/>
          </w:tcPr>
          <w:p w14:paraId="349C67B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(0.33)</w:t>
            </w:r>
          </w:p>
        </w:tc>
        <w:tc>
          <w:tcPr>
            <w:tcW w:w="1134" w:type="dxa"/>
            <w:tcBorders>
              <w:top w:val="single" w:sz="4" w:space="0" w:color="auto"/>
              <w:left w:val="nil"/>
              <w:bottom w:val="nil"/>
              <w:right w:val="nil"/>
            </w:tcBorders>
            <w:shd w:val="clear" w:color="auto" w:fill="auto"/>
            <w:noWrap/>
            <w:vAlign w:val="bottom"/>
            <w:hideMark/>
          </w:tcPr>
          <w:p w14:paraId="6F44599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342" w:type="dxa"/>
            <w:tcBorders>
              <w:top w:val="single" w:sz="4" w:space="0" w:color="auto"/>
              <w:left w:val="nil"/>
              <w:bottom w:val="nil"/>
              <w:right w:val="nil"/>
            </w:tcBorders>
            <w:shd w:val="clear" w:color="auto" w:fill="auto"/>
            <w:noWrap/>
            <w:vAlign w:val="bottom"/>
            <w:hideMark/>
          </w:tcPr>
          <w:p w14:paraId="2C2E85F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(0.19)</w:t>
            </w:r>
          </w:p>
        </w:tc>
        <w:tc>
          <w:tcPr>
            <w:tcW w:w="1209" w:type="dxa"/>
            <w:tcBorders>
              <w:top w:val="single" w:sz="4" w:space="0" w:color="auto"/>
              <w:left w:val="nil"/>
              <w:bottom w:val="nil"/>
              <w:right w:val="nil"/>
            </w:tcBorders>
            <w:shd w:val="clear" w:color="auto" w:fill="auto"/>
            <w:noWrap/>
            <w:vAlign w:val="bottom"/>
            <w:hideMark/>
          </w:tcPr>
          <w:p w14:paraId="0FD756B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(0.14)</w:t>
            </w:r>
          </w:p>
        </w:tc>
        <w:tc>
          <w:tcPr>
            <w:tcW w:w="1276" w:type="dxa"/>
            <w:tcBorders>
              <w:top w:val="single" w:sz="4" w:space="0" w:color="auto"/>
              <w:left w:val="nil"/>
              <w:bottom w:val="nil"/>
              <w:right w:val="nil"/>
            </w:tcBorders>
            <w:shd w:val="clear" w:color="auto" w:fill="auto"/>
            <w:noWrap/>
            <w:vAlign w:val="bottom"/>
            <w:hideMark/>
          </w:tcPr>
          <w:p w14:paraId="5325699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(0.15)</w:t>
            </w:r>
          </w:p>
        </w:tc>
        <w:tc>
          <w:tcPr>
            <w:tcW w:w="1193" w:type="dxa"/>
            <w:tcBorders>
              <w:top w:val="single" w:sz="4" w:space="0" w:color="auto"/>
              <w:left w:val="nil"/>
              <w:bottom w:val="nil"/>
              <w:right w:val="nil"/>
            </w:tcBorders>
            <w:shd w:val="clear" w:color="auto" w:fill="auto"/>
            <w:noWrap/>
            <w:vAlign w:val="bottom"/>
            <w:hideMark/>
          </w:tcPr>
          <w:p w14:paraId="5D51976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(0.04)</w:t>
            </w:r>
          </w:p>
        </w:tc>
        <w:tc>
          <w:tcPr>
            <w:tcW w:w="1263" w:type="dxa"/>
            <w:tcBorders>
              <w:top w:val="single" w:sz="4" w:space="0" w:color="auto"/>
              <w:left w:val="nil"/>
              <w:bottom w:val="nil"/>
              <w:right w:val="nil"/>
            </w:tcBorders>
            <w:shd w:val="clear" w:color="auto" w:fill="auto"/>
            <w:noWrap/>
            <w:vAlign w:val="bottom"/>
            <w:hideMark/>
          </w:tcPr>
          <w:p w14:paraId="1E2A55C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(0.02)</w:t>
            </w:r>
          </w:p>
        </w:tc>
        <w:tc>
          <w:tcPr>
            <w:tcW w:w="1124" w:type="dxa"/>
            <w:tcBorders>
              <w:top w:val="single" w:sz="4" w:space="0" w:color="auto"/>
              <w:left w:val="nil"/>
              <w:bottom w:val="nil"/>
              <w:right w:val="nil"/>
            </w:tcBorders>
            <w:shd w:val="clear" w:color="auto" w:fill="auto"/>
            <w:noWrap/>
            <w:vAlign w:val="bottom"/>
            <w:hideMark/>
          </w:tcPr>
          <w:p w14:paraId="5929D42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098" w:type="dxa"/>
            <w:tcBorders>
              <w:top w:val="single" w:sz="4" w:space="0" w:color="auto"/>
              <w:left w:val="nil"/>
              <w:bottom w:val="nil"/>
              <w:right w:val="nil"/>
            </w:tcBorders>
            <w:shd w:val="clear" w:color="auto" w:fill="auto"/>
            <w:noWrap/>
            <w:vAlign w:val="bottom"/>
            <w:hideMark/>
          </w:tcPr>
          <w:p w14:paraId="34BD286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(0.23)</w:t>
            </w:r>
          </w:p>
        </w:tc>
        <w:tc>
          <w:tcPr>
            <w:tcW w:w="1134" w:type="dxa"/>
            <w:tcBorders>
              <w:top w:val="single" w:sz="4" w:space="0" w:color="auto"/>
              <w:left w:val="nil"/>
              <w:bottom w:val="nil"/>
              <w:right w:val="nil"/>
            </w:tcBorders>
            <w:shd w:val="clear" w:color="auto" w:fill="auto"/>
            <w:noWrap/>
            <w:vAlign w:val="bottom"/>
            <w:hideMark/>
          </w:tcPr>
          <w:p w14:paraId="57C496E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(0.27)</w:t>
            </w:r>
          </w:p>
        </w:tc>
        <w:tc>
          <w:tcPr>
            <w:tcW w:w="1275" w:type="dxa"/>
            <w:tcBorders>
              <w:top w:val="single" w:sz="4" w:space="0" w:color="auto"/>
              <w:left w:val="nil"/>
              <w:bottom w:val="nil"/>
              <w:right w:val="nil"/>
            </w:tcBorders>
            <w:shd w:val="clear" w:color="auto" w:fill="auto"/>
            <w:noWrap/>
            <w:vAlign w:val="bottom"/>
            <w:hideMark/>
          </w:tcPr>
          <w:p w14:paraId="2BDE8D7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8.80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(0.12)</w:t>
            </w:r>
          </w:p>
        </w:tc>
      </w:tr>
      <w:tr w:rsidR="003658EA" w:rsidRPr="00C44CFC" w14:paraId="4633745D" w14:textId="77777777" w:rsidTr="00A53996">
        <w:trPr>
          <w:trHeight w:val="300"/>
        </w:trPr>
        <w:tc>
          <w:tcPr>
            <w:tcW w:w="993" w:type="dxa"/>
            <w:vMerge/>
            <w:tcBorders>
              <w:top w:val="single" w:sz="4" w:space="0" w:color="auto"/>
              <w:left w:val="nil"/>
              <w:bottom w:val="nil"/>
              <w:right w:val="nil"/>
            </w:tcBorders>
            <w:vAlign w:val="center"/>
            <w:hideMark/>
          </w:tcPr>
          <w:p w14:paraId="164458C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570F02F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4</w:t>
            </w:r>
          </w:p>
        </w:tc>
        <w:tc>
          <w:tcPr>
            <w:tcW w:w="1276" w:type="dxa"/>
            <w:tcBorders>
              <w:top w:val="nil"/>
              <w:left w:val="nil"/>
              <w:bottom w:val="nil"/>
              <w:right w:val="nil"/>
            </w:tcBorders>
            <w:shd w:val="clear" w:color="auto" w:fill="auto"/>
            <w:noWrap/>
            <w:vAlign w:val="bottom"/>
            <w:hideMark/>
          </w:tcPr>
          <w:p w14:paraId="75F29A4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(0.41)</w:t>
            </w:r>
          </w:p>
        </w:tc>
        <w:tc>
          <w:tcPr>
            <w:tcW w:w="1134" w:type="dxa"/>
            <w:tcBorders>
              <w:top w:val="nil"/>
              <w:left w:val="nil"/>
              <w:bottom w:val="nil"/>
              <w:right w:val="nil"/>
            </w:tcBorders>
            <w:shd w:val="clear" w:color="auto" w:fill="auto"/>
            <w:noWrap/>
            <w:vAlign w:val="bottom"/>
            <w:hideMark/>
          </w:tcPr>
          <w:p w14:paraId="77162F2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6.77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(0.26)</w:t>
            </w:r>
          </w:p>
        </w:tc>
        <w:tc>
          <w:tcPr>
            <w:tcW w:w="1342" w:type="dxa"/>
            <w:tcBorders>
              <w:top w:val="nil"/>
              <w:left w:val="nil"/>
              <w:bottom w:val="nil"/>
              <w:right w:val="nil"/>
            </w:tcBorders>
            <w:shd w:val="clear" w:color="auto" w:fill="auto"/>
            <w:noWrap/>
            <w:vAlign w:val="bottom"/>
            <w:hideMark/>
          </w:tcPr>
          <w:p w14:paraId="291BA10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8.24</w:t>
            </w:r>
            <w:r>
              <w:rPr>
                <w:rFonts w:ascii="Calibri" w:eastAsia="Times New Roman" w:hAnsi="Calibri" w:cs="Calibri"/>
                <w:color w:val="000000"/>
                <w:sz w:val="18"/>
                <w:szCs w:val="22"/>
              </w:rPr>
              <w:t>a</w:t>
            </w:r>
            <w:r w:rsidRPr="00C95A3E">
              <w:rPr>
                <w:rFonts w:eastAsia="Times New Roman"/>
                <w:color w:val="000000"/>
                <w:sz w:val="18"/>
                <w:szCs w:val="19"/>
                <w:vertAlign w:val="superscript"/>
              </w:rPr>
              <w:t xml:space="preserve"> </w:t>
            </w:r>
            <w:r w:rsidRPr="00C95A3E">
              <w:rPr>
                <w:rFonts w:ascii="Calibri" w:eastAsia="Times New Roman" w:hAnsi="Calibri" w:cs="Calibri"/>
                <w:color w:val="000000"/>
                <w:sz w:val="18"/>
                <w:szCs w:val="22"/>
              </w:rPr>
              <w:t>(0.25)</w:t>
            </w:r>
          </w:p>
        </w:tc>
        <w:tc>
          <w:tcPr>
            <w:tcW w:w="1209" w:type="dxa"/>
            <w:tcBorders>
              <w:top w:val="nil"/>
              <w:left w:val="nil"/>
              <w:bottom w:val="nil"/>
              <w:right w:val="nil"/>
            </w:tcBorders>
            <w:shd w:val="clear" w:color="auto" w:fill="auto"/>
            <w:noWrap/>
            <w:vAlign w:val="bottom"/>
            <w:hideMark/>
          </w:tcPr>
          <w:p w14:paraId="23FDED8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(0.22)</w:t>
            </w:r>
          </w:p>
        </w:tc>
        <w:tc>
          <w:tcPr>
            <w:tcW w:w="1276" w:type="dxa"/>
            <w:tcBorders>
              <w:top w:val="nil"/>
              <w:left w:val="nil"/>
              <w:bottom w:val="nil"/>
              <w:right w:val="nil"/>
            </w:tcBorders>
            <w:shd w:val="clear" w:color="auto" w:fill="auto"/>
            <w:noWrap/>
            <w:vAlign w:val="bottom"/>
            <w:hideMark/>
          </w:tcPr>
          <w:p w14:paraId="5F8F09C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(0.08)</w:t>
            </w:r>
          </w:p>
        </w:tc>
        <w:tc>
          <w:tcPr>
            <w:tcW w:w="1193" w:type="dxa"/>
            <w:tcBorders>
              <w:top w:val="nil"/>
              <w:left w:val="nil"/>
              <w:bottom w:val="nil"/>
              <w:right w:val="nil"/>
            </w:tcBorders>
            <w:shd w:val="clear" w:color="auto" w:fill="auto"/>
            <w:noWrap/>
            <w:vAlign w:val="bottom"/>
            <w:hideMark/>
          </w:tcPr>
          <w:p w14:paraId="0D77AD3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(0.27)</w:t>
            </w:r>
          </w:p>
        </w:tc>
        <w:tc>
          <w:tcPr>
            <w:tcW w:w="1263" w:type="dxa"/>
            <w:tcBorders>
              <w:top w:val="nil"/>
              <w:left w:val="nil"/>
              <w:bottom w:val="nil"/>
              <w:right w:val="nil"/>
            </w:tcBorders>
            <w:shd w:val="clear" w:color="auto" w:fill="auto"/>
            <w:noWrap/>
            <w:vAlign w:val="bottom"/>
            <w:hideMark/>
          </w:tcPr>
          <w:p w14:paraId="433C726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(0.08)</w:t>
            </w:r>
          </w:p>
        </w:tc>
        <w:tc>
          <w:tcPr>
            <w:tcW w:w="1124" w:type="dxa"/>
            <w:tcBorders>
              <w:top w:val="nil"/>
              <w:left w:val="nil"/>
              <w:bottom w:val="nil"/>
              <w:right w:val="nil"/>
            </w:tcBorders>
            <w:shd w:val="clear" w:color="auto" w:fill="auto"/>
            <w:noWrap/>
            <w:vAlign w:val="bottom"/>
            <w:hideMark/>
          </w:tcPr>
          <w:p w14:paraId="00FE342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(0.04)</w:t>
            </w:r>
          </w:p>
        </w:tc>
        <w:tc>
          <w:tcPr>
            <w:tcW w:w="1098" w:type="dxa"/>
            <w:tcBorders>
              <w:top w:val="nil"/>
              <w:left w:val="nil"/>
              <w:bottom w:val="nil"/>
              <w:right w:val="nil"/>
            </w:tcBorders>
            <w:shd w:val="clear" w:color="auto" w:fill="auto"/>
            <w:noWrap/>
            <w:vAlign w:val="bottom"/>
            <w:hideMark/>
          </w:tcPr>
          <w:p w14:paraId="3322DE3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(0.02)</w:t>
            </w:r>
          </w:p>
        </w:tc>
        <w:tc>
          <w:tcPr>
            <w:tcW w:w="1134" w:type="dxa"/>
            <w:tcBorders>
              <w:top w:val="nil"/>
              <w:left w:val="nil"/>
              <w:bottom w:val="nil"/>
              <w:right w:val="nil"/>
            </w:tcBorders>
            <w:shd w:val="clear" w:color="auto" w:fill="auto"/>
            <w:noWrap/>
            <w:vAlign w:val="bottom"/>
            <w:hideMark/>
          </w:tcPr>
          <w:p w14:paraId="5BB379A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(0.14)</w:t>
            </w:r>
          </w:p>
        </w:tc>
        <w:tc>
          <w:tcPr>
            <w:tcW w:w="1275" w:type="dxa"/>
            <w:tcBorders>
              <w:top w:val="nil"/>
              <w:left w:val="nil"/>
              <w:bottom w:val="nil"/>
              <w:right w:val="nil"/>
            </w:tcBorders>
            <w:shd w:val="clear" w:color="auto" w:fill="auto"/>
            <w:noWrap/>
            <w:vAlign w:val="bottom"/>
            <w:hideMark/>
          </w:tcPr>
          <w:p w14:paraId="0F4E342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9.23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(0.13)</w:t>
            </w:r>
          </w:p>
        </w:tc>
      </w:tr>
      <w:tr w:rsidR="003658EA" w:rsidRPr="00C44CFC" w14:paraId="479FD301" w14:textId="77777777" w:rsidTr="00A53996">
        <w:trPr>
          <w:trHeight w:val="300"/>
        </w:trPr>
        <w:tc>
          <w:tcPr>
            <w:tcW w:w="993" w:type="dxa"/>
            <w:vMerge/>
            <w:tcBorders>
              <w:top w:val="single" w:sz="4" w:space="0" w:color="auto"/>
              <w:left w:val="nil"/>
              <w:bottom w:val="nil"/>
              <w:right w:val="nil"/>
            </w:tcBorders>
            <w:vAlign w:val="center"/>
            <w:hideMark/>
          </w:tcPr>
          <w:p w14:paraId="3F03F67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1613158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8</w:t>
            </w:r>
          </w:p>
        </w:tc>
        <w:tc>
          <w:tcPr>
            <w:tcW w:w="1276" w:type="dxa"/>
            <w:tcBorders>
              <w:top w:val="nil"/>
              <w:left w:val="nil"/>
              <w:bottom w:val="nil"/>
              <w:right w:val="nil"/>
            </w:tcBorders>
            <w:shd w:val="clear" w:color="auto" w:fill="auto"/>
            <w:noWrap/>
            <w:vAlign w:val="bottom"/>
            <w:hideMark/>
          </w:tcPr>
          <w:p w14:paraId="752E0E9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8.98b*</w:t>
            </w:r>
            <w:r w:rsidRPr="00C95A3E">
              <w:rPr>
                <w:rFonts w:ascii="Calibri" w:eastAsia="Times New Roman" w:hAnsi="Calibri" w:cs="Calibri"/>
                <w:color w:val="000000"/>
                <w:sz w:val="18"/>
                <w:szCs w:val="22"/>
              </w:rPr>
              <w:t xml:space="preserve"> (0.52)</w:t>
            </w:r>
          </w:p>
        </w:tc>
        <w:tc>
          <w:tcPr>
            <w:tcW w:w="1134" w:type="dxa"/>
            <w:tcBorders>
              <w:top w:val="nil"/>
              <w:left w:val="nil"/>
              <w:bottom w:val="nil"/>
              <w:right w:val="nil"/>
            </w:tcBorders>
            <w:shd w:val="clear" w:color="auto" w:fill="auto"/>
            <w:noWrap/>
            <w:vAlign w:val="bottom"/>
            <w:hideMark/>
          </w:tcPr>
          <w:p w14:paraId="02F2D7A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(0.39)</w:t>
            </w:r>
          </w:p>
        </w:tc>
        <w:tc>
          <w:tcPr>
            <w:tcW w:w="1342" w:type="dxa"/>
            <w:tcBorders>
              <w:top w:val="nil"/>
              <w:left w:val="nil"/>
              <w:bottom w:val="nil"/>
              <w:right w:val="nil"/>
            </w:tcBorders>
            <w:shd w:val="clear" w:color="auto" w:fill="auto"/>
            <w:noWrap/>
            <w:vAlign w:val="bottom"/>
            <w:hideMark/>
          </w:tcPr>
          <w:p w14:paraId="3947F40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8.56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(0.27)</w:t>
            </w:r>
          </w:p>
        </w:tc>
        <w:tc>
          <w:tcPr>
            <w:tcW w:w="1209" w:type="dxa"/>
            <w:tcBorders>
              <w:top w:val="nil"/>
              <w:left w:val="nil"/>
              <w:bottom w:val="nil"/>
              <w:right w:val="nil"/>
            </w:tcBorders>
            <w:shd w:val="clear" w:color="auto" w:fill="auto"/>
            <w:noWrap/>
            <w:vAlign w:val="bottom"/>
            <w:hideMark/>
          </w:tcPr>
          <w:p w14:paraId="186908D6" w14:textId="77777777" w:rsidR="003658EA" w:rsidRPr="00C44CFC" w:rsidRDefault="003658EA" w:rsidP="00A53996">
            <w:pPr>
              <w:spacing w:after="0" w:line="240" w:lineRule="auto"/>
              <w:contextualSpacing/>
              <w:jc w:val="both"/>
              <w:rPr>
                <w:rFonts w:eastAsia="Times New Roman"/>
                <w:color w:val="000000"/>
                <w:sz w:val="18"/>
                <w:szCs w:val="19"/>
                <w:vertAlign w:val="superscript"/>
              </w:rPr>
            </w:pPr>
            <w:r w:rsidRPr="00C95A3E">
              <w:rPr>
                <w:rFonts w:ascii="Calibri" w:eastAsia="Times New Roman" w:hAnsi="Calibri" w:cs="Calibri"/>
                <w:bCs/>
                <w:color w:val="000000"/>
                <w:sz w:val="18"/>
                <w:szCs w:val="22"/>
              </w:rPr>
              <w:t>8.90</w:t>
            </w:r>
            <w:r>
              <w:rPr>
                <w:rFonts w:ascii="Calibri" w:eastAsia="Times New Roman" w:hAnsi="Calibri" w:cs="Calibri"/>
                <w:bCs/>
                <w:color w:val="000000"/>
                <w:sz w:val="18"/>
                <w:szCs w:val="22"/>
              </w:rPr>
              <w:t>a</w:t>
            </w:r>
            <w:r w:rsidRPr="00C95A3E">
              <w:rPr>
                <w:rFonts w:ascii="Calibri" w:eastAsia="Times New Roman" w:hAnsi="Calibri" w:cs="Calibri"/>
                <w:color w:val="000000"/>
                <w:sz w:val="18"/>
                <w:szCs w:val="22"/>
              </w:rPr>
              <w:t xml:space="preserve"> (0.10)</w:t>
            </w:r>
          </w:p>
        </w:tc>
        <w:tc>
          <w:tcPr>
            <w:tcW w:w="1276" w:type="dxa"/>
            <w:tcBorders>
              <w:top w:val="nil"/>
              <w:left w:val="nil"/>
              <w:bottom w:val="nil"/>
              <w:right w:val="nil"/>
            </w:tcBorders>
            <w:shd w:val="clear" w:color="auto" w:fill="auto"/>
            <w:noWrap/>
            <w:vAlign w:val="bottom"/>
            <w:hideMark/>
          </w:tcPr>
          <w:p w14:paraId="1084B9E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(0.10)</w:t>
            </w:r>
          </w:p>
        </w:tc>
        <w:tc>
          <w:tcPr>
            <w:tcW w:w="1193" w:type="dxa"/>
            <w:tcBorders>
              <w:top w:val="nil"/>
              <w:left w:val="nil"/>
              <w:bottom w:val="nil"/>
              <w:right w:val="nil"/>
            </w:tcBorders>
            <w:shd w:val="clear" w:color="auto" w:fill="auto"/>
            <w:noWrap/>
            <w:vAlign w:val="bottom"/>
            <w:hideMark/>
          </w:tcPr>
          <w:p w14:paraId="4EDBD92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8.06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(0.22)</w:t>
            </w:r>
          </w:p>
        </w:tc>
        <w:tc>
          <w:tcPr>
            <w:tcW w:w="1263" w:type="dxa"/>
            <w:tcBorders>
              <w:top w:val="nil"/>
              <w:left w:val="nil"/>
              <w:bottom w:val="nil"/>
              <w:right w:val="nil"/>
            </w:tcBorders>
            <w:shd w:val="clear" w:color="auto" w:fill="auto"/>
            <w:noWrap/>
            <w:vAlign w:val="bottom"/>
            <w:hideMark/>
          </w:tcPr>
          <w:p w14:paraId="6326CD5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8.55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(0.13)</w:t>
            </w:r>
          </w:p>
        </w:tc>
        <w:tc>
          <w:tcPr>
            <w:tcW w:w="1124" w:type="dxa"/>
            <w:tcBorders>
              <w:top w:val="nil"/>
              <w:left w:val="nil"/>
              <w:bottom w:val="nil"/>
              <w:right w:val="nil"/>
            </w:tcBorders>
            <w:shd w:val="clear" w:color="auto" w:fill="auto"/>
            <w:noWrap/>
            <w:vAlign w:val="bottom"/>
            <w:hideMark/>
          </w:tcPr>
          <w:p w14:paraId="62A14FF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8.68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(0.05)</w:t>
            </w:r>
          </w:p>
        </w:tc>
        <w:tc>
          <w:tcPr>
            <w:tcW w:w="1098" w:type="dxa"/>
            <w:tcBorders>
              <w:top w:val="nil"/>
              <w:left w:val="nil"/>
              <w:bottom w:val="nil"/>
              <w:right w:val="nil"/>
            </w:tcBorders>
            <w:shd w:val="clear" w:color="auto" w:fill="auto"/>
            <w:noWrap/>
            <w:vAlign w:val="bottom"/>
            <w:hideMark/>
          </w:tcPr>
          <w:p w14:paraId="61856EC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134" w:type="dxa"/>
            <w:tcBorders>
              <w:top w:val="nil"/>
              <w:left w:val="nil"/>
              <w:bottom w:val="nil"/>
              <w:right w:val="nil"/>
            </w:tcBorders>
            <w:shd w:val="clear" w:color="auto" w:fill="auto"/>
            <w:noWrap/>
            <w:vAlign w:val="bottom"/>
            <w:hideMark/>
          </w:tcPr>
          <w:p w14:paraId="56F79D0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(0.16)</w:t>
            </w:r>
          </w:p>
        </w:tc>
        <w:tc>
          <w:tcPr>
            <w:tcW w:w="1275" w:type="dxa"/>
            <w:tcBorders>
              <w:top w:val="nil"/>
              <w:left w:val="nil"/>
              <w:bottom w:val="nil"/>
              <w:right w:val="nil"/>
            </w:tcBorders>
            <w:shd w:val="clear" w:color="auto" w:fill="auto"/>
            <w:noWrap/>
            <w:vAlign w:val="bottom"/>
            <w:hideMark/>
          </w:tcPr>
          <w:p w14:paraId="74504CD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A5616">
              <w:rPr>
                <w:rFonts w:ascii="Calibri" w:eastAsia="Times New Roman" w:hAnsi="Calibri" w:cs="Calibri"/>
                <w:b/>
                <w:bCs/>
                <w:color w:val="000000"/>
                <w:sz w:val="18"/>
                <w:szCs w:val="22"/>
              </w:rPr>
              <w:t>9.76</w:t>
            </w:r>
            <w:r>
              <w:rPr>
                <w:rFonts w:ascii="Calibri" w:eastAsia="Times New Roman" w:hAnsi="Calibri" w:cs="Calibri"/>
                <w:b/>
                <w:bCs/>
                <w:color w:val="000000"/>
                <w:sz w:val="18"/>
                <w:szCs w:val="22"/>
              </w:rPr>
              <w:t>b</w:t>
            </w:r>
            <w:r w:rsidRPr="00CA5616">
              <w:rPr>
                <w:rFonts w:ascii="Calibri" w:eastAsia="Times New Roman" w:hAnsi="Calibri" w:cs="Calibri"/>
                <w:b/>
                <w:bCs/>
                <w:color w:val="000000"/>
                <w:sz w:val="18"/>
                <w:szCs w:val="22"/>
              </w:rPr>
              <w:t>*</w:t>
            </w:r>
            <w:r w:rsidRPr="00C95A3E">
              <w:rPr>
                <w:rFonts w:ascii="Calibri" w:eastAsia="Times New Roman" w:hAnsi="Calibri" w:cs="Calibri"/>
                <w:color w:val="000000"/>
                <w:sz w:val="18"/>
                <w:szCs w:val="22"/>
              </w:rPr>
              <w:t xml:space="preserve"> (0.23)</w:t>
            </w:r>
          </w:p>
        </w:tc>
      </w:tr>
      <w:tr w:rsidR="003658EA" w:rsidRPr="00C44CFC" w14:paraId="1FFDA9B8" w14:textId="77777777" w:rsidTr="00A53996">
        <w:trPr>
          <w:trHeight w:val="300"/>
        </w:trPr>
        <w:tc>
          <w:tcPr>
            <w:tcW w:w="993" w:type="dxa"/>
            <w:vMerge/>
            <w:tcBorders>
              <w:top w:val="single" w:sz="4" w:space="0" w:color="auto"/>
              <w:left w:val="nil"/>
              <w:bottom w:val="nil"/>
              <w:right w:val="nil"/>
            </w:tcBorders>
            <w:vAlign w:val="center"/>
            <w:hideMark/>
          </w:tcPr>
          <w:p w14:paraId="596EA88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0545053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24</w:t>
            </w:r>
          </w:p>
        </w:tc>
        <w:tc>
          <w:tcPr>
            <w:tcW w:w="1276" w:type="dxa"/>
            <w:tcBorders>
              <w:top w:val="nil"/>
              <w:left w:val="nil"/>
              <w:bottom w:val="nil"/>
              <w:right w:val="nil"/>
            </w:tcBorders>
            <w:shd w:val="clear" w:color="auto" w:fill="auto"/>
            <w:noWrap/>
            <w:vAlign w:val="bottom"/>
            <w:hideMark/>
          </w:tcPr>
          <w:p w14:paraId="43E6AAB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2A21">
              <w:rPr>
                <w:rFonts w:ascii="Calibri" w:eastAsia="Times New Roman" w:hAnsi="Calibri" w:cs="Calibri"/>
                <w:b/>
                <w:bCs/>
                <w:color w:val="000000"/>
                <w:sz w:val="18"/>
                <w:szCs w:val="22"/>
              </w:rPr>
              <w:t>9.15b*</w:t>
            </w:r>
            <w:r w:rsidRPr="00C95A3E">
              <w:rPr>
                <w:rFonts w:ascii="Calibri" w:eastAsia="Times New Roman" w:hAnsi="Calibri" w:cs="Calibri"/>
                <w:color w:val="000000"/>
                <w:sz w:val="18"/>
                <w:szCs w:val="22"/>
              </w:rPr>
              <w:t xml:space="preserve"> (0.35)</w:t>
            </w:r>
          </w:p>
        </w:tc>
        <w:tc>
          <w:tcPr>
            <w:tcW w:w="1134" w:type="dxa"/>
            <w:tcBorders>
              <w:top w:val="nil"/>
              <w:left w:val="nil"/>
              <w:bottom w:val="nil"/>
              <w:right w:val="nil"/>
            </w:tcBorders>
            <w:shd w:val="clear" w:color="auto" w:fill="auto"/>
            <w:noWrap/>
            <w:vAlign w:val="bottom"/>
            <w:hideMark/>
          </w:tcPr>
          <w:p w14:paraId="0330C34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(0.27)</w:t>
            </w:r>
          </w:p>
        </w:tc>
        <w:tc>
          <w:tcPr>
            <w:tcW w:w="1342" w:type="dxa"/>
            <w:tcBorders>
              <w:top w:val="nil"/>
              <w:left w:val="nil"/>
              <w:bottom w:val="nil"/>
              <w:right w:val="nil"/>
            </w:tcBorders>
            <w:shd w:val="clear" w:color="auto" w:fill="auto"/>
            <w:noWrap/>
            <w:vAlign w:val="bottom"/>
            <w:hideMark/>
          </w:tcPr>
          <w:p w14:paraId="00BFE0C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8.37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(0.17)</w:t>
            </w:r>
          </w:p>
        </w:tc>
        <w:tc>
          <w:tcPr>
            <w:tcW w:w="1209" w:type="dxa"/>
            <w:tcBorders>
              <w:top w:val="nil"/>
              <w:left w:val="nil"/>
              <w:bottom w:val="nil"/>
              <w:right w:val="nil"/>
            </w:tcBorders>
            <w:shd w:val="clear" w:color="auto" w:fill="auto"/>
            <w:noWrap/>
            <w:vAlign w:val="bottom"/>
            <w:hideMark/>
          </w:tcPr>
          <w:p w14:paraId="5C1FA47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9.23b*</w:t>
            </w:r>
            <w:r w:rsidRPr="00C95A3E">
              <w:rPr>
                <w:rFonts w:ascii="Calibri" w:eastAsia="Times New Roman" w:hAnsi="Calibri" w:cs="Calibri"/>
                <w:color w:val="000000"/>
                <w:sz w:val="18"/>
                <w:szCs w:val="22"/>
              </w:rPr>
              <w:t xml:space="preserve"> (0.19)</w:t>
            </w:r>
          </w:p>
        </w:tc>
        <w:tc>
          <w:tcPr>
            <w:tcW w:w="1276" w:type="dxa"/>
            <w:tcBorders>
              <w:top w:val="nil"/>
              <w:left w:val="nil"/>
              <w:bottom w:val="nil"/>
              <w:right w:val="nil"/>
            </w:tcBorders>
            <w:shd w:val="clear" w:color="auto" w:fill="auto"/>
            <w:noWrap/>
            <w:vAlign w:val="bottom"/>
            <w:hideMark/>
          </w:tcPr>
          <w:p w14:paraId="44F5361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2A21">
              <w:rPr>
                <w:rFonts w:ascii="Calibri" w:eastAsia="Times New Roman" w:hAnsi="Calibri" w:cs="Calibri"/>
                <w:b/>
                <w:color w:val="000000"/>
                <w:sz w:val="18"/>
                <w:szCs w:val="22"/>
              </w:rPr>
              <w:t>8.52b</w:t>
            </w:r>
            <w:r>
              <w:rPr>
                <w:rFonts w:ascii="Calibri" w:eastAsia="Times New Roman" w:hAnsi="Calibri" w:cs="Calibri"/>
                <w:b/>
                <w:color w:val="000000"/>
                <w:sz w:val="18"/>
                <w:szCs w:val="22"/>
              </w:rPr>
              <w:t>*</w:t>
            </w:r>
            <w:r w:rsidRPr="00C95A3E">
              <w:rPr>
                <w:rFonts w:ascii="Calibri" w:eastAsia="Times New Roman" w:hAnsi="Calibri" w:cs="Calibri"/>
                <w:color w:val="000000"/>
                <w:sz w:val="18"/>
                <w:szCs w:val="22"/>
              </w:rPr>
              <w:t xml:space="preserve"> (0.05)</w:t>
            </w:r>
          </w:p>
        </w:tc>
        <w:tc>
          <w:tcPr>
            <w:tcW w:w="1193" w:type="dxa"/>
            <w:tcBorders>
              <w:top w:val="nil"/>
              <w:left w:val="nil"/>
              <w:bottom w:val="nil"/>
              <w:right w:val="nil"/>
            </w:tcBorders>
            <w:shd w:val="clear" w:color="auto" w:fill="auto"/>
            <w:noWrap/>
            <w:vAlign w:val="bottom"/>
            <w:hideMark/>
          </w:tcPr>
          <w:p w14:paraId="0E29581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7.78</w:t>
            </w:r>
            <w:r>
              <w:rPr>
                <w:rFonts w:ascii="Calibri" w:eastAsia="Times New Roman" w:hAnsi="Calibri" w:cs="Calibri"/>
                <w:color w:val="000000"/>
                <w:sz w:val="18"/>
                <w:szCs w:val="22"/>
              </w:rPr>
              <w:t xml:space="preserve">a </w:t>
            </w:r>
            <w:r w:rsidRPr="00C95A3E">
              <w:rPr>
                <w:rFonts w:ascii="Calibri" w:eastAsia="Times New Roman" w:hAnsi="Calibri" w:cs="Calibri"/>
                <w:color w:val="000000"/>
                <w:sz w:val="18"/>
                <w:szCs w:val="22"/>
              </w:rPr>
              <w:t>(0.65)</w:t>
            </w:r>
          </w:p>
        </w:tc>
        <w:tc>
          <w:tcPr>
            <w:tcW w:w="1263" w:type="dxa"/>
            <w:tcBorders>
              <w:top w:val="nil"/>
              <w:left w:val="nil"/>
              <w:bottom w:val="nil"/>
              <w:right w:val="nil"/>
            </w:tcBorders>
            <w:shd w:val="clear" w:color="auto" w:fill="auto"/>
            <w:noWrap/>
            <w:vAlign w:val="bottom"/>
            <w:hideMark/>
          </w:tcPr>
          <w:p w14:paraId="6326341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(0.38)</w:t>
            </w:r>
          </w:p>
        </w:tc>
        <w:tc>
          <w:tcPr>
            <w:tcW w:w="1124" w:type="dxa"/>
            <w:tcBorders>
              <w:top w:val="nil"/>
              <w:left w:val="nil"/>
              <w:bottom w:val="nil"/>
              <w:right w:val="nil"/>
            </w:tcBorders>
            <w:shd w:val="clear" w:color="auto" w:fill="auto"/>
            <w:noWrap/>
            <w:vAlign w:val="bottom"/>
            <w:hideMark/>
          </w:tcPr>
          <w:p w14:paraId="4BAA25B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(0.17)</w:t>
            </w:r>
          </w:p>
        </w:tc>
        <w:tc>
          <w:tcPr>
            <w:tcW w:w="1098" w:type="dxa"/>
            <w:tcBorders>
              <w:top w:val="nil"/>
              <w:left w:val="nil"/>
              <w:bottom w:val="nil"/>
              <w:right w:val="nil"/>
            </w:tcBorders>
            <w:shd w:val="clear" w:color="auto" w:fill="auto"/>
            <w:noWrap/>
            <w:vAlign w:val="bottom"/>
            <w:hideMark/>
          </w:tcPr>
          <w:p w14:paraId="5976780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(0.46)</w:t>
            </w:r>
          </w:p>
        </w:tc>
        <w:tc>
          <w:tcPr>
            <w:tcW w:w="1134" w:type="dxa"/>
            <w:tcBorders>
              <w:top w:val="nil"/>
              <w:left w:val="nil"/>
              <w:bottom w:val="nil"/>
              <w:right w:val="nil"/>
            </w:tcBorders>
            <w:shd w:val="clear" w:color="auto" w:fill="auto"/>
            <w:noWrap/>
            <w:vAlign w:val="bottom"/>
            <w:hideMark/>
          </w:tcPr>
          <w:p w14:paraId="30E7C9D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(0.43)</w:t>
            </w:r>
          </w:p>
        </w:tc>
        <w:tc>
          <w:tcPr>
            <w:tcW w:w="1275" w:type="dxa"/>
            <w:tcBorders>
              <w:top w:val="nil"/>
              <w:left w:val="nil"/>
              <w:bottom w:val="nil"/>
              <w:right w:val="nil"/>
            </w:tcBorders>
            <w:shd w:val="clear" w:color="auto" w:fill="auto"/>
            <w:noWrap/>
            <w:vAlign w:val="bottom"/>
            <w:hideMark/>
          </w:tcPr>
          <w:p w14:paraId="4736E50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9.80b</w:t>
            </w:r>
            <w:r w:rsidRPr="00C92A21">
              <w:rPr>
                <w:rFonts w:ascii="Calibri" w:eastAsia="Times New Roman" w:hAnsi="Calibri" w:cs="Calibri"/>
                <w:b/>
                <w:bCs/>
                <w:color w:val="000000"/>
                <w:sz w:val="18"/>
                <w:szCs w:val="22"/>
              </w:rPr>
              <w:t>*</w:t>
            </w:r>
            <w:r w:rsidRPr="00C95A3E">
              <w:rPr>
                <w:rFonts w:ascii="Calibri" w:eastAsia="Times New Roman" w:hAnsi="Calibri" w:cs="Calibri"/>
                <w:color w:val="000000"/>
                <w:sz w:val="18"/>
                <w:szCs w:val="22"/>
              </w:rPr>
              <w:t xml:space="preserve"> (0.16)</w:t>
            </w:r>
          </w:p>
        </w:tc>
      </w:tr>
      <w:tr w:rsidR="003658EA" w:rsidRPr="00C44CFC" w14:paraId="57882F82" w14:textId="77777777" w:rsidTr="00A53996">
        <w:trPr>
          <w:trHeight w:val="300"/>
        </w:trPr>
        <w:tc>
          <w:tcPr>
            <w:tcW w:w="993" w:type="dxa"/>
            <w:vMerge w:val="restart"/>
            <w:tcBorders>
              <w:top w:val="single" w:sz="4" w:space="0" w:color="auto"/>
              <w:left w:val="nil"/>
              <w:bottom w:val="nil"/>
              <w:right w:val="nil"/>
            </w:tcBorders>
            <w:shd w:val="clear" w:color="auto" w:fill="auto"/>
            <w:noWrap/>
            <w:vAlign w:val="bottom"/>
            <w:hideMark/>
          </w:tcPr>
          <w:p w14:paraId="6164BFB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hAnsi="Calibri"/>
                <w:color w:val="000000"/>
                <w:sz w:val="18"/>
              </w:rPr>
              <w:t xml:space="preserve">AX </w:t>
            </w:r>
            <w:r>
              <w:rPr>
                <w:rFonts w:ascii="Calibri" w:eastAsia="Times New Roman" w:hAnsi="Calibri" w:cs="Calibri"/>
                <w:bCs/>
                <w:color w:val="000000"/>
                <w:sz w:val="18"/>
                <w:szCs w:val="22"/>
              </w:rPr>
              <w:t>1:1 β-</w:t>
            </w:r>
            <w:r w:rsidRPr="00C44CFC">
              <w:rPr>
                <w:rFonts w:ascii="Calibri" w:eastAsia="Times New Roman" w:hAnsi="Calibri" w:cs="Calibri"/>
                <w:bCs/>
                <w:color w:val="000000"/>
                <w:sz w:val="18"/>
                <w:szCs w:val="22"/>
              </w:rPr>
              <w:t>glucan</w:t>
            </w:r>
          </w:p>
        </w:tc>
        <w:tc>
          <w:tcPr>
            <w:tcW w:w="425" w:type="dxa"/>
            <w:tcBorders>
              <w:top w:val="single" w:sz="4" w:space="0" w:color="auto"/>
              <w:left w:val="nil"/>
              <w:bottom w:val="nil"/>
              <w:right w:val="nil"/>
            </w:tcBorders>
            <w:shd w:val="clear" w:color="auto" w:fill="auto"/>
            <w:noWrap/>
            <w:vAlign w:val="bottom"/>
            <w:hideMark/>
          </w:tcPr>
          <w:p w14:paraId="711B174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0</w:t>
            </w:r>
          </w:p>
        </w:tc>
        <w:tc>
          <w:tcPr>
            <w:tcW w:w="1276" w:type="dxa"/>
            <w:tcBorders>
              <w:top w:val="single" w:sz="4" w:space="0" w:color="auto"/>
              <w:left w:val="nil"/>
              <w:bottom w:val="nil"/>
              <w:right w:val="nil"/>
            </w:tcBorders>
            <w:shd w:val="clear" w:color="auto" w:fill="auto"/>
            <w:noWrap/>
            <w:vAlign w:val="bottom"/>
            <w:hideMark/>
          </w:tcPr>
          <w:p w14:paraId="37591C8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(0.33)</w:t>
            </w:r>
          </w:p>
        </w:tc>
        <w:tc>
          <w:tcPr>
            <w:tcW w:w="1134" w:type="dxa"/>
            <w:tcBorders>
              <w:top w:val="single" w:sz="4" w:space="0" w:color="auto"/>
              <w:left w:val="nil"/>
              <w:bottom w:val="nil"/>
              <w:right w:val="nil"/>
            </w:tcBorders>
            <w:shd w:val="clear" w:color="auto" w:fill="auto"/>
            <w:noWrap/>
            <w:vAlign w:val="bottom"/>
            <w:hideMark/>
          </w:tcPr>
          <w:p w14:paraId="70A7DB6D" w14:textId="77777777" w:rsidR="003658EA" w:rsidRPr="00E54A6C" w:rsidRDefault="003658EA" w:rsidP="00A53996">
            <w:pPr>
              <w:spacing w:after="0" w:line="240" w:lineRule="auto"/>
              <w:contextualSpacing/>
              <w:jc w:val="both"/>
              <w:rPr>
                <w:rFonts w:ascii="Calibri" w:eastAsia="Times New Roman" w:hAnsi="Calibri" w:cs="Calibri"/>
                <w:color w:val="000000"/>
                <w:sz w:val="16"/>
              </w:rPr>
            </w:pPr>
            <w:r w:rsidRPr="00C95A3E">
              <w:rPr>
                <w:rFonts w:ascii="Calibri" w:eastAsia="Times New Roman" w:hAnsi="Calibri" w:cs="Calibri"/>
                <w:color w:val="000000"/>
                <w:sz w:val="16"/>
                <w:szCs w:val="22"/>
              </w:rPr>
              <w:t>7.17</w:t>
            </w:r>
            <w:r>
              <w:rPr>
                <w:rFonts w:ascii="Calibri" w:eastAsia="Times New Roman" w:hAnsi="Calibri" w:cs="Calibri"/>
                <w:color w:val="000000"/>
                <w:sz w:val="16"/>
                <w:szCs w:val="22"/>
              </w:rPr>
              <w:t>a</w:t>
            </w:r>
            <w:r w:rsidRPr="00C95A3E">
              <w:rPr>
                <w:rFonts w:ascii="Calibri" w:eastAsia="Times New Roman" w:hAnsi="Calibri" w:cs="Calibri"/>
                <w:color w:val="000000"/>
                <w:sz w:val="16"/>
                <w:szCs w:val="22"/>
              </w:rPr>
              <w:t xml:space="preserve"> (0.08)</w:t>
            </w:r>
          </w:p>
        </w:tc>
        <w:tc>
          <w:tcPr>
            <w:tcW w:w="1342" w:type="dxa"/>
            <w:tcBorders>
              <w:top w:val="single" w:sz="4" w:space="0" w:color="auto"/>
              <w:left w:val="nil"/>
              <w:bottom w:val="nil"/>
              <w:right w:val="nil"/>
            </w:tcBorders>
            <w:shd w:val="clear" w:color="auto" w:fill="auto"/>
            <w:noWrap/>
            <w:vAlign w:val="bottom"/>
            <w:hideMark/>
          </w:tcPr>
          <w:p w14:paraId="7299DEE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209" w:type="dxa"/>
            <w:tcBorders>
              <w:top w:val="single" w:sz="4" w:space="0" w:color="auto"/>
              <w:left w:val="nil"/>
              <w:bottom w:val="nil"/>
              <w:right w:val="nil"/>
            </w:tcBorders>
            <w:shd w:val="clear" w:color="auto" w:fill="auto"/>
            <w:noWrap/>
            <w:vAlign w:val="bottom"/>
            <w:hideMark/>
          </w:tcPr>
          <w:p w14:paraId="1408485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(0.19)</w:t>
            </w:r>
          </w:p>
        </w:tc>
        <w:tc>
          <w:tcPr>
            <w:tcW w:w="1276" w:type="dxa"/>
            <w:tcBorders>
              <w:top w:val="single" w:sz="4" w:space="0" w:color="auto"/>
              <w:left w:val="nil"/>
              <w:bottom w:val="nil"/>
              <w:right w:val="nil"/>
            </w:tcBorders>
            <w:shd w:val="clear" w:color="auto" w:fill="auto"/>
            <w:noWrap/>
            <w:vAlign w:val="bottom"/>
            <w:hideMark/>
          </w:tcPr>
          <w:p w14:paraId="1CCCDD8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(0.07)</w:t>
            </w:r>
          </w:p>
        </w:tc>
        <w:tc>
          <w:tcPr>
            <w:tcW w:w="1193" w:type="dxa"/>
            <w:tcBorders>
              <w:top w:val="single" w:sz="4" w:space="0" w:color="auto"/>
              <w:left w:val="nil"/>
              <w:bottom w:val="nil"/>
              <w:right w:val="nil"/>
            </w:tcBorders>
            <w:shd w:val="clear" w:color="auto" w:fill="auto"/>
            <w:noWrap/>
            <w:vAlign w:val="bottom"/>
            <w:hideMark/>
          </w:tcPr>
          <w:p w14:paraId="7A5BFB7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(0.04)</w:t>
            </w:r>
          </w:p>
        </w:tc>
        <w:tc>
          <w:tcPr>
            <w:tcW w:w="1263" w:type="dxa"/>
            <w:tcBorders>
              <w:top w:val="single" w:sz="4" w:space="0" w:color="auto"/>
              <w:left w:val="nil"/>
              <w:bottom w:val="nil"/>
              <w:right w:val="nil"/>
            </w:tcBorders>
            <w:shd w:val="clear" w:color="auto" w:fill="auto"/>
            <w:noWrap/>
            <w:vAlign w:val="bottom"/>
            <w:hideMark/>
          </w:tcPr>
          <w:p w14:paraId="35CA88C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(0.04)</w:t>
            </w:r>
          </w:p>
        </w:tc>
        <w:tc>
          <w:tcPr>
            <w:tcW w:w="1124" w:type="dxa"/>
            <w:tcBorders>
              <w:top w:val="single" w:sz="4" w:space="0" w:color="auto"/>
              <w:left w:val="nil"/>
              <w:bottom w:val="nil"/>
              <w:right w:val="nil"/>
            </w:tcBorders>
            <w:shd w:val="clear" w:color="auto" w:fill="auto"/>
            <w:noWrap/>
            <w:vAlign w:val="bottom"/>
            <w:hideMark/>
          </w:tcPr>
          <w:p w14:paraId="35EEFD7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(0.12)</w:t>
            </w:r>
          </w:p>
        </w:tc>
        <w:tc>
          <w:tcPr>
            <w:tcW w:w="1098" w:type="dxa"/>
            <w:tcBorders>
              <w:top w:val="single" w:sz="4" w:space="0" w:color="auto"/>
              <w:left w:val="nil"/>
              <w:bottom w:val="nil"/>
              <w:right w:val="nil"/>
            </w:tcBorders>
            <w:shd w:val="clear" w:color="auto" w:fill="auto"/>
            <w:noWrap/>
            <w:vAlign w:val="bottom"/>
            <w:hideMark/>
          </w:tcPr>
          <w:p w14:paraId="2C7E5B4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(0.20)</w:t>
            </w:r>
          </w:p>
        </w:tc>
        <w:tc>
          <w:tcPr>
            <w:tcW w:w="1134" w:type="dxa"/>
            <w:tcBorders>
              <w:top w:val="single" w:sz="4" w:space="0" w:color="auto"/>
              <w:left w:val="nil"/>
              <w:bottom w:val="nil"/>
              <w:right w:val="nil"/>
            </w:tcBorders>
            <w:shd w:val="clear" w:color="auto" w:fill="auto"/>
            <w:noWrap/>
            <w:vAlign w:val="bottom"/>
            <w:hideMark/>
          </w:tcPr>
          <w:p w14:paraId="0681851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(0.27)</w:t>
            </w:r>
          </w:p>
        </w:tc>
        <w:tc>
          <w:tcPr>
            <w:tcW w:w="1275" w:type="dxa"/>
            <w:tcBorders>
              <w:top w:val="single" w:sz="4" w:space="0" w:color="auto"/>
              <w:left w:val="nil"/>
              <w:bottom w:val="nil"/>
              <w:right w:val="nil"/>
            </w:tcBorders>
            <w:shd w:val="clear" w:color="auto" w:fill="auto"/>
            <w:noWrap/>
            <w:vAlign w:val="bottom"/>
            <w:hideMark/>
          </w:tcPr>
          <w:p w14:paraId="31DBC7A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8.82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(0.12)</w:t>
            </w:r>
          </w:p>
        </w:tc>
      </w:tr>
      <w:tr w:rsidR="003658EA" w:rsidRPr="00C44CFC" w14:paraId="585AC1A4" w14:textId="77777777" w:rsidTr="00A53996">
        <w:trPr>
          <w:trHeight w:val="300"/>
        </w:trPr>
        <w:tc>
          <w:tcPr>
            <w:tcW w:w="993" w:type="dxa"/>
            <w:vMerge/>
            <w:tcBorders>
              <w:top w:val="single" w:sz="4" w:space="0" w:color="auto"/>
              <w:left w:val="nil"/>
              <w:bottom w:val="nil"/>
              <w:right w:val="nil"/>
            </w:tcBorders>
            <w:vAlign w:val="center"/>
            <w:hideMark/>
          </w:tcPr>
          <w:p w14:paraId="1E936B2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1882008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4</w:t>
            </w:r>
          </w:p>
        </w:tc>
        <w:tc>
          <w:tcPr>
            <w:tcW w:w="1276" w:type="dxa"/>
            <w:tcBorders>
              <w:top w:val="nil"/>
              <w:left w:val="nil"/>
              <w:bottom w:val="nil"/>
              <w:right w:val="nil"/>
            </w:tcBorders>
            <w:shd w:val="clear" w:color="auto" w:fill="auto"/>
            <w:noWrap/>
            <w:vAlign w:val="bottom"/>
            <w:hideMark/>
          </w:tcPr>
          <w:p w14:paraId="4E5BC4B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(0.39)</w:t>
            </w:r>
          </w:p>
        </w:tc>
        <w:tc>
          <w:tcPr>
            <w:tcW w:w="1134" w:type="dxa"/>
            <w:tcBorders>
              <w:top w:val="nil"/>
              <w:left w:val="nil"/>
              <w:bottom w:val="nil"/>
              <w:right w:val="nil"/>
            </w:tcBorders>
            <w:shd w:val="clear" w:color="auto" w:fill="auto"/>
            <w:noWrap/>
            <w:vAlign w:val="bottom"/>
            <w:hideMark/>
          </w:tcPr>
          <w:p w14:paraId="3197643F" w14:textId="77777777" w:rsidR="003658EA" w:rsidRPr="00E54A6C" w:rsidRDefault="003658EA" w:rsidP="00A53996">
            <w:pPr>
              <w:spacing w:after="0" w:line="240" w:lineRule="auto"/>
              <w:contextualSpacing/>
              <w:jc w:val="both"/>
              <w:rPr>
                <w:rFonts w:ascii="Calibri" w:eastAsia="Times New Roman" w:hAnsi="Calibri" w:cs="Calibri"/>
                <w:color w:val="000000"/>
                <w:sz w:val="16"/>
              </w:rPr>
            </w:pPr>
            <w:r w:rsidRPr="00C95A3E">
              <w:rPr>
                <w:rFonts w:ascii="Calibri" w:eastAsia="Times New Roman" w:hAnsi="Calibri" w:cs="Calibri"/>
                <w:color w:val="000000"/>
                <w:sz w:val="16"/>
                <w:szCs w:val="22"/>
              </w:rPr>
              <w:t>6.78</w:t>
            </w:r>
            <w:r>
              <w:rPr>
                <w:rFonts w:ascii="Calibri" w:eastAsia="Times New Roman" w:hAnsi="Calibri" w:cs="Calibri"/>
                <w:color w:val="000000"/>
                <w:sz w:val="16"/>
                <w:szCs w:val="22"/>
              </w:rPr>
              <w:t>a</w:t>
            </w:r>
            <w:r w:rsidRPr="00C95A3E">
              <w:rPr>
                <w:rFonts w:ascii="Calibri" w:eastAsia="Times New Roman" w:hAnsi="Calibri" w:cs="Calibri"/>
                <w:color w:val="000000"/>
                <w:sz w:val="16"/>
                <w:szCs w:val="22"/>
              </w:rPr>
              <w:t xml:space="preserve"> (0.17)</w:t>
            </w:r>
          </w:p>
        </w:tc>
        <w:tc>
          <w:tcPr>
            <w:tcW w:w="1342" w:type="dxa"/>
            <w:tcBorders>
              <w:top w:val="nil"/>
              <w:left w:val="nil"/>
              <w:bottom w:val="nil"/>
              <w:right w:val="nil"/>
            </w:tcBorders>
            <w:shd w:val="clear" w:color="auto" w:fill="auto"/>
            <w:noWrap/>
            <w:vAlign w:val="bottom"/>
            <w:hideMark/>
          </w:tcPr>
          <w:p w14:paraId="17ED99B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(0.19)</w:t>
            </w:r>
          </w:p>
        </w:tc>
        <w:tc>
          <w:tcPr>
            <w:tcW w:w="1209" w:type="dxa"/>
            <w:tcBorders>
              <w:top w:val="nil"/>
              <w:left w:val="nil"/>
              <w:bottom w:val="nil"/>
              <w:right w:val="nil"/>
            </w:tcBorders>
            <w:shd w:val="clear" w:color="auto" w:fill="auto"/>
            <w:noWrap/>
            <w:vAlign w:val="bottom"/>
            <w:hideMark/>
          </w:tcPr>
          <w:p w14:paraId="112E7FE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(0.12)</w:t>
            </w:r>
          </w:p>
        </w:tc>
        <w:tc>
          <w:tcPr>
            <w:tcW w:w="1276" w:type="dxa"/>
            <w:tcBorders>
              <w:top w:val="nil"/>
              <w:left w:val="nil"/>
              <w:bottom w:val="nil"/>
              <w:right w:val="nil"/>
            </w:tcBorders>
            <w:shd w:val="clear" w:color="auto" w:fill="auto"/>
            <w:noWrap/>
            <w:vAlign w:val="bottom"/>
            <w:hideMark/>
          </w:tcPr>
          <w:p w14:paraId="3FEDC83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(0.29)</w:t>
            </w:r>
          </w:p>
        </w:tc>
        <w:tc>
          <w:tcPr>
            <w:tcW w:w="1193" w:type="dxa"/>
            <w:tcBorders>
              <w:top w:val="nil"/>
              <w:left w:val="nil"/>
              <w:bottom w:val="nil"/>
              <w:right w:val="nil"/>
            </w:tcBorders>
            <w:shd w:val="clear" w:color="auto" w:fill="auto"/>
            <w:noWrap/>
            <w:vAlign w:val="bottom"/>
            <w:hideMark/>
          </w:tcPr>
          <w:p w14:paraId="2027A7A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(0.41)</w:t>
            </w:r>
          </w:p>
        </w:tc>
        <w:tc>
          <w:tcPr>
            <w:tcW w:w="1263" w:type="dxa"/>
            <w:tcBorders>
              <w:top w:val="nil"/>
              <w:left w:val="nil"/>
              <w:bottom w:val="nil"/>
              <w:right w:val="nil"/>
            </w:tcBorders>
            <w:shd w:val="clear" w:color="auto" w:fill="auto"/>
            <w:noWrap/>
            <w:vAlign w:val="bottom"/>
            <w:hideMark/>
          </w:tcPr>
          <w:p w14:paraId="2C575CD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(0.08)</w:t>
            </w:r>
          </w:p>
        </w:tc>
        <w:tc>
          <w:tcPr>
            <w:tcW w:w="1124" w:type="dxa"/>
            <w:tcBorders>
              <w:top w:val="nil"/>
              <w:left w:val="nil"/>
              <w:bottom w:val="nil"/>
              <w:right w:val="nil"/>
            </w:tcBorders>
            <w:shd w:val="clear" w:color="auto" w:fill="auto"/>
            <w:noWrap/>
            <w:vAlign w:val="bottom"/>
            <w:hideMark/>
          </w:tcPr>
          <w:p w14:paraId="2E90FC7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098" w:type="dxa"/>
            <w:tcBorders>
              <w:top w:val="nil"/>
              <w:left w:val="nil"/>
              <w:bottom w:val="nil"/>
              <w:right w:val="nil"/>
            </w:tcBorders>
            <w:shd w:val="clear" w:color="auto" w:fill="auto"/>
            <w:noWrap/>
            <w:vAlign w:val="bottom"/>
            <w:hideMark/>
          </w:tcPr>
          <w:p w14:paraId="0B325E1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(0.06)</w:t>
            </w:r>
          </w:p>
        </w:tc>
        <w:tc>
          <w:tcPr>
            <w:tcW w:w="1134" w:type="dxa"/>
            <w:tcBorders>
              <w:top w:val="nil"/>
              <w:left w:val="nil"/>
              <w:bottom w:val="nil"/>
              <w:right w:val="nil"/>
            </w:tcBorders>
            <w:shd w:val="clear" w:color="auto" w:fill="auto"/>
            <w:noWrap/>
            <w:vAlign w:val="bottom"/>
            <w:hideMark/>
          </w:tcPr>
          <w:p w14:paraId="264F56D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(0.17)</w:t>
            </w:r>
          </w:p>
        </w:tc>
        <w:tc>
          <w:tcPr>
            <w:tcW w:w="1275" w:type="dxa"/>
            <w:tcBorders>
              <w:top w:val="nil"/>
              <w:left w:val="nil"/>
              <w:bottom w:val="nil"/>
              <w:right w:val="nil"/>
            </w:tcBorders>
            <w:shd w:val="clear" w:color="auto" w:fill="auto"/>
            <w:noWrap/>
            <w:vAlign w:val="bottom"/>
            <w:hideMark/>
          </w:tcPr>
          <w:p w14:paraId="4CC262F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9.18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r>
      <w:tr w:rsidR="003658EA" w:rsidRPr="00C44CFC" w14:paraId="0B15C60D" w14:textId="77777777" w:rsidTr="00A53996">
        <w:trPr>
          <w:trHeight w:val="300"/>
        </w:trPr>
        <w:tc>
          <w:tcPr>
            <w:tcW w:w="993" w:type="dxa"/>
            <w:vMerge/>
            <w:tcBorders>
              <w:top w:val="single" w:sz="4" w:space="0" w:color="auto"/>
              <w:left w:val="nil"/>
              <w:bottom w:val="nil"/>
              <w:right w:val="nil"/>
            </w:tcBorders>
            <w:vAlign w:val="center"/>
            <w:hideMark/>
          </w:tcPr>
          <w:p w14:paraId="2CC3A7B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6905E9F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8</w:t>
            </w:r>
          </w:p>
        </w:tc>
        <w:tc>
          <w:tcPr>
            <w:tcW w:w="1276" w:type="dxa"/>
            <w:tcBorders>
              <w:top w:val="nil"/>
              <w:left w:val="nil"/>
              <w:bottom w:val="nil"/>
              <w:right w:val="nil"/>
            </w:tcBorders>
            <w:shd w:val="clear" w:color="auto" w:fill="auto"/>
            <w:noWrap/>
            <w:vAlign w:val="bottom"/>
            <w:hideMark/>
          </w:tcPr>
          <w:p w14:paraId="22EDF52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8.57b*</w:t>
            </w:r>
            <w:r w:rsidRPr="00C95A3E">
              <w:rPr>
                <w:rFonts w:ascii="Calibri" w:eastAsia="Times New Roman" w:hAnsi="Calibri" w:cs="Calibri"/>
                <w:color w:val="000000"/>
                <w:sz w:val="18"/>
                <w:szCs w:val="22"/>
              </w:rPr>
              <w:t xml:space="preserve"> (0.49)</w:t>
            </w:r>
          </w:p>
        </w:tc>
        <w:tc>
          <w:tcPr>
            <w:tcW w:w="1134" w:type="dxa"/>
            <w:tcBorders>
              <w:top w:val="nil"/>
              <w:left w:val="nil"/>
              <w:bottom w:val="nil"/>
              <w:right w:val="nil"/>
            </w:tcBorders>
            <w:shd w:val="clear" w:color="auto" w:fill="auto"/>
            <w:noWrap/>
            <w:vAlign w:val="bottom"/>
            <w:hideMark/>
          </w:tcPr>
          <w:p w14:paraId="1DE206F9" w14:textId="77777777" w:rsidR="003658EA" w:rsidRPr="00E54A6C" w:rsidRDefault="003658EA" w:rsidP="00A53996">
            <w:pPr>
              <w:spacing w:after="0" w:line="240" w:lineRule="auto"/>
              <w:contextualSpacing/>
              <w:jc w:val="both"/>
              <w:rPr>
                <w:rFonts w:ascii="Calibri" w:eastAsia="Times New Roman" w:hAnsi="Calibri" w:cs="Calibri"/>
                <w:color w:val="000000"/>
                <w:sz w:val="16"/>
              </w:rPr>
            </w:pPr>
            <w:r w:rsidRPr="00C95A3E">
              <w:rPr>
                <w:rFonts w:ascii="Calibri" w:eastAsia="Times New Roman" w:hAnsi="Calibri" w:cs="Calibri"/>
                <w:color w:val="000000"/>
                <w:sz w:val="16"/>
                <w:szCs w:val="22"/>
              </w:rPr>
              <w:t>6.88</w:t>
            </w:r>
            <w:r>
              <w:rPr>
                <w:rFonts w:ascii="Calibri" w:eastAsia="Times New Roman" w:hAnsi="Calibri" w:cs="Calibri"/>
                <w:color w:val="000000"/>
                <w:sz w:val="16"/>
                <w:szCs w:val="22"/>
              </w:rPr>
              <w:t>a</w:t>
            </w:r>
            <w:r w:rsidRPr="00C95A3E">
              <w:rPr>
                <w:rFonts w:ascii="Calibri" w:eastAsia="Times New Roman" w:hAnsi="Calibri" w:cs="Calibri"/>
                <w:color w:val="000000"/>
                <w:sz w:val="16"/>
                <w:szCs w:val="22"/>
              </w:rPr>
              <w:t xml:space="preserve"> (0.23)</w:t>
            </w:r>
          </w:p>
        </w:tc>
        <w:tc>
          <w:tcPr>
            <w:tcW w:w="1342" w:type="dxa"/>
            <w:tcBorders>
              <w:top w:val="nil"/>
              <w:left w:val="nil"/>
              <w:bottom w:val="nil"/>
              <w:right w:val="nil"/>
            </w:tcBorders>
            <w:shd w:val="clear" w:color="auto" w:fill="auto"/>
            <w:noWrap/>
            <w:vAlign w:val="bottom"/>
            <w:hideMark/>
          </w:tcPr>
          <w:p w14:paraId="03324E5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(0.15)</w:t>
            </w:r>
          </w:p>
        </w:tc>
        <w:tc>
          <w:tcPr>
            <w:tcW w:w="1209" w:type="dxa"/>
            <w:tcBorders>
              <w:top w:val="nil"/>
              <w:left w:val="nil"/>
              <w:bottom w:val="nil"/>
              <w:right w:val="nil"/>
            </w:tcBorders>
            <w:shd w:val="clear" w:color="auto" w:fill="auto"/>
            <w:noWrap/>
            <w:vAlign w:val="bottom"/>
            <w:hideMark/>
          </w:tcPr>
          <w:p w14:paraId="3BF3DE7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8.73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(0.21)</w:t>
            </w:r>
          </w:p>
        </w:tc>
        <w:tc>
          <w:tcPr>
            <w:tcW w:w="1276" w:type="dxa"/>
            <w:tcBorders>
              <w:top w:val="nil"/>
              <w:left w:val="nil"/>
              <w:bottom w:val="nil"/>
              <w:right w:val="nil"/>
            </w:tcBorders>
            <w:shd w:val="clear" w:color="auto" w:fill="auto"/>
            <w:noWrap/>
            <w:vAlign w:val="bottom"/>
            <w:hideMark/>
          </w:tcPr>
          <w:p w14:paraId="15AAF91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(0.50)</w:t>
            </w:r>
          </w:p>
        </w:tc>
        <w:tc>
          <w:tcPr>
            <w:tcW w:w="1193" w:type="dxa"/>
            <w:tcBorders>
              <w:top w:val="nil"/>
              <w:left w:val="nil"/>
              <w:bottom w:val="nil"/>
              <w:right w:val="nil"/>
            </w:tcBorders>
            <w:shd w:val="clear" w:color="auto" w:fill="auto"/>
            <w:noWrap/>
            <w:vAlign w:val="bottom"/>
            <w:hideMark/>
          </w:tcPr>
          <w:p w14:paraId="5B22C11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(0.45)</w:t>
            </w:r>
          </w:p>
        </w:tc>
        <w:tc>
          <w:tcPr>
            <w:tcW w:w="1263" w:type="dxa"/>
            <w:tcBorders>
              <w:top w:val="nil"/>
              <w:left w:val="nil"/>
              <w:bottom w:val="nil"/>
              <w:right w:val="nil"/>
            </w:tcBorders>
            <w:shd w:val="clear" w:color="auto" w:fill="auto"/>
            <w:noWrap/>
            <w:vAlign w:val="bottom"/>
            <w:hideMark/>
          </w:tcPr>
          <w:p w14:paraId="5F578CF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8.00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124" w:type="dxa"/>
            <w:tcBorders>
              <w:top w:val="nil"/>
              <w:left w:val="nil"/>
              <w:bottom w:val="nil"/>
              <w:right w:val="nil"/>
            </w:tcBorders>
            <w:shd w:val="clear" w:color="auto" w:fill="auto"/>
            <w:noWrap/>
            <w:vAlign w:val="bottom"/>
            <w:hideMark/>
          </w:tcPr>
          <w:p w14:paraId="3CC7BD3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(0.18)</w:t>
            </w:r>
          </w:p>
        </w:tc>
        <w:tc>
          <w:tcPr>
            <w:tcW w:w="1098" w:type="dxa"/>
            <w:tcBorders>
              <w:top w:val="nil"/>
              <w:left w:val="nil"/>
              <w:bottom w:val="nil"/>
              <w:right w:val="nil"/>
            </w:tcBorders>
            <w:shd w:val="clear" w:color="auto" w:fill="auto"/>
            <w:noWrap/>
            <w:vAlign w:val="bottom"/>
            <w:hideMark/>
          </w:tcPr>
          <w:p w14:paraId="55B3C15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(0.21)</w:t>
            </w:r>
          </w:p>
        </w:tc>
        <w:tc>
          <w:tcPr>
            <w:tcW w:w="1134" w:type="dxa"/>
            <w:tcBorders>
              <w:top w:val="nil"/>
              <w:left w:val="nil"/>
              <w:bottom w:val="nil"/>
              <w:right w:val="nil"/>
            </w:tcBorders>
            <w:shd w:val="clear" w:color="auto" w:fill="auto"/>
            <w:noWrap/>
            <w:vAlign w:val="bottom"/>
            <w:hideMark/>
          </w:tcPr>
          <w:p w14:paraId="6C0E4F2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(0.24)</w:t>
            </w:r>
          </w:p>
        </w:tc>
        <w:tc>
          <w:tcPr>
            <w:tcW w:w="1275" w:type="dxa"/>
            <w:tcBorders>
              <w:top w:val="nil"/>
              <w:left w:val="nil"/>
              <w:bottom w:val="nil"/>
              <w:right w:val="nil"/>
            </w:tcBorders>
            <w:shd w:val="clear" w:color="auto" w:fill="auto"/>
            <w:noWrap/>
            <w:vAlign w:val="bottom"/>
            <w:hideMark/>
          </w:tcPr>
          <w:p w14:paraId="7BFF456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bCs/>
                <w:color w:val="000000"/>
                <w:sz w:val="18"/>
                <w:szCs w:val="22"/>
              </w:rPr>
              <w:t>9.45</w:t>
            </w:r>
            <w:r>
              <w:rPr>
                <w:rFonts w:ascii="Calibri" w:eastAsia="Times New Roman" w:hAnsi="Calibri" w:cs="Calibri"/>
                <w:bCs/>
                <w:color w:val="000000"/>
                <w:sz w:val="18"/>
                <w:szCs w:val="22"/>
              </w:rPr>
              <w:t>b</w:t>
            </w:r>
            <w:r w:rsidRPr="00C95A3E">
              <w:rPr>
                <w:rFonts w:ascii="Calibri" w:eastAsia="Times New Roman" w:hAnsi="Calibri" w:cs="Calibri"/>
                <w:color w:val="000000"/>
                <w:sz w:val="18"/>
                <w:szCs w:val="22"/>
              </w:rPr>
              <w:t xml:space="preserve"> (0.20)</w:t>
            </w:r>
          </w:p>
        </w:tc>
      </w:tr>
      <w:tr w:rsidR="003658EA" w:rsidRPr="00C44CFC" w14:paraId="11FB7374" w14:textId="77777777" w:rsidTr="00A53996">
        <w:trPr>
          <w:trHeight w:val="300"/>
        </w:trPr>
        <w:tc>
          <w:tcPr>
            <w:tcW w:w="993" w:type="dxa"/>
            <w:vMerge/>
            <w:tcBorders>
              <w:top w:val="single" w:sz="4" w:space="0" w:color="auto"/>
              <w:left w:val="nil"/>
              <w:bottom w:val="nil"/>
              <w:right w:val="nil"/>
            </w:tcBorders>
            <w:vAlign w:val="center"/>
            <w:hideMark/>
          </w:tcPr>
          <w:p w14:paraId="5D5BA78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2036D8D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24</w:t>
            </w:r>
          </w:p>
        </w:tc>
        <w:tc>
          <w:tcPr>
            <w:tcW w:w="1276" w:type="dxa"/>
            <w:tcBorders>
              <w:top w:val="nil"/>
              <w:left w:val="nil"/>
              <w:bottom w:val="nil"/>
              <w:right w:val="nil"/>
            </w:tcBorders>
            <w:shd w:val="clear" w:color="auto" w:fill="auto"/>
            <w:noWrap/>
            <w:vAlign w:val="bottom"/>
            <w:hideMark/>
          </w:tcPr>
          <w:p w14:paraId="732947B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8.95b*</w:t>
            </w:r>
            <w:r w:rsidRPr="00C95A3E">
              <w:rPr>
                <w:rFonts w:ascii="Calibri" w:eastAsia="Times New Roman" w:hAnsi="Calibri" w:cs="Calibri"/>
                <w:color w:val="000000"/>
                <w:sz w:val="18"/>
                <w:szCs w:val="22"/>
              </w:rPr>
              <w:t xml:space="preserve"> (0.12)</w:t>
            </w:r>
          </w:p>
        </w:tc>
        <w:tc>
          <w:tcPr>
            <w:tcW w:w="1134" w:type="dxa"/>
            <w:tcBorders>
              <w:top w:val="nil"/>
              <w:left w:val="nil"/>
              <w:bottom w:val="nil"/>
              <w:right w:val="nil"/>
            </w:tcBorders>
            <w:shd w:val="clear" w:color="auto" w:fill="auto"/>
            <w:noWrap/>
            <w:vAlign w:val="bottom"/>
            <w:hideMark/>
          </w:tcPr>
          <w:p w14:paraId="11B0CCEA" w14:textId="77777777" w:rsidR="003658EA" w:rsidRPr="00E54A6C" w:rsidRDefault="003658EA" w:rsidP="00A53996">
            <w:pPr>
              <w:spacing w:after="0" w:line="240" w:lineRule="auto"/>
              <w:contextualSpacing/>
              <w:jc w:val="both"/>
              <w:rPr>
                <w:rFonts w:ascii="Calibri" w:eastAsia="Times New Roman" w:hAnsi="Calibri" w:cs="Calibri"/>
                <w:color w:val="000000"/>
                <w:sz w:val="16"/>
              </w:rPr>
            </w:pPr>
            <w:r w:rsidRPr="00C95A3E">
              <w:rPr>
                <w:rFonts w:ascii="Calibri" w:eastAsia="Times New Roman" w:hAnsi="Calibri" w:cs="Calibri"/>
                <w:color w:val="000000"/>
                <w:sz w:val="16"/>
                <w:szCs w:val="22"/>
              </w:rPr>
              <w:t>8.05</w:t>
            </w:r>
            <w:r>
              <w:rPr>
                <w:rFonts w:ascii="Calibri" w:eastAsia="Times New Roman" w:hAnsi="Calibri" w:cs="Calibri"/>
                <w:color w:val="000000"/>
                <w:sz w:val="16"/>
                <w:szCs w:val="22"/>
              </w:rPr>
              <w:t>a</w:t>
            </w:r>
            <w:r w:rsidRPr="00C95A3E">
              <w:rPr>
                <w:rFonts w:ascii="Calibri" w:eastAsia="Times New Roman" w:hAnsi="Calibri" w:cs="Calibri"/>
                <w:color w:val="000000"/>
                <w:sz w:val="16"/>
                <w:szCs w:val="22"/>
              </w:rPr>
              <w:t xml:space="preserve"> (0.31)</w:t>
            </w:r>
          </w:p>
        </w:tc>
        <w:tc>
          <w:tcPr>
            <w:tcW w:w="1342" w:type="dxa"/>
            <w:tcBorders>
              <w:top w:val="nil"/>
              <w:left w:val="nil"/>
              <w:bottom w:val="nil"/>
              <w:right w:val="nil"/>
            </w:tcBorders>
            <w:shd w:val="clear" w:color="auto" w:fill="auto"/>
            <w:noWrap/>
            <w:vAlign w:val="bottom"/>
            <w:hideMark/>
          </w:tcPr>
          <w:p w14:paraId="46B1DEA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(0.10)</w:t>
            </w:r>
          </w:p>
        </w:tc>
        <w:tc>
          <w:tcPr>
            <w:tcW w:w="1209" w:type="dxa"/>
            <w:tcBorders>
              <w:top w:val="nil"/>
              <w:left w:val="nil"/>
              <w:bottom w:val="nil"/>
              <w:right w:val="nil"/>
            </w:tcBorders>
            <w:shd w:val="clear" w:color="auto" w:fill="auto"/>
            <w:noWrap/>
            <w:vAlign w:val="bottom"/>
            <w:hideMark/>
          </w:tcPr>
          <w:p w14:paraId="30B8C9D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2A21">
              <w:rPr>
                <w:rFonts w:ascii="Calibri" w:eastAsia="Times New Roman" w:hAnsi="Calibri" w:cs="Calibri"/>
                <w:b/>
                <w:bCs/>
                <w:color w:val="000000"/>
                <w:sz w:val="18"/>
                <w:szCs w:val="22"/>
              </w:rPr>
              <w:t>9.02a</w:t>
            </w:r>
            <w:r w:rsidRPr="00C95A3E">
              <w:rPr>
                <w:rFonts w:ascii="Calibri" w:eastAsia="Times New Roman" w:hAnsi="Calibri" w:cs="Calibri"/>
                <w:color w:val="000000"/>
                <w:sz w:val="18"/>
                <w:szCs w:val="22"/>
              </w:rPr>
              <w:t xml:space="preserve"> (0.11)</w:t>
            </w:r>
          </w:p>
        </w:tc>
        <w:tc>
          <w:tcPr>
            <w:tcW w:w="1276" w:type="dxa"/>
            <w:tcBorders>
              <w:top w:val="nil"/>
              <w:left w:val="nil"/>
              <w:bottom w:val="nil"/>
              <w:right w:val="nil"/>
            </w:tcBorders>
            <w:shd w:val="clear" w:color="auto" w:fill="auto"/>
            <w:noWrap/>
            <w:vAlign w:val="bottom"/>
            <w:hideMark/>
          </w:tcPr>
          <w:p w14:paraId="3C236CD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bCs/>
                <w:color w:val="000000"/>
                <w:sz w:val="18"/>
                <w:szCs w:val="22"/>
              </w:rPr>
              <w:t>8.35</w:t>
            </w:r>
            <w:r>
              <w:rPr>
                <w:rFonts w:ascii="Calibri" w:eastAsia="Times New Roman" w:hAnsi="Calibri" w:cs="Calibri"/>
                <w:bCs/>
                <w:color w:val="000000"/>
                <w:sz w:val="18"/>
                <w:szCs w:val="22"/>
              </w:rPr>
              <w:t>b</w:t>
            </w:r>
            <w:r w:rsidRPr="00C95A3E">
              <w:rPr>
                <w:rFonts w:ascii="Calibri" w:eastAsia="Times New Roman" w:hAnsi="Calibri" w:cs="Calibri"/>
                <w:color w:val="000000"/>
                <w:sz w:val="18"/>
                <w:szCs w:val="22"/>
              </w:rPr>
              <w:t xml:space="preserve"> (0.16)</w:t>
            </w:r>
          </w:p>
        </w:tc>
        <w:tc>
          <w:tcPr>
            <w:tcW w:w="1193" w:type="dxa"/>
            <w:tcBorders>
              <w:top w:val="nil"/>
              <w:left w:val="nil"/>
              <w:bottom w:val="nil"/>
              <w:right w:val="nil"/>
            </w:tcBorders>
            <w:shd w:val="clear" w:color="auto" w:fill="auto"/>
            <w:noWrap/>
            <w:vAlign w:val="bottom"/>
            <w:hideMark/>
          </w:tcPr>
          <w:p w14:paraId="3613F92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(0.29)</w:t>
            </w:r>
          </w:p>
        </w:tc>
        <w:tc>
          <w:tcPr>
            <w:tcW w:w="1263" w:type="dxa"/>
            <w:tcBorders>
              <w:top w:val="nil"/>
              <w:left w:val="nil"/>
              <w:bottom w:val="nil"/>
              <w:right w:val="nil"/>
            </w:tcBorders>
            <w:shd w:val="clear" w:color="auto" w:fill="auto"/>
            <w:noWrap/>
            <w:vAlign w:val="bottom"/>
            <w:hideMark/>
          </w:tcPr>
          <w:p w14:paraId="374A471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8.35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(0.13)</w:t>
            </w:r>
          </w:p>
        </w:tc>
        <w:tc>
          <w:tcPr>
            <w:tcW w:w="1124" w:type="dxa"/>
            <w:tcBorders>
              <w:top w:val="nil"/>
              <w:left w:val="nil"/>
              <w:bottom w:val="nil"/>
              <w:right w:val="nil"/>
            </w:tcBorders>
            <w:shd w:val="clear" w:color="auto" w:fill="auto"/>
            <w:noWrap/>
            <w:vAlign w:val="bottom"/>
            <w:hideMark/>
          </w:tcPr>
          <w:p w14:paraId="3795920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8.35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098" w:type="dxa"/>
            <w:tcBorders>
              <w:top w:val="nil"/>
              <w:left w:val="nil"/>
              <w:bottom w:val="nil"/>
              <w:right w:val="nil"/>
            </w:tcBorders>
            <w:shd w:val="clear" w:color="auto" w:fill="auto"/>
            <w:noWrap/>
            <w:vAlign w:val="bottom"/>
            <w:hideMark/>
          </w:tcPr>
          <w:p w14:paraId="0010B0A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8.31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(0.24)</w:t>
            </w:r>
          </w:p>
        </w:tc>
        <w:tc>
          <w:tcPr>
            <w:tcW w:w="1134" w:type="dxa"/>
            <w:tcBorders>
              <w:top w:val="nil"/>
              <w:left w:val="nil"/>
              <w:bottom w:val="nil"/>
              <w:right w:val="nil"/>
            </w:tcBorders>
            <w:shd w:val="clear" w:color="auto" w:fill="auto"/>
            <w:noWrap/>
            <w:vAlign w:val="bottom"/>
            <w:hideMark/>
          </w:tcPr>
          <w:p w14:paraId="1B55A56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7.92</w:t>
            </w:r>
            <w:r>
              <w:rPr>
                <w:rFonts w:ascii="Calibri" w:eastAsia="Times New Roman" w:hAnsi="Calibri" w:cs="Calibri"/>
                <w:color w:val="000000"/>
                <w:sz w:val="18"/>
                <w:szCs w:val="22"/>
              </w:rPr>
              <w:t>a</w:t>
            </w:r>
            <w:r w:rsidRPr="00C95A3E">
              <w:rPr>
                <w:rFonts w:eastAsia="Times New Roman"/>
                <w:color w:val="000000"/>
                <w:sz w:val="18"/>
                <w:szCs w:val="19"/>
                <w:vertAlign w:val="superscript"/>
              </w:rPr>
              <w:t xml:space="preserve"> </w:t>
            </w:r>
            <w:r w:rsidRPr="00C95A3E">
              <w:rPr>
                <w:rFonts w:ascii="Calibri" w:eastAsia="Times New Roman" w:hAnsi="Calibri" w:cs="Calibri"/>
                <w:color w:val="000000"/>
                <w:sz w:val="18"/>
                <w:szCs w:val="22"/>
              </w:rPr>
              <w:t>(0.45)</w:t>
            </w:r>
          </w:p>
        </w:tc>
        <w:tc>
          <w:tcPr>
            <w:tcW w:w="1275" w:type="dxa"/>
            <w:tcBorders>
              <w:top w:val="nil"/>
              <w:left w:val="nil"/>
              <w:bottom w:val="nil"/>
              <w:right w:val="nil"/>
            </w:tcBorders>
            <w:shd w:val="clear" w:color="auto" w:fill="auto"/>
            <w:noWrap/>
            <w:vAlign w:val="bottom"/>
            <w:hideMark/>
          </w:tcPr>
          <w:p w14:paraId="3FB8074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b/>
                <w:bCs/>
                <w:color w:val="000000"/>
                <w:sz w:val="18"/>
                <w:szCs w:val="22"/>
              </w:rPr>
              <w:t>9.66b</w:t>
            </w:r>
            <w:r w:rsidRPr="00C92A21">
              <w:rPr>
                <w:rFonts w:ascii="Calibri" w:eastAsia="Times New Roman" w:hAnsi="Calibri" w:cs="Calibri"/>
                <w:b/>
                <w:bCs/>
                <w:color w:val="000000"/>
                <w:sz w:val="18"/>
                <w:szCs w:val="22"/>
              </w:rPr>
              <w:t>*</w:t>
            </w:r>
            <w:r w:rsidRPr="00C95A3E">
              <w:rPr>
                <w:rFonts w:ascii="Calibri" w:eastAsia="Times New Roman" w:hAnsi="Calibri" w:cs="Calibri"/>
                <w:color w:val="000000"/>
                <w:sz w:val="18"/>
                <w:szCs w:val="22"/>
              </w:rPr>
              <w:t xml:space="preserve"> (0.05)</w:t>
            </w:r>
          </w:p>
        </w:tc>
      </w:tr>
      <w:tr w:rsidR="003658EA" w:rsidRPr="00C44CFC" w14:paraId="104305F2" w14:textId="77777777" w:rsidTr="00A53996">
        <w:trPr>
          <w:trHeight w:val="300"/>
        </w:trPr>
        <w:tc>
          <w:tcPr>
            <w:tcW w:w="993" w:type="dxa"/>
            <w:vMerge w:val="restart"/>
            <w:tcBorders>
              <w:top w:val="single" w:sz="4" w:space="0" w:color="auto"/>
              <w:left w:val="nil"/>
              <w:bottom w:val="nil"/>
              <w:right w:val="nil"/>
            </w:tcBorders>
            <w:shd w:val="clear" w:color="auto" w:fill="auto"/>
            <w:noWrap/>
            <w:vAlign w:val="bottom"/>
            <w:hideMark/>
          </w:tcPr>
          <w:p w14:paraId="7688E20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hAnsi="Calibri"/>
                <w:color w:val="000000"/>
                <w:sz w:val="18"/>
              </w:rPr>
              <w:t xml:space="preserve">AX </w:t>
            </w:r>
            <w:r>
              <w:rPr>
                <w:rFonts w:ascii="Calibri" w:eastAsia="Times New Roman" w:hAnsi="Calibri" w:cs="Calibri"/>
                <w:bCs/>
                <w:color w:val="000000"/>
                <w:sz w:val="18"/>
                <w:szCs w:val="22"/>
              </w:rPr>
              <w:t>1:3 β-</w:t>
            </w:r>
            <w:r w:rsidRPr="00C44CFC">
              <w:rPr>
                <w:rFonts w:ascii="Calibri" w:eastAsia="Times New Roman" w:hAnsi="Calibri" w:cs="Calibri"/>
                <w:bCs/>
                <w:color w:val="000000"/>
                <w:sz w:val="18"/>
                <w:szCs w:val="22"/>
              </w:rPr>
              <w:t>glucan</w:t>
            </w:r>
          </w:p>
        </w:tc>
        <w:tc>
          <w:tcPr>
            <w:tcW w:w="425" w:type="dxa"/>
            <w:tcBorders>
              <w:top w:val="single" w:sz="4" w:space="0" w:color="auto"/>
              <w:left w:val="nil"/>
              <w:bottom w:val="nil"/>
              <w:right w:val="nil"/>
            </w:tcBorders>
            <w:shd w:val="clear" w:color="auto" w:fill="auto"/>
            <w:noWrap/>
            <w:vAlign w:val="bottom"/>
            <w:hideMark/>
          </w:tcPr>
          <w:p w14:paraId="7C5361C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0</w:t>
            </w:r>
          </w:p>
        </w:tc>
        <w:tc>
          <w:tcPr>
            <w:tcW w:w="1276" w:type="dxa"/>
            <w:tcBorders>
              <w:top w:val="single" w:sz="4" w:space="0" w:color="auto"/>
              <w:left w:val="nil"/>
              <w:bottom w:val="nil"/>
              <w:right w:val="nil"/>
            </w:tcBorders>
            <w:shd w:val="clear" w:color="auto" w:fill="auto"/>
            <w:noWrap/>
            <w:vAlign w:val="bottom"/>
            <w:hideMark/>
          </w:tcPr>
          <w:p w14:paraId="25DA333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(0.35)</w:t>
            </w:r>
          </w:p>
        </w:tc>
        <w:tc>
          <w:tcPr>
            <w:tcW w:w="1134" w:type="dxa"/>
            <w:tcBorders>
              <w:top w:val="single" w:sz="4" w:space="0" w:color="auto"/>
              <w:left w:val="nil"/>
              <w:bottom w:val="nil"/>
              <w:right w:val="nil"/>
            </w:tcBorders>
            <w:shd w:val="clear" w:color="auto" w:fill="auto"/>
            <w:noWrap/>
            <w:vAlign w:val="bottom"/>
            <w:hideMark/>
          </w:tcPr>
          <w:p w14:paraId="3EEB491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(0.16)</w:t>
            </w:r>
          </w:p>
        </w:tc>
        <w:tc>
          <w:tcPr>
            <w:tcW w:w="1342" w:type="dxa"/>
            <w:tcBorders>
              <w:top w:val="single" w:sz="4" w:space="0" w:color="auto"/>
              <w:left w:val="nil"/>
              <w:bottom w:val="nil"/>
              <w:right w:val="nil"/>
            </w:tcBorders>
            <w:shd w:val="clear" w:color="auto" w:fill="auto"/>
            <w:noWrap/>
            <w:vAlign w:val="bottom"/>
            <w:hideMark/>
          </w:tcPr>
          <w:p w14:paraId="636043E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(0.20)</w:t>
            </w:r>
          </w:p>
        </w:tc>
        <w:tc>
          <w:tcPr>
            <w:tcW w:w="1209" w:type="dxa"/>
            <w:tcBorders>
              <w:top w:val="single" w:sz="4" w:space="0" w:color="auto"/>
              <w:left w:val="nil"/>
              <w:bottom w:val="nil"/>
              <w:right w:val="nil"/>
            </w:tcBorders>
            <w:shd w:val="clear" w:color="auto" w:fill="auto"/>
            <w:noWrap/>
            <w:vAlign w:val="bottom"/>
            <w:hideMark/>
          </w:tcPr>
          <w:p w14:paraId="7F1A16D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8.20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(0.31)</w:t>
            </w:r>
          </w:p>
        </w:tc>
        <w:tc>
          <w:tcPr>
            <w:tcW w:w="1276" w:type="dxa"/>
            <w:tcBorders>
              <w:top w:val="single" w:sz="4" w:space="0" w:color="auto"/>
              <w:left w:val="nil"/>
              <w:bottom w:val="nil"/>
              <w:right w:val="nil"/>
            </w:tcBorders>
            <w:shd w:val="clear" w:color="auto" w:fill="auto"/>
            <w:noWrap/>
            <w:vAlign w:val="bottom"/>
            <w:hideMark/>
          </w:tcPr>
          <w:p w14:paraId="26EAFDB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(0.18)</w:t>
            </w:r>
          </w:p>
        </w:tc>
        <w:tc>
          <w:tcPr>
            <w:tcW w:w="1193" w:type="dxa"/>
            <w:tcBorders>
              <w:top w:val="single" w:sz="4" w:space="0" w:color="auto"/>
              <w:left w:val="nil"/>
              <w:bottom w:val="nil"/>
              <w:right w:val="nil"/>
            </w:tcBorders>
            <w:shd w:val="clear" w:color="auto" w:fill="auto"/>
            <w:noWrap/>
            <w:vAlign w:val="bottom"/>
            <w:hideMark/>
          </w:tcPr>
          <w:p w14:paraId="2015080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263" w:type="dxa"/>
            <w:tcBorders>
              <w:top w:val="single" w:sz="4" w:space="0" w:color="auto"/>
              <w:left w:val="nil"/>
              <w:bottom w:val="nil"/>
              <w:right w:val="nil"/>
            </w:tcBorders>
            <w:shd w:val="clear" w:color="auto" w:fill="auto"/>
            <w:noWrap/>
            <w:vAlign w:val="bottom"/>
            <w:hideMark/>
          </w:tcPr>
          <w:p w14:paraId="61E1387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124" w:type="dxa"/>
            <w:tcBorders>
              <w:top w:val="single" w:sz="4" w:space="0" w:color="auto"/>
              <w:left w:val="nil"/>
              <w:bottom w:val="nil"/>
              <w:right w:val="nil"/>
            </w:tcBorders>
            <w:shd w:val="clear" w:color="auto" w:fill="auto"/>
            <w:noWrap/>
            <w:vAlign w:val="bottom"/>
            <w:hideMark/>
          </w:tcPr>
          <w:p w14:paraId="183F7A0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8.06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(0.23)</w:t>
            </w:r>
          </w:p>
        </w:tc>
        <w:tc>
          <w:tcPr>
            <w:tcW w:w="1098" w:type="dxa"/>
            <w:tcBorders>
              <w:top w:val="single" w:sz="4" w:space="0" w:color="auto"/>
              <w:left w:val="nil"/>
              <w:bottom w:val="nil"/>
              <w:right w:val="nil"/>
            </w:tcBorders>
            <w:shd w:val="clear" w:color="auto" w:fill="auto"/>
            <w:noWrap/>
            <w:vAlign w:val="bottom"/>
            <w:hideMark/>
          </w:tcPr>
          <w:p w14:paraId="563A429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(0.26)</w:t>
            </w:r>
          </w:p>
        </w:tc>
        <w:tc>
          <w:tcPr>
            <w:tcW w:w="1134" w:type="dxa"/>
            <w:tcBorders>
              <w:top w:val="single" w:sz="4" w:space="0" w:color="auto"/>
              <w:left w:val="nil"/>
              <w:bottom w:val="nil"/>
              <w:right w:val="nil"/>
            </w:tcBorders>
            <w:shd w:val="clear" w:color="auto" w:fill="auto"/>
            <w:noWrap/>
            <w:vAlign w:val="bottom"/>
            <w:hideMark/>
          </w:tcPr>
          <w:p w14:paraId="1419EDC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(0.19)</w:t>
            </w:r>
          </w:p>
        </w:tc>
        <w:tc>
          <w:tcPr>
            <w:tcW w:w="1275" w:type="dxa"/>
            <w:tcBorders>
              <w:top w:val="single" w:sz="4" w:space="0" w:color="auto"/>
              <w:left w:val="nil"/>
              <w:bottom w:val="nil"/>
              <w:right w:val="nil"/>
            </w:tcBorders>
            <w:shd w:val="clear" w:color="auto" w:fill="auto"/>
            <w:noWrap/>
            <w:vAlign w:val="bottom"/>
            <w:hideMark/>
          </w:tcPr>
          <w:p w14:paraId="41C3D15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8.82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(0.21)</w:t>
            </w:r>
          </w:p>
        </w:tc>
      </w:tr>
      <w:tr w:rsidR="003658EA" w:rsidRPr="00C44CFC" w14:paraId="63FC433C" w14:textId="77777777" w:rsidTr="00A53996">
        <w:trPr>
          <w:trHeight w:val="300"/>
        </w:trPr>
        <w:tc>
          <w:tcPr>
            <w:tcW w:w="993" w:type="dxa"/>
            <w:vMerge/>
            <w:tcBorders>
              <w:top w:val="single" w:sz="4" w:space="0" w:color="auto"/>
              <w:left w:val="nil"/>
              <w:bottom w:val="nil"/>
              <w:right w:val="nil"/>
            </w:tcBorders>
            <w:vAlign w:val="center"/>
            <w:hideMark/>
          </w:tcPr>
          <w:p w14:paraId="7647DAB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3D9FB65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4</w:t>
            </w:r>
          </w:p>
        </w:tc>
        <w:tc>
          <w:tcPr>
            <w:tcW w:w="1276" w:type="dxa"/>
            <w:tcBorders>
              <w:top w:val="nil"/>
              <w:left w:val="nil"/>
              <w:bottom w:val="nil"/>
              <w:right w:val="nil"/>
            </w:tcBorders>
            <w:shd w:val="clear" w:color="auto" w:fill="auto"/>
            <w:noWrap/>
            <w:vAlign w:val="bottom"/>
            <w:hideMark/>
          </w:tcPr>
          <w:p w14:paraId="33220EA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(0.26)</w:t>
            </w:r>
          </w:p>
        </w:tc>
        <w:tc>
          <w:tcPr>
            <w:tcW w:w="1134" w:type="dxa"/>
            <w:tcBorders>
              <w:top w:val="nil"/>
              <w:left w:val="nil"/>
              <w:bottom w:val="nil"/>
              <w:right w:val="nil"/>
            </w:tcBorders>
            <w:shd w:val="clear" w:color="auto" w:fill="auto"/>
            <w:noWrap/>
            <w:vAlign w:val="bottom"/>
            <w:hideMark/>
          </w:tcPr>
          <w:p w14:paraId="3C99E71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6.75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(0.20)</w:t>
            </w:r>
          </w:p>
        </w:tc>
        <w:tc>
          <w:tcPr>
            <w:tcW w:w="1342" w:type="dxa"/>
            <w:tcBorders>
              <w:top w:val="nil"/>
              <w:left w:val="nil"/>
              <w:bottom w:val="nil"/>
              <w:right w:val="nil"/>
            </w:tcBorders>
            <w:shd w:val="clear" w:color="auto" w:fill="auto"/>
            <w:noWrap/>
            <w:vAlign w:val="bottom"/>
            <w:hideMark/>
          </w:tcPr>
          <w:p w14:paraId="7743ABA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(0.28)</w:t>
            </w:r>
          </w:p>
        </w:tc>
        <w:tc>
          <w:tcPr>
            <w:tcW w:w="1209" w:type="dxa"/>
            <w:tcBorders>
              <w:top w:val="nil"/>
              <w:left w:val="nil"/>
              <w:bottom w:val="nil"/>
              <w:right w:val="nil"/>
            </w:tcBorders>
            <w:shd w:val="clear" w:color="auto" w:fill="auto"/>
            <w:noWrap/>
            <w:vAlign w:val="bottom"/>
            <w:hideMark/>
          </w:tcPr>
          <w:p w14:paraId="7A1C41D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(0.15)</w:t>
            </w:r>
          </w:p>
        </w:tc>
        <w:tc>
          <w:tcPr>
            <w:tcW w:w="1276" w:type="dxa"/>
            <w:tcBorders>
              <w:top w:val="nil"/>
              <w:left w:val="nil"/>
              <w:bottom w:val="nil"/>
              <w:right w:val="nil"/>
            </w:tcBorders>
            <w:shd w:val="clear" w:color="auto" w:fill="auto"/>
            <w:noWrap/>
            <w:vAlign w:val="bottom"/>
            <w:hideMark/>
          </w:tcPr>
          <w:p w14:paraId="2917973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6.85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(0.15)</w:t>
            </w:r>
          </w:p>
        </w:tc>
        <w:tc>
          <w:tcPr>
            <w:tcW w:w="1193" w:type="dxa"/>
            <w:tcBorders>
              <w:top w:val="nil"/>
              <w:left w:val="nil"/>
              <w:bottom w:val="nil"/>
              <w:right w:val="nil"/>
            </w:tcBorders>
            <w:shd w:val="clear" w:color="auto" w:fill="auto"/>
            <w:noWrap/>
            <w:vAlign w:val="bottom"/>
            <w:hideMark/>
          </w:tcPr>
          <w:p w14:paraId="09113AC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(0.22)</w:t>
            </w:r>
          </w:p>
        </w:tc>
        <w:tc>
          <w:tcPr>
            <w:tcW w:w="1263" w:type="dxa"/>
            <w:tcBorders>
              <w:top w:val="nil"/>
              <w:left w:val="nil"/>
              <w:bottom w:val="nil"/>
              <w:right w:val="nil"/>
            </w:tcBorders>
            <w:shd w:val="clear" w:color="auto" w:fill="auto"/>
            <w:noWrap/>
            <w:vAlign w:val="bottom"/>
            <w:hideMark/>
          </w:tcPr>
          <w:p w14:paraId="7507B7C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(0.19)</w:t>
            </w:r>
          </w:p>
        </w:tc>
        <w:tc>
          <w:tcPr>
            <w:tcW w:w="1124" w:type="dxa"/>
            <w:tcBorders>
              <w:top w:val="nil"/>
              <w:left w:val="nil"/>
              <w:bottom w:val="nil"/>
              <w:right w:val="nil"/>
            </w:tcBorders>
            <w:shd w:val="clear" w:color="auto" w:fill="auto"/>
            <w:noWrap/>
            <w:vAlign w:val="bottom"/>
            <w:hideMark/>
          </w:tcPr>
          <w:p w14:paraId="442354C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(0.15)</w:t>
            </w:r>
          </w:p>
        </w:tc>
        <w:tc>
          <w:tcPr>
            <w:tcW w:w="1098" w:type="dxa"/>
            <w:tcBorders>
              <w:top w:val="nil"/>
              <w:left w:val="nil"/>
              <w:bottom w:val="nil"/>
              <w:right w:val="nil"/>
            </w:tcBorders>
            <w:shd w:val="clear" w:color="auto" w:fill="auto"/>
            <w:noWrap/>
            <w:vAlign w:val="bottom"/>
            <w:hideMark/>
          </w:tcPr>
          <w:p w14:paraId="1A78CC6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(0.11)</w:t>
            </w:r>
          </w:p>
        </w:tc>
        <w:tc>
          <w:tcPr>
            <w:tcW w:w="1134" w:type="dxa"/>
            <w:tcBorders>
              <w:top w:val="nil"/>
              <w:left w:val="nil"/>
              <w:bottom w:val="nil"/>
              <w:right w:val="nil"/>
            </w:tcBorders>
            <w:shd w:val="clear" w:color="auto" w:fill="auto"/>
            <w:noWrap/>
            <w:vAlign w:val="bottom"/>
            <w:hideMark/>
          </w:tcPr>
          <w:p w14:paraId="27478C4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6.87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275" w:type="dxa"/>
            <w:tcBorders>
              <w:top w:val="nil"/>
              <w:left w:val="nil"/>
              <w:bottom w:val="nil"/>
              <w:right w:val="nil"/>
            </w:tcBorders>
            <w:shd w:val="clear" w:color="auto" w:fill="auto"/>
            <w:noWrap/>
            <w:vAlign w:val="bottom"/>
            <w:hideMark/>
          </w:tcPr>
          <w:p w14:paraId="7EDC497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r>
      <w:tr w:rsidR="003658EA" w:rsidRPr="00C44CFC" w14:paraId="38FCD680" w14:textId="77777777" w:rsidTr="00A53996">
        <w:trPr>
          <w:trHeight w:val="300"/>
        </w:trPr>
        <w:tc>
          <w:tcPr>
            <w:tcW w:w="993" w:type="dxa"/>
            <w:vMerge/>
            <w:tcBorders>
              <w:top w:val="single" w:sz="4" w:space="0" w:color="auto"/>
              <w:left w:val="nil"/>
              <w:bottom w:val="nil"/>
              <w:right w:val="nil"/>
            </w:tcBorders>
            <w:vAlign w:val="center"/>
            <w:hideMark/>
          </w:tcPr>
          <w:p w14:paraId="5FAC345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6C606B0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8</w:t>
            </w:r>
          </w:p>
        </w:tc>
        <w:tc>
          <w:tcPr>
            <w:tcW w:w="1276" w:type="dxa"/>
            <w:tcBorders>
              <w:top w:val="nil"/>
              <w:left w:val="nil"/>
              <w:bottom w:val="nil"/>
              <w:right w:val="nil"/>
            </w:tcBorders>
            <w:shd w:val="clear" w:color="auto" w:fill="auto"/>
            <w:noWrap/>
            <w:vAlign w:val="bottom"/>
            <w:hideMark/>
          </w:tcPr>
          <w:p w14:paraId="49F7F18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(0.53)</w:t>
            </w:r>
          </w:p>
        </w:tc>
        <w:tc>
          <w:tcPr>
            <w:tcW w:w="1134" w:type="dxa"/>
            <w:tcBorders>
              <w:top w:val="nil"/>
              <w:left w:val="nil"/>
              <w:bottom w:val="nil"/>
              <w:right w:val="nil"/>
            </w:tcBorders>
            <w:shd w:val="clear" w:color="auto" w:fill="auto"/>
            <w:noWrap/>
            <w:vAlign w:val="bottom"/>
            <w:hideMark/>
          </w:tcPr>
          <w:p w14:paraId="47FA4C4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6.88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(0.32)</w:t>
            </w:r>
          </w:p>
        </w:tc>
        <w:tc>
          <w:tcPr>
            <w:tcW w:w="1342" w:type="dxa"/>
            <w:tcBorders>
              <w:top w:val="nil"/>
              <w:left w:val="nil"/>
              <w:bottom w:val="nil"/>
              <w:right w:val="nil"/>
            </w:tcBorders>
            <w:shd w:val="clear" w:color="auto" w:fill="auto"/>
            <w:noWrap/>
            <w:vAlign w:val="bottom"/>
            <w:hideMark/>
          </w:tcPr>
          <w:p w14:paraId="684CC6A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(0.72)</w:t>
            </w:r>
          </w:p>
        </w:tc>
        <w:tc>
          <w:tcPr>
            <w:tcW w:w="1209" w:type="dxa"/>
            <w:tcBorders>
              <w:top w:val="nil"/>
              <w:left w:val="nil"/>
              <w:bottom w:val="nil"/>
              <w:right w:val="nil"/>
            </w:tcBorders>
            <w:shd w:val="clear" w:color="auto" w:fill="auto"/>
            <w:noWrap/>
            <w:vAlign w:val="bottom"/>
            <w:hideMark/>
          </w:tcPr>
          <w:p w14:paraId="646F1CA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(0.49)</w:t>
            </w:r>
          </w:p>
        </w:tc>
        <w:tc>
          <w:tcPr>
            <w:tcW w:w="1276" w:type="dxa"/>
            <w:tcBorders>
              <w:top w:val="nil"/>
              <w:left w:val="nil"/>
              <w:bottom w:val="nil"/>
              <w:right w:val="nil"/>
            </w:tcBorders>
            <w:shd w:val="clear" w:color="auto" w:fill="auto"/>
            <w:noWrap/>
            <w:vAlign w:val="bottom"/>
            <w:hideMark/>
          </w:tcPr>
          <w:p w14:paraId="15AC621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(0.31)</w:t>
            </w:r>
          </w:p>
        </w:tc>
        <w:tc>
          <w:tcPr>
            <w:tcW w:w="1193" w:type="dxa"/>
            <w:tcBorders>
              <w:top w:val="nil"/>
              <w:left w:val="nil"/>
              <w:bottom w:val="nil"/>
              <w:right w:val="nil"/>
            </w:tcBorders>
            <w:shd w:val="clear" w:color="auto" w:fill="auto"/>
            <w:noWrap/>
            <w:vAlign w:val="bottom"/>
            <w:hideMark/>
          </w:tcPr>
          <w:p w14:paraId="113C7B4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color w:val="000000"/>
                <w:sz w:val="18"/>
                <w:szCs w:val="22"/>
              </w:rPr>
              <w:t xml:space="preserve">7.30a </w:t>
            </w:r>
            <w:r w:rsidRPr="00C95A3E">
              <w:rPr>
                <w:rFonts w:ascii="Calibri" w:eastAsia="Times New Roman" w:hAnsi="Calibri" w:cs="Calibri"/>
                <w:color w:val="000000"/>
                <w:sz w:val="18"/>
                <w:szCs w:val="22"/>
              </w:rPr>
              <w:t>(0.04)</w:t>
            </w:r>
          </w:p>
        </w:tc>
        <w:tc>
          <w:tcPr>
            <w:tcW w:w="1263" w:type="dxa"/>
            <w:tcBorders>
              <w:top w:val="nil"/>
              <w:left w:val="nil"/>
              <w:bottom w:val="nil"/>
              <w:right w:val="nil"/>
            </w:tcBorders>
            <w:shd w:val="clear" w:color="auto" w:fill="auto"/>
            <w:noWrap/>
            <w:vAlign w:val="bottom"/>
            <w:hideMark/>
          </w:tcPr>
          <w:p w14:paraId="58531C7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(0.64)</w:t>
            </w:r>
          </w:p>
        </w:tc>
        <w:tc>
          <w:tcPr>
            <w:tcW w:w="1124" w:type="dxa"/>
            <w:tcBorders>
              <w:top w:val="nil"/>
              <w:left w:val="nil"/>
              <w:bottom w:val="nil"/>
              <w:right w:val="nil"/>
            </w:tcBorders>
            <w:shd w:val="clear" w:color="auto" w:fill="auto"/>
            <w:noWrap/>
            <w:vAlign w:val="bottom"/>
            <w:hideMark/>
          </w:tcPr>
          <w:p w14:paraId="0778568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(0.50)</w:t>
            </w:r>
          </w:p>
        </w:tc>
        <w:tc>
          <w:tcPr>
            <w:tcW w:w="1098" w:type="dxa"/>
            <w:tcBorders>
              <w:top w:val="nil"/>
              <w:left w:val="nil"/>
              <w:bottom w:val="nil"/>
              <w:right w:val="nil"/>
            </w:tcBorders>
            <w:shd w:val="clear" w:color="auto" w:fill="auto"/>
            <w:noWrap/>
            <w:vAlign w:val="bottom"/>
            <w:hideMark/>
          </w:tcPr>
          <w:p w14:paraId="2E9D3E1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(0.40)</w:t>
            </w:r>
          </w:p>
        </w:tc>
        <w:tc>
          <w:tcPr>
            <w:tcW w:w="1134" w:type="dxa"/>
            <w:tcBorders>
              <w:top w:val="nil"/>
              <w:left w:val="nil"/>
              <w:bottom w:val="nil"/>
              <w:right w:val="nil"/>
            </w:tcBorders>
            <w:shd w:val="clear" w:color="auto" w:fill="auto"/>
            <w:noWrap/>
            <w:vAlign w:val="bottom"/>
            <w:hideMark/>
          </w:tcPr>
          <w:p w14:paraId="616383D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(0.33)</w:t>
            </w:r>
          </w:p>
        </w:tc>
        <w:tc>
          <w:tcPr>
            <w:tcW w:w="1275" w:type="dxa"/>
            <w:tcBorders>
              <w:top w:val="nil"/>
              <w:left w:val="nil"/>
              <w:bottom w:val="nil"/>
              <w:right w:val="nil"/>
            </w:tcBorders>
            <w:shd w:val="clear" w:color="auto" w:fill="auto"/>
            <w:noWrap/>
            <w:vAlign w:val="bottom"/>
            <w:hideMark/>
          </w:tcPr>
          <w:p w14:paraId="41C4E11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8.84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(0.47)</w:t>
            </w:r>
          </w:p>
        </w:tc>
      </w:tr>
      <w:tr w:rsidR="003658EA" w:rsidRPr="00C44CFC" w14:paraId="547F140D" w14:textId="77777777" w:rsidTr="00A53996">
        <w:trPr>
          <w:trHeight w:val="300"/>
        </w:trPr>
        <w:tc>
          <w:tcPr>
            <w:tcW w:w="993" w:type="dxa"/>
            <w:vMerge/>
            <w:tcBorders>
              <w:top w:val="single" w:sz="4" w:space="0" w:color="auto"/>
              <w:left w:val="nil"/>
              <w:bottom w:val="nil"/>
              <w:right w:val="nil"/>
            </w:tcBorders>
            <w:vAlign w:val="center"/>
            <w:hideMark/>
          </w:tcPr>
          <w:p w14:paraId="56BDB27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46750B8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24</w:t>
            </w:r>
          </w:p>
        </w:tc>
        <w:tc>
          <w:tcPr>
            <w:tcW w:w="1276" w:type="dxa"/>
            <w:tcBorders>
              <w:top w:val="nil"/>
              <w:left w:val="nil"/>
              <w:bottom w:val="nil"/>
              <w:right w:val="nil"/>
            </w:tcBorders>
            <w:shd w:val="clear" w:color="auto" w:fill="auto"/>
            <w:noWrap/>
            <w:vAlign w:val="bottom"/>
            <w:hideMark/>
          </w:tcPr>
          <w:p w14:paraId="1348E52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8.61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(0.43)</w:t>
            </w:r>
          </w:p>
        </w:tc>
        <w:tc>
          <w:tcPr>
            <w:tcW w:w="1134" w:type="dxa"/>
            <w:tcBorders>
              <w:top w:val="nil"/>
              <w:left w:val="nil"/>
              <w:bottom w:val="nil"/>
              <w:right w:val="nil"/>
            </w:tcBorders>
            <w:shd w:val="clear" w:color="auto" w:fill="auto"/>
            <w:noWrap/>
            <w:vAlign w:val="bottom"/>
            <w:hideMark/>
          </w:tcPr>
          <w:p w14:paraId="6E8C0D9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(0.08)</w:t>
            </w:r>
          </w:p>
        </w:tc>
        <w:tc>
          <w:tcPr>
            <w:tcW w:w="1342" w:type="dxa"/>
            <w:tcBorders>
              <w:top w:val="nil"/>
              <w:left w:val="nil"/>
              <w:bottom w:val="nil"/>
              <w:right w:val="nil"/>
            </w:tcBorders>
            <w:shd w:val="clear" w:color="auto" w:fill="auto"/>
            <w:noWrap/>
            <w:vAlign w:val="bottom"/>
            <w:hideMark/>
          </w:tcPr>
          <w:p w14:paraId="0DF14BF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(0.60)</w:t>
            </w:r>
          </w:p>
        </w:tc>
        <w:tc>
          <w:tcPr>
            <w:tcW w:w="1209" w:type="dxa"/>
            <w:tcBorders>
              <w:top w:val="nil"/>
              <w:left w:val="nil"/>
              <w:bottom w:val="nil"/>
              <w:right w:val="nil"/>
            </w:tcBorders>
            <w:shd w:val="clear" w:color="auto" w:fill="auto"/>
            <w:noWrap/>
            <w:vAlign w:val="bottom"/>
            <w:hideMark/>
          </w:tcPr>
          <w:p w14:paraId="7CFB357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(0.36)</w:t>
            </w:r>
          </w:p>
        </w:tc>
        <w:tc>
          <w:tcPr>
            <w:tcW w:w="1276" w:type="dxa"/>
            <w:tcBorders>
              <w:top w:val="nil"/>
              <w:left w:val="nil"/>
              <w:bottom w:val="nil"/>
              <w:right w:val="nil"/>
            </w:tcBorders>
            <w:shd w:val="clear" w:color="auto" w:fill="auto"/>
            <w:noWrap/>
            <w:vAlign w:val="bottom"/>
            <w:hideMark/>
          </w:tcPr>
          <w:p w14:paraId="4C3FED8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(0.20)</w:t>
            </w:r>
          </w:p>
        </w:tc>
        <w:tc>
          <w:tcPr>
            <w:tcW w:w="1193" w:type="dxa"/>
            <w:tcBorders>
              <w:top w:val="nil"/>
              <w:left w:val="nil"/>
              <w:bottom w:val="nil"/>
              <w:right w:val="nil"/>
            </w:tcBorders>
            <w:shd w:val="clear" w:color="auto" w:fill="auto"/>
            <w:noWrap/>
            <w:vAlign w:val="bottom"/>
            <w:hideMark/>
          </w:tcPr>
          <w:p w14:paraId="4B891ED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(0.25)</w:t>
            </w:r>
          </w:p>
        </w:tc>
        <w:tc>
          <w:tcPr>
            <w:tcW w:w="1263" w:type="dxa"/>
            <w:tcBorders>
              <w:top w:val="nil"/>
              <w:left w:val="nil"/>
              <w:bottom w:val="nil"/>
              <w:right w:val="nil"/>
            </w:tcBorders>
            <w:shd w:val="clear" w:color="auto" w:fill="auto"/>
            <w:noWrap/>
            <w:vAlign w:val="bottom"/>
            <w:hideMark/>
          </w:tcPr>
          <w:p w14:paraId="667168D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8.33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(0.53)</w:t>
            </w:r>
          </w:p>
        </w:tc>
        <w:tc>
          <w:tcPr>
            <w:tcW w:w="1124" w:type="dxa"/>
            <w:tcBorders>
              <w:top w:val="nil"/>
              <w:left w:val="nil"/>
              <w:bottom w:val="nil"/>
              <w:right w:val="nil"/>
            </w:tcBorders>
            <w:shd w:val="clear" w:color="auto" w:fill="auto"/>
            <w:noWrap/>
            <w:vAlign w:val="bottom"/>
            <w:hideMark/>
          </w:tcPr>
          <w:p w14:paraId="27D0ADB2"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(0.56)</w:t>
            </w:r>
          </w:p>
        </w:tc>
        <w:tc>
          <w:tcPr>
            <w:tcW w:w="1098" w:type="dxa"/>
            <w:tcBorders>
              <w:top w:val="nil"/>
              <w:left w:val="nil"/>
              <w:bottom w:val="nil"/>
              <w:right w:val="nil"/>
            </w:tcBorders>
            <w:shd w:val="clear" w:color="auto" w:fill="auto"/>
            <w:noWrap/>
            <w:vAlign w:val="bottom"/>
            <w:hideMark/>
          </w:tcPr>
          <w:p w14:paraId="0BA43D1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8.06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(0.38)</w:t>
            </w:r>
          </w:p>
        </w:tc>
        <w:tc>
          <w:tcPr>
            <w:tcW w:w="1134" w:type="dxa"/>
            <w:tcBorders>
              <w:top w:val="nil"/>
              <w:left w:val="nil"/>
              <w:bottom w:val="nil"/>
              <w:right w:val="nil"/>
            </w:tcBorders>
            <w:shd w:val="clear" w:color="auto" w:fill="auto"/>
            <w:noWrap/>
            <w:vAlign w:val="bottom"/>
            <w:hideMark/>
          </w:tcPr>
          <w:p w14:paraId="36C944E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(0.18)</w:t>
            </w:r>
          </w:p>
        </w:tc>
        <w:tc>
          <w:tcPr>
            <w:tcW w:w="1275" w:type="dxa"/>
            <w:tcBorders>
              <w:top w:val="nil"/>
              <w:left w:val="nil"/>
              <w:bottom w:val="nil"/>
              <w:right w:val="nil"/>
            </w:tcBorders>
            <w:shd w:val="clear" w:color="auto" w:fill="auto"/>
            <w:noWrap/>
            <w:vAlign w:val="bottom"/>
            <w:hideMark/>
          </w:tcPr>
          <w:p w14:paraId="6264EA5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9.36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(0.38)</w:t>
            </w:r>
          </w:p>
        </w:tc>
      </w:tr>
      <w:tr w:rsidR="003658EA" w:rsidRPr="00C44CFC" w14:paraId="7DB17D75" w14:textId="77777777" w:rsidTr="00A53996">
        <w:trPr>
          <w:trHeight w:val="300"/>
        </w:trPr>
        <w:tc>
          <w:tcPr>
            <w:tcW w:w="993" w:type="dxa"/>
            <w:vMerge w:val="restart"/>
            <w:tcBorders>
              <w:top w:val="single" w:sz="4" w:space="0" w:color="auto"/>
              <w:left w:val="nil"/>
              <w:bottom w:val="nil"/>
              <w:right w:val="nil"/>
            </w:tcBorders>
            <w:shd w:val="clear" w:color="auto" w:fill="auto"/>
            <w:noWrap/>
            <w:vAlign w:val="bottom"/>
            <w:hideMark/>
          </w:tcPr>
          <w:p w14:paraId="2A3107A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hAnsi="Calibri"/>
                <w:color w:val="000000"/>
                <w:sz w:val="18"/>
              </w:rPr>
              <w:t xml:space="preserve">B glucan </w:t>
            </w:r>
          </w:p>
        </w:tc>
        <w:tc>
          <w:tcPr>
            <w:tcW w:w="425" w:type="dxa"/>
            <w:tcBorders>
              <w:top w:val="single" w:sz="4" w:space="0" w:color="auto"/>
              <w:left w:val="nil"/>
              <w:bottom w:val="nil"/>
              <w:right w:val="nil"/>
            </w:tcBorders>
            <w:shd w:val="clear" w:color="auto" w:fill="auto"/>
            <w:noWrap/>
            <w:vAlign w:val="bottom"/>
            <w:hideMark/>
          </w:tcPr>
          <w:p w14:paraId="35FF256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0</w:t>
            </w:r>
          </w:p>
        </w:tc>
        <w:tc>
          <w:tcPr>
            <w:tcW w:w="1276" w:type="dxa"/>
            <w:tcBorders>
              <w:top w:val="single" w:sz="4" w:space="0" w:color="auto"/>
              <w:left w:val="nil"/>
              <w:bottom w:val="nil"/>
              <w:right w:val="nil"/>
            </w:tcBorders>
            <w:shd w:val="clear" w:color="auto" w:fill="auto"/>
            <w:noWrap/>
            <w:vAlign w:val="bottom"/>
            <w:hideMark/>
          </w:tcPr>
          <w:p w14:paraId="1849A4F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(0.33)</w:t>
            </w:r>
          </w:p>
        </w:tc>
        <w:tc>
          <w:tcPr>
            <w:tcW w:w="1134" w:type="dxa"/>
            <w:tcBorders>
              <w:top w:val="single" w:sz="4" w:space="0" w:color="auto"/>
              <w:left w:val="nil"/>
              <w:bottom w:val="nil"/>
              <w:right w:val="nil"/>
            </w:tcBorders>
            <w:shd w:val="clear" w:color="auto" w:fill="auto"/>
            <w:noWrap/>
            <w:vAlign w:val="bottom"/>
            <w:hideMark/>
          </w:tcPr>
          <w:p w14:paraId="5C49C648"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6.93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(0.18)</w:t>
            </w:r>
          </w:p>
        </w:tc>
        <w:tc>
          <w:tcPr>
            <w:tcW w:w="1342" w:type="dxa"/>
            <w:tcBorders>
              <w:top w:val="single" w:sz="4" w:space="0" w:color="auto"/>
              <w:left w:val="nil"/>
              <w:bottom w:val="nil"/>
              <w:right w:val="nil"/>
            </w:tcBorders>
            <w:shd w:val="clear" w:color="auto" w:fill="auto"/>
            <w:noWrap/>
            <w:vAlign w:val="bottom"/>
            <w:hideMark/>
          </w:tcPr>
          <w:p w14:paraId="1548A75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(0.23)</w:t>
            </w:r>
          </w:p>
        </w:tc>
        <w:tc>
          <w:tcPr>
            <w:tcW w:w="1209" w:type="dxa"/>
            <w:tcBorders>
              <w:top w:val="single" w:sz="4" w:space="0" w:color="auto"/>
              <w:left w:val="nil"/>
              <w:bottom w:val="nil"/>
              <w:right w:val="nil"/>
            </w:tcBorders>
            <w:shd w:val="clear" w:color="auto" w:fill="auto"/>
            <w:noWrap/>
            <w:vAlign w:val="bottom"/>
            <w:hideMark/>
          </w:tcPr>
          <w:p w14:paraId="1F48F07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color w:val="000000"/>
                <w:sz w:val="18"/>
                <w:szCs w:val="22"/>
              </w:rPr>
              <w:t xml:space="preserve">8.04a </w:t>
            </w:r>
            <w:r w:rsidRPr="00C95A3E">
              <w:rPr>
                <w:rFonts w:ascii="Calibri" w:eastAsia="Times New Roman" w:hAnsi="Calibri" w:cs="Calibri"/>
                <w:color w:val="000000"/>
                <w:sz w:val="18"/>
                <w:szCs w:val="22"/>
              </w:rPr>
              <w:t>(0.27)</w:t>
            </w:r>
          </w:p>
        </w:tc>
        <w:tc>
          <w:tcPr>
            <w:tcW w:w="1276" w:type="dxa"/>
            <w:tcBorders>
              <w:top w:val="single" w:sz="4" w:space="0" w:color="auto"/>
              <w:left w:val="nil"/>
              <w:bottom w:val="nil"/>
              <w:right w:val="nil"/>
            </w:tcBorders>
            <w:shd w:val="clear" w:color="auto" w:fill="auto"/>
            <w:noWrap/>
            <w:vAlign w:val="bottom"/>
            <w:hideMark/>
          </w:tcPr>
          <w:p w14:paraId="4C3D53E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(0.21)</w:t>
            </w:r>
          </w:p>
        </w:tc>
        <w:tc>
          <w:tcPr>
            <w:tcW w:w="1193" w:type="dxa"/>
            <w:tcBorders>
              <w:top w:val="single" w:sz="4" w:space="0" w:color="auto"/>
              <w:left w:val="nil"/>
              <w:bottom w:val="nil"/>
              <w:right w:val="nil"/>
            </w:tcBorders>
            <w:shd w:val="clear" w:color="auto" w:fill="auto"/>
            <w:noWrap/>
            <w:vAlign w:val="bottom"/>
            <w:hideMark/>
          </w:tcPr>
          <w:p w14:paraId="67C9975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(0.13)</w:t>
            </w:r>
          </w:p>
        </w:tc>
        <w:tc>
          <w:tcPr>
            <w:tcW w:w="1263" w:type="dxa"/>
            <w:tcBorders>
              <w:top w:val="single" w:sz="4" w:space="0" w:color="auto"/>
              <w:left w:val="nil"/>
              <w:bottom w:val="nil"/>
              <w:right w:val="nil"/>
            </w:tcBorders>
            <w:shd w:val="clear" w:color="auto" w:fill="auto"/>
            <w:noWrap/>
            <w:vAlign w:val="bottom"/>
            <w:hideMark/>
          </w:tcPr>
          <w:p w14:paraId="3BC0DD0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7.65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(0.09)</w:t>
            </w:r>
          </w:p>
        </w:tc>
        <w:tc>
          <w:tcPr>
            <w:tcW w:w="1124" w:type="dxa"/>
            <w:tcBorders>
              <w:top w:val="single" w:sz="4" w:space="0" w:color="auto"/>
              <w:left w:val="nil"/>
              <w:bottom w:val="nil"/>
              <w:right w:val="nil"/>
            </w:tcBorders>
            <w:shd w:val="clear" w:color="auto" w:fill="auto"/>
            <w:noWrap/>
            <w:vAlign w:val="bottom"/>
            <w:hideMark/>
          </w:tcPr>
          <w:p w14:paraId="70ECDE6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7.89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(0.17)</w:t>
            </w:r>
          </w:p>
        </w:tc>
        <w:tc>
          <w:tcPr>
            <w:tcW w:w="1098" w:type="dxa"/>
            <w:tcBorders>
              <w:top w:val="single" w:sz="4" w:space="0" w:color="auto"/>
              <w:left w:val="nil"/>
              <w:bottom w:val="nil"/>
              <w:right w:val="nil"/>
            </w:tcBorders>
            <w:shd w:val="clear" w:color="auto" w:fill="auto"/>
            <w:noWrap/>
            <w:vAlign w:val="bottom"/>
            <w:hideMark/>
          </w:tcPr>
          <w:p w14:paraId="4A1D662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(0.26)</w:t>
            </w:r>
          </w:p>
        </w:tc>
        <w:tc>
          <w:tcPr>
            <w:tcW w:w="1134" w:type="dxa"/>
            <w:tcBorders>
              <w:top w:val="single" w:sz="4" w:space="0" w:color="auto"/>
              <w:left w:val="nil"/>
              <w:bottom w:val="nil"/>
              <w:right w:val="nil"/>
            </w:tcBorders>
            <w:shd w:val="clear" w:color="auto" w:fill="auto"/>
            <w:noWrap/>
            <w:vAlign w:val="bottom"/>
            <w:hideMark/>
          </w:tcPr>
          <w:p w14:paraId="64E55B8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Pr>
                <w:rFonts w:ascii="Calibri" w:eastAsia="Times New Roman" w:hAnsi="Calibri" w:cs="Calibri"/>
                <w:color w:val="000000"/>
                <w:sz w:val="18"/>
                <w:szCs w:val="22"/>
              </w:rPr>
              <w:t xml:space="preserve">6.99a </w:t>
            </w:r>
            <w:r w:rsidRPr="00C95A3E">
              <w:rPr>
                <w:rFonts w:ascii="Calibri" w:eastAsia="Times New Roman" w:hAnsi="Calibri" w:cs="Calibri"/>
                <w:color w:val="000000"/>
                <w:sz w:val="18"/>
                <w:szCs w:val="22"/>
              </w:rPr>
              <w:t>(0.18)</w:t>
            </w:r>
          </w:p>
        </w:tc>
        <w:tc>
          <w:tcPr>
            <w:tcW w:w="1275" w:type="dxa"/>
            <w:tcBorders>
              <w:top w:val="single" w:sz="4" w:space="0" w:color="auto"/>
              <w:left w:val="nil"/>
              <w:bottom w:val="nil"/>
              <w:right w:val="nil"/>
            </w:tcBorders>
            <w:shd w:val="clear" w:color="auto" w:fill="auto"/>
            <w:noWrap/>
            <w:vAlign w:val="bottom"/>
            <w:hideMark/>
          </w:tcPr>
          <w:p w14:paraId="4DF651E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8.59</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(0.22)</w:t>
            </w:r>
          </w:p>
        </w:tc>
      </w:tr>
      <w:tr w:rsidR="003658EA" w:rsidRPr="00C44CFC" w14:paraId="74680DC2" w14:textId="77777777" w:rsidTr="00A53996">
        <w:trPr>
          <w:trHeight w:val="300"/>
        </w:trPr>
        <w:tc>
          <w:tcPr>
            <w:tcW w:w="993" w:type="dxa"/>
            <w:vMerge/>
            <w:tcBorders>
              <w:top w:val="single" w:sz="4" w:space="0" w:color="auto"/>
              <w:left w:val="nil"/>
              <w:bottom w:val="nil"/>
              <w:right w:val="nil"/>
            </w:tcBorders>
            <w:vAlign w:val="center"/>
            <w:hideMark/>
          </w:tcPr>
          <w:p w14:paraId="1D26F096"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79E8605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4</w:t>
            </w:r>
          </w:p>
        </w:tc>
        <w:tc>
          <w:tcPr>
            <w:tcW w:w="1276" w:type="dxa"/>
            <w:tcBorders>
              <w:top w:val="nil"/>
              <w:left w:val="nil"/>
              <w:bottom w:val="nil"/>
              <w:right w:val="nil"/>
            </w:tcBorders>
            <w:shd w:val="clear" w:color="auto" w:fill="auto"/>
            <w:noWrap/>
            <w:vAlign w:val="bottom"/>
            <w:hideMark/>
          </w:tcPr>
          <w:p w14:paraId="62C5C0A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(0.36)</w:t>
            </w:r>
          </w:p>
        </w:tc>
        <w:tc>
          <w:tcPr>
            <w:tcW w:w="1134" w:type="dxa"/>
            <w:tcBorders>
              <w:top w:val="nil"/>
              <w:left w:val="nil"/>
              <w:bottom w:val="nil"/>
              <w:right w:val="nil"/>
            </w:tcBorders>
            <w:shd w:val="clear" w:color="auto" w:fill="auto"/>
            <w:noWrap/>
            <w:vAlign w:val="bottom"/>
            <w:hideMark/>
          </w:tcPr>
          <w:p w14:paraId="577BA93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6.65</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(0.22)</w:t>
            </w:r>
          </w:p>
        </w:tc>
        <w:tc>
          <w:tcPr>
            <w:tcW w:w="1342" w:type="dxa"/>
            <w:tcBorders>
              <w:top w:val="nil"/>
              <w:left w:val="nil"/>
              <w:bottom w:val="nil"/>
              <w:right w:val="nil"/>
            </w:tcBorders>
            <w:shd w:val="clear" w:color="auto" w:fill="auto"/>
            <w:noWrap/>
            <w:vAlign w:val="bottom"/>
            <w:hideMark/>
          </w:tcPr>
          <w:p w14:paraId="3E1897A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(0.54)</w:t>
            </w:r>
          </w:p>
        </w:tc>
        <w:tc>
          <w:tcPr>
            <w:tcW w:w="1209" w:type="dxa"/>
            <w:tcBorders>
              <w:top w:val="nil"/>
              <w:left w:val="nil"/>
              <w:bottom w:val="nil"/>
              <w:right w:val="nil"/>
            </w:tcBorders>
            <w:shd w:val="clear" w:color="auto" w:fill="auto"/>
            <w:noWrap/>
            <w:vAlign w:val="bottom"/>
            <w:hideMark/>
          </w:tcPr>
          <w:p w14:paraId="507F8DC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(0.35)</w:t>
            </w:r>
          </w:p>
        </w:tc>
        <w:tc>
          <w:tcPr>
            <w:tcW w:w="1276" w:type="dxa"/>
            <w:tcBorders>
              <w:top w:val="nil"/>
              <w:left w:val="nil"/>
              <w:bottom w:val="nil"/>
              <w:right w:val="nil"/>
            </w:tcBorders>
            <w:shd w:val="clear" w:color="auto" w:fill="auto"/>
            <w:noWrap/>
            <w:vAlign w:val="bottom"/>
            <w:hideMark/>
          </w:tcPr>
          <w:p w14:paraId="486E110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6.98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(0.40)</w:t>
            </w:r>
          </w:p>
        </w:tc>
        <w:tc>
          <w:tcPr>
            <w:tcW w:w="1193" w:type="dxa"/>
            <w:tcBorders>
              <w:top w:val="nil"/>
              <w:left w:val="nil"/>
              <w:bottom w:val="nil"/>
              <w:right w:val="nil"/>
            </w:tcBorders>
            <w:shd w:val="clear" w:color="auto" w:fill="auto"/>
            <w:noWrap/>
            <w:vAlign w:val="bottom"/>
            <w:hideMark/>
          </w:tcPr>
          <w:p w14:paraId="418F692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7.11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(0.41)</w:t>
            </w:r>
          </w:p>
        </w:tc>
        <w:tc>
          <w:tcPr>
            <w:tcW w:w="1263" w:type="dxa"/>
            <w:tcBorders>
              <w:top w:val="nil"/>
              <w:left w:val="nil"/>
              <w:bottom w:val="nil"/>
              <w:right w:val="nil"/>
            </w:tcBorders>
            <w:shd w:val="clear" w:color="auto" w:fill="auto"/>
            <w:noWrap/>
            <w:vAlign w:val="bottom"/>
            <w:hideMark/>
          </w:tcPr>
          <w:p w14:paraId="35C18E1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(0.39)</w:t>
            </w:r>
          </w:p>
        </w:tc>
        <w:tc>
          <w:tcPr>
            <w:tcW w:w="1124" w:type="dxa"/>
            <w:tcBorders>
              <w:top w:val="nil"/>
              <w:left w:val="nil"/>
              <w:bottom w:val="nil"/>
              <w:right w:val="nil"/>
            </w:tcBorders>
            <w:shd w:val="clear" w:color="auto" w:fill="auto"/>
            <w:noWrap/>
            <w:vAlign w:val="bottom"/>
            <w:hideMark/>
          </w:tcPr>
          <w:p w14:paraId="5D75573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(0.37)</w:t>
            </w:r>
          </w:p>
        </w:tc>
        <w:tc>
          <w:tcPr>
            <w:tcW w:w="1098" w:type="dxa"/>
            <w:tcBorders>
              <w:top w:val="nil"/>
              <w:left w:val="nil"/>
              <w:bottom w:val="nil"/>
              <w:right w:val="nil"/>
            </w:tcBorders>
            <w:shd w:val="clear" w:color="auto" w:fill="auto"/>
            <w:noWrap/>
            <w:vAlign w:val="bottom"/>
            <w:hideMark/>
          </w:tcPr>
          <w:p w14:paraId="79A05FD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(0.26)</w:t>
            </w:r>
          </w:p>
        </w:tc>
        <w:tc>
          <w:tcPr>
            <w:tcW w:w="1134" w:type="dxa"/>
            <w:tcBorders>
              <w:top w:val="nil"/>
              <w:left w:val="nil"/>
              <w:bottom w:val="nil"/>
              <w:right w:val="nil"/>
            </w:tcBorders>
            <w:shd w:val="clear" w:color="auto" w:fill="auto"/>
            <w:noWrap/>
            <w:vAlign w:val="bottom"/>
            <w:hideMark/>
          </w:tcPr>
          <w:p w14:paraId="1889295A"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6.97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(0.29)</w:t>
            </w:r>
          </w:p>
        </w:tc>
        <w:tc>
          <w:tcPr>
            <w:tcW w:w="1275" w:type="dxa"/>
            <w:tcBorders>
              <w:top w:val="nil"/>
              <w:left w:val="nil"/>
              <w:bottom w:val="nil"/>
              <w:right w:val="nil"/>
            </w:tcBorders>
            <w:shd w:val="clear" w:color="auto" w:fill="auto"/>
            <w:noWrap/>
            <w:vAlign w:val="bottom"/>
            <w:hideMark/>
          </w:tcPr>
          <w:p w14:paraId="6104135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8.47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(0.35)</w:t>
            </w:r>
          </w:p>
        </w:tc>
      </w:tr>
      <w:tr w:rsidR="003658EA" w:rsidRPr="00C44CFC" w14:paraId="75FE9EAE" w14:textId="77777777" w:rsidTr="00A53996">
        <w:trPr>
          <w:trHeight w:val="300"/>
        </w:trPr>
        <w:tc>
          <w:tcPr>
            <w:tcW w:w="993" w:type="dxa"/>
            <w:vMerge/>
            <w:tcBorders>
              <w:top w:val="single" w:sz="4" w:space="0" w:color="auto"/>
              <w:left w:val="nil"/>
              <w:bottom w:val="nil"/>
              <w:right w:val="nil"/>
            </w:tcBorders>
            <w:vAlign w:val="center"/>
            <w:hideMark/>
          </w:tcPr>
          <w:p w14:paraId="56E4BB0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1FE880A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8</w:t>
            </w:r>
          </w:p>
        </w:tc>
        <w:tc>
          <w:tcPr>
            <w:tcW w:w="1276" w:type="dxa"/>
            <w:tcBorders>
              <w:top w:val="nil"/>
              <w:left w:val="nil"/>
              <w:bottom w:val="nil"/>
              <w:right w:val="nil"/>
            </w:tcBorders>
            <w:shd w:val="clear" w:color="auto" w:fill="auto"/>
            <w:noWrap/>
            <w:vAlign w:val="bottom"/>
            <w:hideMark/>
          </w:tcPr>
          <w:p w14:paraId="359CFAA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7.54</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(0.46)</w:t>
            </w:r>
          </w:p>
        </w:tc>
        <w:tc>
          <w:tcPr>
            <w:tcW w:w="1134" w:type="dxa"/>
            <w:tcBorders>
              <w:top w:val="nil"/>
              <w:left w:val="nil"/>
              <w:bottom w:val="nil"/>
              <w:right w:val="nil"/>
            </w:tcBorders>
            <w:shd w:val="clear" w:color="auto" w:fill="auto"/>
            <w:noWrap/>
            <w:vAlign w:val="bottom"/>
            <w:hideMark/>
          </w:tcPr>
          <w:p w14:paraId="624802E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7.07</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(0.34)</w:t>
            </w:r>
          </w:p>
        </w:tc>
        <w:tc>
          <w:tcPr>
            <w:tcW w:w="1342" w:type="dxa"/>
            <w:tcBorders>
              <w:top w:val="nil"/>
              <w:left w:val="nil"/>
              <w:bottom w:val="nil"/>
              <w:right w:val="nil"/>
            </w:tcBorders>
            <w:shd w:val="clear" w:color="auto" w:fill="auto"/>
            <w:noWrap/>
            <w:vAlign w:val="bottom"/>
            <w:hideMark/>
          </w:tcPr>
          <w:p w14:paraId="7FA3260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(0.69)</w:t>
            </w:r>
          </w:p>
        </w:tc>
        <w:tc>
          <w:tcPr>
            <w:tcW w:w="1209" w:type="dxa"/>
            <w:tcBorders>
              <w:top w:val="nil"/>
              <w:left w:val="nil"/>
              <w:bottom w:val="nil"/>
              <w:right w:val="nil"/>
            </w:tcBorders>
            <w:shd w:val="clear" w:color="auto" w:fill="auto"/>
            <w:noWrap/>
            <w:vAlign w:val="bottom"/>
            <w:hideMark/>
          </w:tcPr>
          <w:p w14:paraId="30F71F3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8.01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(0.56)</w:t>
            </w:r>
          </w:p>
        </w:tc>
        <w:tc>
          <w:tcPr>
            <w:tcW w:w="1276" w:type="dxa"/>
            <w:tcBorders>
              <w:top w:val="nil"/>
              <w:left w:val="nil"/>
              <w:bottom w:val="nil"/>
              <w:right w:val="nil"/>
            </w:tcBorders>
            <w:shd w:val="clear" w:color="auto" w:fill="auto"/>
            <w:noWrap/>
            <w:vAlign w:val="bottom"/>
            <w:hideMark/>
          </w:tcPr>
          <w:p w14:paraId="1375ECE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(0.58)</w:t>
            </w:r>
          </w:p>
        </w:tc>
        <w:tc>
          <w:tcPr>
            <w:tcW w:w="1193" w:type="dxa"/>
            <w:tcBorders>
              <w:top w:val="nil"/>
              <w:left w:val="nil"/>
              <w:bottom w:val="nil"/>
              <w:right w:val="nil"/>
            </w:tcBorders>
            <w:shd w:val="clear" w:color="auto" w:fill="auto"/>
            <w:noWrap/>
            <w:vAlign w:val="bottom"/>
            <w:hideMark/>
          </w:tcPr>
          <w:p w14:paraId="2E0F3FC7"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7.36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(0.53)</w:t>
            </w:r>
          </w:p>
        </w:tc>
        <w:tc>
          <w:tcPr>
            <w:tcW w:w="1263" w:type="dxa"/>
            <w:tcBorders>
              <w:top w:val="nil"/>
              <w:left w:val="nil"/>
              <w:bottom w:val="nil"/>
              <w:right w:val="nil"/>
            </w:tcBorders>
            <w:shd w:val="clear" w:color="auto" w:fill="auto"/>
            <w:noWrap/>
            <w:vAlign w:val="bottom"/>
            <w:hideMark/>
          </w:tcPr>
          <w:p w14:paraId="1A0E7C8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7.72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(0.62)</w:t>
            </w:r>
          </w:p>
        </w:tc>
        <w:tc>
          <w:tcPr>
            <w:tcW w:w="1124" w:type="dxa"/>
            <w:tcBorders>
              <w:top w:val="nil"/>
              <w:left w:val="nil"/>
              <w:bottom w:val="nil"/>
              <w:right w:val="nil"/>
            </w:tcBorders>
            <w:shd w:val="clear" w:color="auto" w:fill="auto"/>
            <w:noWrap/>
            <w:vAlign w:val="bottom"/>
            <w:hideMark/>
          </w:tcPr>
          <w:p w14:paraId="38CCFD1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7.42</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(0.60)</w:t>
            </w:r>
          </w:p>
        </w:tc>
        <w:tc>
          <w:tcPr>
            <w:tcW w:w="1098" w:type="dxa"/>
            <w:tcBorders>
              <w:top w:val="nil"/>
              <w:left w:val="nil"/>
              <w:bottom w:val="nil"/>
              <w:right w:val="nil"/>
            </w:tcBorders>
            <w:shd w:val="clear" w:color="auto" w:fill="auto"/>
            <w:noWrap/>
            <w:vAlign w:val="bottom"/>
            <w:hideMark/>
          </w:tcPr>
          <w:p w14:paraId="2B1673B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(0.53)</w:t>
            </w:r>
          </w:p>
        </w:tc>
        <w:tc>
          <w:tcPr>
            <w:tcW w:w="1134" w:type="dxa"/>
            <w:tcBorders>
              <w:top w:val="nil"/>
              <w:left w:val="nil"/>
              <w:bottom w:val="nil"/>
              <w:right w:val="nil"/>
            </w:tcBorders>
            <w:shd w:val="clear" w:color="auto" w:fill="auto"/>
            <w:noWrap/>
            <w:vAlign w:val="bottom"/>
            <w:hideMark/>
          </w:tcPr>
          <w:p w14:paraId="1760E4F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7.41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(0.44)</w:t>
            </w:r>
          </w:p>
        </w:tc>
        <w:tc>
          <w:tcPr>
            <w:tcW w:w="1275" w:type="dxa"/>
            <w:tcBorders>
              <w:top w:val="nil"/>
              <w:left w:val="nil"/>
              <w:bottom w:val="nil"/>
              <w:right w:val="nil"/>
            </w:tcBorders>
            <w:shd w:val="clear" w:color="auto" w:fill="auto"/>
            <w:noWrap/>
            <w:vAlign w:val="bottom"/>
            <w:hideMark/>
          </w:tcPr>
          <w:p w14:paraId="7B3D33F1"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8.73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(0.55)</w:t>
            </w:r>
          </w:p>
        </w:tc>
      </w:tr>
      <w:tr w:rsidR="003658EA" w:rsidRPr="00C44CFC" w14:paraId="2BB6CD01" w14:textId="77777777" w:rsidTr="00A53996">
        <w:trPr>
          <w:trHeight w:val="300"/>
        </w:trPr>
        <w:tc>
          <w:tcPr>
            <w:tcW w:w="993" w:type="dxa"/>
            <w:vMerge/>
            <w:tcBorders>
              <w:top w:val="single" w:sz="4" w:space="0" w:color="auto"/>
              <w:left w:val="nil"/>
              <w:bottom w:val="nil"/>
              <w:right w:val="nil"/>
            </w:tcBorders>
            <w:vAlign w:val="center"/>
            <w:hideMark/>
          </w:tcPr>
          <w:p w14:paraId="441A7C6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p>
        </w:tc>
        <w:tc>
          <w:tcPr>
            <w:tcW w:w="425" w:type="dxa"/>
            <w:tcBorders>
              <w:top w:val="nil"/>
              <w:left w:val="nil"/>
              <w:bottom w:val="nil"/>
              <w:right w:val="nil"/>
            </w:tcBorders>
            <w:shd w:val="clear" w:color="auto" w:fill="auto"/>
            <w:noWrap/>
            <w:vAlign w:val="bottom"/>
            <w:hideMark/>
          </w:tcPr>
          <w:p w14:paraId="4723A415"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44CFC">
              <w:rPr>
                <w:rFonts w:ascii="Calibri" w:eastAsia="Times New Roman" w:hAnsi="Calibri" w:cs="Calibri"/>
                <w:color w:val="000000"/>
                <w:sz w:val="18"/>
                <w:szCs w:val="22"/>
              </w:rPr>
              <w:t>24</w:t>
            </w:r>
          </w:p>
        </w:tc>
        <w:tc>
          <w:tcPr>
            <w:tcW w:w="1276" w:type="dxa"/>
            <w:tcBorders>
              <w:top w:val="nil"/>
              <w:left w:val="nil"/>
              <w:bottom w:val="nil"/>
              <w:right w:val="nil"/>
            </w:tcBorders>
            <w:shd w:val="clear" w:color="auto" w:fill="auto"/>
            <w:noWrap/>
            <w:vAlign w:val="bottom"/>
            <w:hideMark/>
          </w:tcPr>
          <w:p w14:paraId="3D5A8E9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7.90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(0.24)</w:t>
            </w:r>
          </w:p>
        </w:tc>
        <w:tc>
          <w:tcPr>
            <w:tcW w:w="1134" w:type="dxa"/>
            <w:tcBorders>
              <w:top w:val="nil"/>
              <w:left w:val="nil"/>
              <w:bottom w:val="nil"/>
              <w:right w:val="nil"/>
            </w:tcBorders>
            <w:shd w:val="clear" w:color="auto" w:fill="auto"/>
            <w:noWrap/>
            <w:vAlign w:val="bottom"/>
            <w:hideMark/>
          </w:tcPr>
          <w:p w14:paraId="561D5CA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bCs/>
                <w:color w:val="000000"/>
                <w:sz w:val="18"/>
                <w:szCs w:val="22"/>
              </w:rPr>
              <w:t>8.32</w:t>
            </w:r>
            <w:r>
              <w:rPr>
                <w:rFonts w:ascii="Calibri" w:eastAsia="Times New Roman" w:hAnsi="Calibri" w:cs="Calibri"/>
                <w:bCs/>
                <w:color w:val="000000"/>
                <w:sz w:val="18"/>
                <w:szCs w:val="22"/>
              </w:rPr>
              <w:t>a</w:t>
            </w:r>
            <w:r w:rsidRPr="00C95A3E">
              <w:rPr>
                <w:rFonts w:ascii="Calibri" w:eastAsia="Times New Roman" w:hAnsi="Calibri" w:cs="Calibri"/>
                <w:color w:val="000000"/>
                <w:sz w:val="18"/>
                <w:szCs w:val="22"/>
              </w:rPr>
              <w:t xml:space="preserve"> (0.30)</w:t>
            </w:r>
          </w:p>
        </w:tc>
        <w:tc>
          <w:tcPr>
            <w:tcW w:w="1342" w:type="dxa"/>
            <w:tcBorders>
              <w:top w:val="nil"/>
              <w:left w:val="nil"/>
              <w:bottom w:val="nil"/>
              <w:right w:val="nil"/>
            </w:tcBorders>
            <w:shd w:val="clear" w:color="auto" w:fill="auto"/>
            <w:noWrap/>
            <w:vAlign w:val="bottom"/>
            <w:hideMark/>
          </w:tcPr>
          <w:p w14:paraId="3F790B33"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7.53</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(0.41)</w:t>
            </w:r>
          </w:p>
        </w:tc>
        <w:tc>
          <w:tcPr>
            <w:tcW w:w="1209" w:type="dxa"/>
            <w:tcBorders>
              <w:top w:val="nil"/>
              <w:left w:val="nil"/>
              <w:bottom w:val="nil"/>
              <w:right w:val="nil"/>
            </w:tcBorders>
            <w:shd w:val="clear" w:color="auto" w:fill="auto"/>
            <w:noWrap/>
            <w:vAlign w:val="bottom"/>
            <w:hideMark/>
          </w:tcPr>
          <w:p w14:paraId="21AF7FC4"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 xml:space="preserve">8.09 </w:t>
            </w:r>
            <w:r>
              <w:rPr>
                <w:rFonts w:ascii="Calibri" w:eastAsia="Times New Roman" w:hAnsi="Calibri" w:cs="Calibri"/>
                <w:color w:val="000000"/>
                <w:sz w:val="18"/>
                <w:szCs w:val="22"/>
              </w:rPr>
              <w:t xml:space="preserve">a </w:t>
            </w:r>
            <w:r w:rsidRPr="00C95A3E">
              <w:rPr>
                <w:rFonts w:ascii="Calibri" w:eastAsia="Times New Roman" w:hAnsi="Calibri" w:cs="Calibri"/>
                <w:color w:val="000000"/>
                <w:sz w:val="18"/>
                <w:szCs w:val="22"/>
              </w:rPr>
              <w:t>(0.36)</w:t>
            </w:r>
          </w:p>
        </w:tc>
        <w:tc>
          <w:tcPr>
            <w:tcW w:w="1276" w:type="dxa"/>
            <w:tcBorders>
              <w:top w:val="nil"/>
              <w:left w:val="nil"/>
              <w:bottom w:val="nil"/>
              <w:right w:val="nil"/>
            </w:tcBorders>
            <w:shd w:val="clear" w:color="auto" w:fill="auto"/>
            <w:noWrap/>
            <w:vAlign w:val="bottom"/>
            <w:hideMark/>
          </w:tcPr>
          <w:p w14:paraId="64C54CAE"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(0.39)</w:t>
            </w:r>
          </w:p>
        </w:tc>
        <w:tc>
          <w:tcPr>
            <w:tcW w:w="1193" w:type="dxa"/>
            <w:tcBorders>
              <w:top w:val="nil"/>
              <w:left w:val="nil"/>
              <w:bottom w:val="nil"/>
              <w:right w:val="nil"/>
            </w:tcBorders>
            <w:shd w:val="clear" w:color="auto" w:fill="auto"/>
            <w:noWrap/>
            <w:vAlign w:val="bottom"/>
            <w:hideMark/>
          </w:tcPr>
          <w:p w14:paraId="001B9E2F"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7.20</w:t>
            </w:r>
            <w:r>
              <w:rPr>
                <w:rFonts w:ascii="Calibri" w:eastAsia="Times New Roman" w:hAnsi="Calibri" w:cs="Calibri"/>
                <w:color w:val="000000"/>
                <w:sz w:val="18"/>
                <w:szCs w:val="22"/>
              </w:rPr>
              <w:t xml:space="preserve">a </w:t>
            </w:r>
            <w:r w:rsidRPr="00C95A3E">
              <w:rPr>
                <w:rFonts w:ascii="Calibri" w:eastAsia="Times New Roman" w:hAnsi="Calibri" w:cs="Calibri"/>
                <w:color w:val="000000"/>
                <w:sz w:val="18"/>
                <w:szCs w:val="22"/>
              </w:rPr>
              <w:t>(0.52)</w:t>
            </w:r>
          </w:p>
        </w:tc>
        <w:tc>
          <w:tcPr>
            <w:tcW w:w="1263" w:type="dxa"/>
            <w:tcBorders>
              <w:top w:val="nil"/>
              <w:left w:val="nil"/>
              <w:bottom w:val="nil"/>
              <w:right w:val="nil"/>
            </w:tcBorders>
            <w:shd w:val="clear" w:color="auto" w:fill="auto"/>
            <w:noWrap/>
            <w:vAlign w:val="bottom"/>
            <w:hideMark/>
          </w:tcPr>
          <w:p w14:paraId="3E9024ED"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7.58</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(0.35)</w:t>
            </w:r>
          </w:p>
        </w:tc>
        <w:tc>
          <w:tcPr>
            <w:tcW w:w="1124" w:type="dxa"/>
            <w:tcBorders>
              <w:top w:val="nil"/>
              <w:left w:val="nil"/>
              <w:bottom w:val="nil"/>
              <w:right w:val="nil"/>
            </w:tcBorders>
            <w:shd w:val="clear" w:color="auto" w:fill="auto"/>
            <w:noWrap/>
            <w:vAlign w:val="bottom"/>
            <w:hideMark/>
          </w:tcPr>
          <w:p w14:paraId="3AE56640"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6.86</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(0.74)</w:t>
            </w:r>
          </w:p>
        </w:tc>
        <w:tc>
          <w:tcPr>
            <w:tcW w:w="1098" w:type="dxa"/>
            <w:tcBorders>
              <w:top w:val="nil"/>
              <w:left w:val="nil"/>
              <w:bottom w:val="nil"/>
              <w:right w:val="nil"/>
            </w:tcBorders>
            <w:shd w:val="clear" w:color="auto" w:fill="auto"/>
            <w:noWrap/>
            <w:vAlign w:val="bottom"/>
            <w:hideMark/>
          </w:tcPr>
          <w:p w14:paraId="0D90786C"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7.20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(0.54)</w:t>
            </w:r>
          </w:p>
        </w:tc>
        <w:tc>
          <w:tcPr>
            <w:tcW w:w="1134" w:type="dxa"/>
            <w:tcBorders>
              <w:top w:val="nil"/>
              <w:left w:val="nil"/>
              <w:bottom w:val="nil"/>
              <w:right w:val="nil"/>
            </w:tcBorders>
            <w:shd w:val="clear" w:color="auto" w:fill="auto"/>
            <w:noWrap/>
            <w:vAlign w:val="bottom"/>
            <w:hideMark/>
          </w:tcPr>
          <w:p w14:paraId="7A689289"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8.11</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(0.04)</w:t>
            </w:r>
          </w:p>
        </w:tc>
        <w:tc>
          <w:tcPr>
            <w:tcW w:w="1275" w:type="dxa"/>
            <w:tcBorders>
              <w:top w:val="nil"/>
              <w:left w:val="nil"/>
              <w:bottom w:val="nil"/>
              <w:right w:val="nil"/>
            </w:tcBorders>
            <w:shd w:val="clear" w:color="auto" w:fill="auto"/>
            <w:noWrap/>
            <w:vAlign w:val="bottom"/>
            <w:hideMark/>
          </w:tcPr>
          <w:p w14:paraId="18CA80AB" w14:textId="77777777" w:rsidR="003658EA" w:rsidRPr="00C44CFC" w:rsidRDefault="003658EA" w:rsidP="00A53996">
            <w:pPr>
              <w:spacing w:after="0" w:line="240" w:lineRule="auto"/>
              <w:contextualSpacing/>
              <w:jc w:val="both"/>
              <w:rPr>
                <w:rFonts w:ascii="Calibri" w:eastAsia="Times New Roman" w:hAnsi="Calibri" w:cs="Calibri"/>
                <w:color w:val="000000"/>
                <w:sz w:val="18"/>
              </w:rPr>
            </w:pPr>
            <w:r w:rsidRPr="00C95A3E">
              <w:rPr>
                <w:rFonts w:ascii="Calibri" w:eastAsia="Times New Roman" w:hAnsi="Calibri" w:cs="Calibri"/>
                <w:color w:val="000000"/>
                <w:sz w:val="18"/>
                <w:szCs w:val="22"/>
              </w:rPr>
              <w:t>9.10</w:t>
            </w:r>
            <w:r>
              <w:rPr>
                <w:rFonts w:ascii="Calibri" w:eastAsia="Times New Roman" w:hAnsi="Calibri" w:cs="Calibri"/>
                <w:color w:val="000000"/>
                <w:sz w:val="18"/>
                <w:szCs w:val="22"/>
              </w:rPr>
              <w:t>a</w:t>
            </w:r>
            <w:r w:rsidRPr="00C95A3E">
              <w:rPr>
                <w:rFonts w:ascii="Calibri" w:eastAsia="Times New Roman" w:hAnsi="Calibri" w:cs="Calibri"/>
                <w:color w:val="000000"/>
                <w:sz w:val="18"/>
                <w:szCs w:val="22"/>
              </w:rPr>
              <w:t xml:space="preserve"> (0.25)</w:t>
            </w:r>
          </w:p>
        </w:tc>
      </w:tr>
      <w:bookmarkEnd w:id="4"/>
    </w:tbl>
    <w:p w14:paraId="1EE371A3" w14:textId="77777777" w:rsidR="003658EA" w:rsidRPr="00DF163F" w:rsidRDefault="003658EA" w:rsidP="003658EA">
      <w:pPr>
        <w:spacing w:line="360" w:lineRule="auto"/>
        <w:jc w:val="both"/>
        <w:rPr>
          <w:sz w:val="22"/>
        </w:rPr>
      </w:pPr>
    </w:p>
    <w:p w14:paraId="168B3EA1" w14:textId="77777777" w:rsidR="003658EA" w:rsidRPr="00DF163F" w:rsidRDefault="003658EA" w:rsidP="003658EA">
      <w:pPr>
        <w:spacing w:line="360" w:lineRule="auto"/>
        <w:jc w:val="both"/>
        <w:rPr>
          <w:b/>
        </w:rPr>
        <w:sectPr w:rsidR="003658EA" w:rsidRPr="00DF163F" w:rsidSect="002135C1">
          <w:pgSz w:w="16838" w:h="11906" w:orient="landscape"/>
          <w:pgMar w:top="1440" w:right="1440" w:bottom="1440" w:left="1440" w:header="709" w:footer="709" w:gutter="0"/>
          <w:cols w:space="708"/>
          <w:docGrid w:linePitch="360"/>
        </w:sectPr>
      </w:pPr>
    </w:p>
    <w:p w14:paraId="76EE53BE" w14:textId="77777777" w:rsidR="003658EA" w:rsidRPr="00DF163F" w:rsidRDefault="003658EA" w:rsidP="003658EA">
      <w:pPr>
        <w:spacing w:line="360" w:lineRule="auto"/>
        <w:jc w:val="both"/>
      </w:pPr>
    </w:p>
    <w:p w14:paraId="300F9523" w14:textId="77777777" w:rsidR="003658EA" w:rsidRPr="000C0633" w:rsidRDefault="003658EA" w:rsidP="003658EA">
      <w:pPr>
        <w:spacing w:line="360" w:lineRule="auto"/>
        <w:jc w:val="both"/>
      </w:pPr>
    </w:p>
    <w:p w14:paraId="60D935F5" w14:textId="77777777" w:rsidR="003658EA" w:rsidRDefault="003658EA" w:rsidP="003658EA"/>
    <w:p w14:paraId="58DF8EAD" w14:textId="77777777" w:rsidR="00884BB1" w:rsidRPr="00DF163F" w:rsidRDefault="00884BB1" w:rsidP="000F5E3C">
      <w:pPr>
        <w:jc w:val="both"/>
      </w:pPr>
    </w:p>
    <w:sectPr w:rsidR="00884BB1" w:rsidRPr="00DF163F" w:rsidSect="001D3322">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90578" w14:textId="77777777" w:rsidR="00471BC6" w:rsidRDefault="00471BC6">
      <w:pPr>
        <w:spacing w:after="0" w:line="240" w:lineRule="auto"/>
      </w:pPr>
      <w:r>
        <w:separator/>
      </w:r>
    </w:p>
  </w:endnote>
  <w:endnote w:type="continuationSeparator" w:id="0">
    <w:p w14:paraId="08B09CC1" w14:textId="77777777" w:rsidR="00471BC6" w:rsidRDefault="00471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dobe Song Std L">
    <w:panose1 w:val="00000000000000000000"/>
    <w:charset w:val="80"/>
    <w:family w:val="roman"/>
    <w:notTrueType/>
    <w:pitch w:val="variable"/>
    <w:sig w:usb0="00000207" w:usb1="0A0F1810" w:usb2="00000016" w:usb3="00000000" w:csb0="00060007" w:csb1="00000000"/>
  </w:font>
  <w:font w:name="Arial">
    <w:panose1 w:val="020B0604020202020204"/>
    <w:charset w:val="00"/>
    <w:family w:val="swiss"/>
    <w:pitch w:val="variable"/>
    <w:sig w:usb0="E0002EFF" w:usb1="C0007843" w:usb2="00000009" w:usb3="00000000" w:csb0="000001FF" w:csb1="00000000"/>
  </w:font>
  <w:font w:name="Helvetica">
    <w:altName w:val="Arial"/>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11389"/>
      <w:docPartObj>
        <w:docPartGallery w:val="Page Numbers (Bottom of Page)"/>
        <w:docPartUnique/>
      </w:docPartObj>
    </w:sdtPr>
    <w:sdtEndPr>
      <w:rPr>
        <w:noProof/>
      </w:rPr>
    </w:sdtEndPr>
    <w:sdtContent>
      <w:p w14:paraId="1F52FEB2" w14:textId="51614C0E" w:rsidR="0078233F" w:rsidRDefault="0078233F">
        <w:pPr>
          <w:pStyle w:val="Footer"/>
          <w:jc w:val="center"/>
        </w:pPr>
        <w:r>
          <w:fldChar w:fldCharType="begin"/>
        </w:r>
        <w:r>
          <w:instrText xml:space="preserve"> PAGE   \* MERGEFORMAT </w:instrText>
        </w:r>
        <w:r>
          <w:fldChar w:fldCharType="separate"/>
        </w:r>
        <w:r w:rsidR="003658EA">
          <w:rPr>
            <w:noProof/>
          </w:rPr>
          <w:t>20</w:t>
        </w:r>
        <w:r>
          <w:rPr>
            <w:noProof/>
          </w:rPr>
          <w:fldChar w:fldCharType="end"/>
        </w:r>
      </w:p>
    </w:sdtContent>
  </w:sdt>
  <w:p w14:paraId="4E01C4EF" w14:textId="77777777" w:rsidR="0078233F" w:rsidRDefault="007823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9E137" w14:textId="77777777" w:rsidR="00471BC6" w:rsidRDefault="00471BC6">
      <w:pPr>
        <w:spacing w:after="0" w:line="240" w:lineRule="auto"/>
      </w:pPr>
      <w:r>
        <w:separator/>
      </w:r>
    </w:p>
  </w:footnote>
  <w:footnote w:type="continuationSeparator" w:id="0">
    <w:p w14:paraId="136EEB73" w14:textId="77777777" w:rsidR="00471BC6" w:rsidRDefault="00471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8465B"/>
    <w:multiLevelType w:val="hybridMultilevel"/>
    <w:tmpl w:val="2E3C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C77A2"/>
    <w:multiLevelType w:val="multilevel"/>
    <w:tmpl w:val="302C4FFA"/>
    <w:lvl w:ilvl="0">
      <w:start w:val="4"/>
      <w:numFmt w:val="decimal"/>
      <w:lvlText w:val="%1."/>
      <w:lvlJc w:val="lef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D75C36"/>
    <w:multiLevelType w:val="multilevel"/>
    <w:tmpl w:val="B31CA866"/>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638"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D0767F"/>
    <w:multiLevelType w:val="multilevel"/>
    <w:tmpl w:val="DCECF5C0"/>
    <w:lvl w:ilvl="0">
      <w:start w:val="4"/>
      <w:numFmt w:val="decimal"/>
      <w:lvlText w:val="%1."/>
      <w:lvlJc w:val="left"/>
      <w:pPr>
        <w:ind w:left="360" w:hanging="360"/>
      </w:pPr>
      <w:rPr>
        <w:rFonts w:hint="default"/>
      </w:rPr>
    </w:lvl>
    <w:lvl w:ilvl="1">
      <w:start w:val="1"/>
      <w:numFmt w:val="decimal"/>
      <w:lvlText w:val="%1.%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FA3954"/>
    <w:multiLevelType w:val="hybridMultilevel"/>
    <w:tmpl w:val="9C4C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0F35BF"/>
    <w:multiLevelType w:val="hybridMultilevel"/>
    <w:tmpl w:val="7616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0A7E70"/>
    <w:multiLevelType w:val="multilevel"/>
    <w:tmpl w:val="302C4FFA"/>
    <w:lvl w:ilvl="0">
      <w:start w:val="4"/>
      <w:numFmt w:val="decimal"/>
      <w:lvlText w:val="%1."/>
      <w:lvlJc w:val="lef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12C3F46"/>
    <w:multiLevelType w:val="multilevel"/>
    <w:tmpl w:val="F418E8DE"/>
    <w:lvl w:ilvl="0">
      <w:start w:val="9"/>
      <w:numFmt w:val="decimal"/>
      <w:lvlText w:val="%1"/>
      <w:lvlJc w:val="left"/>
      <w:pPr>
        <w:ind w:left="360" w:hanging="360"/>
      </w:pPr>
      <w:rPr>
        <w:rFonts w:hint="default"/>
      </w:rPr>
    </w:lvl>
    <w:lvl w:ilvl="1">
      <w:start w:val="2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4C46A4"/>
    <w:multiLevelType w:val="multilevel"/>
    <w:tmpl w:val="55F4EE9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D6B2FB1"/>
    <w:multiLevelType w:val="multilevel"/>
    <w:tmpl w:val="A05EA3D4"/>
    <w:lvl w:ilvl="0">
      <w:start w:val="4"/>
      <w:numFmt w:val="decimal"/>
      <w:lvlText w:val="%1."/>
      <w:lvlJc w:val="left"/>
      <w:pPr>
        <w:ind w:left="720" w:hanging="720"/>
      </w:pPr>
      <w:rPr>
        <w:rFonts w:hint="default"/>
      </w:rPr>
    </w:lvl>
    <w:lvl w:ilvl="1">
      <w:start w:val="4"/>
      <w:numFmt w:val="decimal"/>
      <w:lvlText w:val="%1.%2."/>
      <w:lvlJc w:val="left"/>
      <w:pPr>
        <w:ind w:left="985" w:hanging="720"/>
      </w:pPr>
      <w:rPr>
        <w:rFonts w:hint="default"/>
      </w:rPr>
    </w:lvl>
    <w:lvl w:ilvl="2">
      <w:start w:val="1"/>
      <w:numFmt w:val="decimal"/>
      <w:lvlText w:val="%1.%2.%3."/>
      <w:lvlJc w:val="left"/>
      <w:pPr>
        <w:ind w:left="1250" w:hanging="720"/>
      </w:pPr>
      <w:rPr>
        <w:rFonts w:hint="default"/>
      </w:rPr>
    </w:lvl>
    <w:lvl w:ilvl="3">
      <w:start w:val="2"/>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10" w15:restartNumberingAfterBreak="0">
    <w:nsid w:val="2FAA5046"/>
    <w:multiLevelType w:val="hybridMultilevel"/>
    <w:tmpl w:val="9AB2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B536A0"/>
    <w:multiLevelType w:val="multilevel"/>
    <w:tmpl w:val="55F4EE9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297B3B"/>
    <w:multiLevelType w:val="multilevel"/>
    <w:tmpl w:val="817A959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9455DB6"/>
    <w:multiLevelType w:val="hybridMultilevel"/>
    <w:tmpl w:val="FCE481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601D85"/>
    <w:multiLevelType w:val="multilevel"/>
    <w:tmpl w:val="302C4FFA"/>
    <w:lvl w:ilvl="0">
      <w:start w:val="4"/>
      <w:numFmt w:val="decimal"/>
      <w:lvlText w:val="%1."/>
      <w:lvlJc w:val="lef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3F7F54"/>
    <w:multiLevelType w:val="multilevel"/>
    <w:tmpl w:val="1D0C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231681"/>
    <w:multiLevelType w:val="hybridMultilevel"/>
    <w:tmpl w:val="20745A82"/>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3FE91C97"/>
    <w:multiLevelType w:val="multilevel"/>
    <w:tmpl w:val="53B475A4"/>
    <w:lvl w:ilvl="0">
      <w:start w:val="3"/>
      <w:numFmt w:val="decimal"/>
      <w:lvlText w:val="%1."/>
      <w:lvlJc w:val="left"/>
      <w:pPr>
        <w:ind w:left="495" w:hanging="495"/>
      </w:pPr>
      <w:rPr>
        <w:rFonts w:hint="default"/>
      </w:rPr>
    </w:lvl>
    <w:lvl w:ilvl="1">
      <w:start w:val="4"/>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24C16E8"/>
    <w:multiLevelType w:val="multilevel"/>
    <w:tmpl w:val="82E62C78"/>
    <w:lvl w:ilvl="0">
      <w:start w:val="3"/>
      <w:numFmt w:val="decimal"/>
      <w:pStyle w:val="Heading1"/>
      <w:lvlText w:val="%1."/>
      <w:lvlJc w:val="left"/>
      <w:pPr>
        <w:ind w:left="502"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pStyle w:val="Heading4"/>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19" w15:restartNumberingAfterBreak="0">
    <w:nsid w:val="42FA3214"/>
    <w:multiLevelType w:val="multilevel"/>
    <w:tmpl w:val="D59084F4"/>
    <w:lvl w:ilvl="0">
      <w:start w:val="3"/>
      <w:numFmt w:val="decimal"/>
      <w:lvlText w:val="%1."/>
      <w:lvlJc w:val="left"/>
      <w:pPr>
        <w:ind w:left="720" w:hanging="360"/>
      </w:pPr>
      <w:rPr>
        <w:rFonts w:hint="default"/>
        <w: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422098"/>
    <w:multiLevelType w:val="multilevel"/>
    <w:tmpl w:val="A05EA3D4"/>
    <w:lvl w:ilvl="0">
      <w:start w:val="4"/>
      <w:numFmt w:val="decimal"/>
      <w:lvlText w:val="%1."/>
      <w:lvlJc w:val="left"/>
      <w:pPr>
        <w:ind w:left="720" w:hanging="720"/>
      </w:pPr>
      <w:rPr>
        <w:rFonts w:hint="default"/>
      </w:rPr>
    </w:lvl>
    <w:lvl w:ilvl="1">
      <w:start w:val="4"/>
      <w:numFmt w:val="decimal"/>
      <w:lvlText w:val="%1.%2."/>
      <w:lvlJc w:val="left"/>
      <w:pPr>
        <w:ind w:left="985" w:hanging="720"/>
      </w:pPr>
      <w:rPr>
        <w:rFonts w:hint="default"/>
      </w:rPr>
    </w:lvl>
    <w:lvl w:ilvl="2">
      <w:start w:val="1"/>
      <w:numFmt w:val="decimal"/>
      <w:lvlText w:val="%1.%2.%3."/>
      <w:lvlJc w:val="left"/>
      <w:pPr>
        <w:ind w:left="1250" w:hanging="720"/>
      </w:pPr>
      <w:rPr>
        <w:rFonts w:hint="default"/>
      </w:rPr>
    </w:lvl>
    <w:lvl w:ilvl="3">
      <w:start w:val="2"/>
      <w:numFmt w:val="decimal"/>
      <w:lvlText w:val="%1.%2.%3.%4."/>
      <w:lvlJc w:val="left"/>
      <w:pPr>
        <w:ind w:left="1515" w:hanging="720"/>
      </w:pPr>
      <w:rPr>
        <w:rFonts w:hint="default"/>
      </w:rPr>
    </w:lvl>
    <w:lvl w:ilvl="4">
      <w:start w:val="1"/>
      <w:numFmt w:val="decimal"/>
      <w:lvlText w:val="%1.%2.%3.%4.%5."/>
      <w:lvlJc w:val="left"/>
      <w:pPr>
        <w:ind w:left="2140" w:hanging="1080"/>
      </w:pPr>
      <w:rPr>
        <w:rFonts w:hint="default"/>
      </w:rPr>
    </w:lvl>
    <w:lvl w:ilvl="5">
      <w:start w:val="1"/>
      <w:numFmt w:val="decimal"/>
      <w:lvlText w:val="%1.%2.%3.%4.%5.%6."/>
      <w:lvlJc w:val="left"/>
      <w:pPr>
        <w:ind w:left="2405" w:hanging="1080"/>
      </w:pPr>
      <w:rPr>
        <w:rFonts w:hint="default"/>
      </w:rPr>
    </w:lvl>
    <w:lvl w:ilvl="6">
      <w:start w:val="1"/>
      <w:numFmt w:val="decimal"/>
      <w:lvlText w:val="%1.%2.%3.%4.%5.%6.%7."/>
      <w:lvlJc w:val="left"/>
      <w:pPr>
        <w:ind w:left="3030" w:hanging="1440"/>
      </w:pPr>
      <w:rPr>
        <w:rFonts w:hint="default"/>
      </w:rPr>
    </w:lvl>
    <w:lvl w:ilvl="7">
      <w:start w:val="1"/>
      <w:numFmt w:val="decimal"/>
      <w:lvlText w:val="%1.%2.%3.%4.%5.%6.%7.%8."/>
      <w:lvlJc w:val="left"/>
      <w:pPr>
        <w:ind w:left="3295" w:hanging="1440"/>
      </w:pPr>
      <w:rPr>
        <w:rFonts w:hint="default"/>
      </w:rPr>
    </w:lvl>
    <w:lvl w:ilvl="8">
      <w:start w:val="1"/>
      <w:numFmt w:val="decimal"/>
      <w:lvlText w:val="%1.%2.%3.%4.%5.%6.%7.%8.%9."/>
      <w:lvlJc w:val="left"/>
      <w:pPr>
        <w:ind w:left="3920" w:hanging="1800"/>
      </w:pPr>
      <w:rPr>
        <w:rFonts w:hint="default"/>
      </w:rPr>
    </w:lvl>
  </w:abstractNum>
  <w:abstractNum w:abstractNumId="21" w15:restartNumberingAfterBreak="0">
    <w:nsid w:val="4BC6246F"/>
    <w:multiLevelType w:val="multilevel"/>
    <w:tmpl w:val="817A959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4F50B48"/>
    <w:multiLevelType w:val="multilevel"/>
    <w:tmpl w:val="F60AA75A"/>
    <w:lvl w:ilvl="0">
      <w:start w:val="3"/>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3" w15:restartNumberingAfterBreak="0">
    <w:nsid w:val="593D5279"/>
    <w:multiLevelType w:val="hybridMultilevel"/>
    <w:tmpl w:val="3B208980"/>
    <w:lvl w:ilvl="0" w:tplc="102A730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574434"/>
    <w:multiLevelType w:val="multilevel"/>
    <w:tmpl w:val="817A9594"/>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37958E8"/>
    <w:multiLevelType w:val="multilevel"/>
    <w:tmpl w:val="2802619E"/>
    <w:lvl w:ilvl="0">
      <w:start w:val="4"/>
      <w:numFmt w:val="decimal"/>
      <w:lvlText w:val="%1"/>
      <w:lvlJc w:val="left"/>
      <w:pPr>
        <w:ind w:left="360" w:hanging="360"/>
      </w:pPr>
      <w:rPr>
        <w:rFonts w:hint="default"/>
      </w:rPr>
    </w:lvl>
    <w:lvl w:ilvl="1">
      <w:start w:val="6"/>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88802D2"/>
    <w:multiLevelType w:val="multilevel"/>
    <w:tmpl w:val="AF60A92C"/>
    <w:lvl w:ilvl="0">
      <w:start w:val="1"/>
      <w:numFmt w:val="bullet"/>
      <w:lvlText w:val=""/>
      <w:lvlJc w:val="left"/>
      <w:pPr>
        <w:ind w:left="502"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890" w:hanging="144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686" w:hanging="1800"/>
      </w:pPr>
      <w:rPr>
        <w:rFonts w:hint="default"/>
      </w:rPr>
    </w:lvl>
  </w:abstractNum>
  <w:abstractNum w:abstractNumId="27" w15:restartNumberingAfterBreak="0">
    <w:nsid w:val="6C9F66D4"/>
    <w:multiLevelType w:val="multilevel"/>
    <w:tmpl w:val="549085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D6746A0"/>
    <w:multiLevelType w:val="multilevel"/>
    <w:tmpl w:val="F1FCDE42"/>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pStyle w:val="Heading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E7F4675"/>
    <w:multiLevelType w:val="multilevel"/>
    <w:tmpl w:val="94E45B6C"/>
    <w:lvl w:ilvl="0">
      <w:start w:val="1"/>
      <w:numFmt w:val="decimal"/>
      <w:lvlText w:val="%1."/>
      <w:lvlJc w:val="left"/>
      <w:pPr>
        <w:ind w:left="720" w:hanging="360"/>
      </w:p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CB90A2F"/>
    <w:multiLevelType w:val="multilevel"/>
    <w:tmpl w:val="302C4FFA"/>
    <w:lvl w:ilvl="0">
      <w:start w:val="4"/>
      <w:numFmt w:val="decimal"/>
      <w:lvlText w:val="%1."/>
      <w:lvlJc w:val="left"/>
      <w:pPr>
        <w:ind w:left="360" w:hanging="360"/>
      </w:pPr>
      <w:rPr>
        <w:rFonts w:hint="default"/>
      </w:rPr>
    </w:lvl>
    <w:lvl w:ilvl="1">
      <w:start w:val="1"/>
      <w:numFmt w:val="decima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9"/>
  </w:num>
  <w:num w:numId="2">
    <w:abstractNumId w:val="24"/>
  </w:num>
  <w:num w:numId="3">
    <w:abstractNumId w:val="21"/>
  </w:num>
  <w:num w:numId="4">
    <w:abstractNumId w:val="12"/>
  </w:num>
  <w:num w:numId="5">
    <w:abstractNumId w:val="27"/>
  </w:num>
  <w:num w:numId="6">
    <w:abstractNumId w:val="28"/>
  </w:num>
  <w:num w:numId="7">
    <w:abstractNumId w:val="17"/>
  </w:num>
  <w:num w:numId="8">
    <w:abstractNumId w:val="22"/>
  </w:num>
  <w:num w:numId="9">
    <w:abstractNumId w:val="16"/>
  </w:num>
  <w:num w:numId="10">
    <w:abstractNumId w:val="18"/>
  </w:num>
  <w:num w:numId="11">
    <w:abstractNumId w:val="18"/>
  </w:num>
  <w:num w:numId="12">
    <w:abstractNumId w:val="18"/>
    <w:lvlOverride w:ilvl="0">
      <w:startOverride w:val="1"/>
    </w:lvlOverride>
  </w:num>
  <w:num w:numId="13">
    <w:abstractNumId w:val="26"/>
  </w:num>
  <w:num w:numId="1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9"/>
  </w:num>
  <w:num w:numId="17">
    <w:abstractNumId w:val="7"/>
  </w:num>
  <w:num w:numId="18">
    <w:abstractNumId w:val="2"/>
  </w:num>
  <w:num w:numId="19">
    <w:abstractNumId w:val="13"/>
  </w:num>
  <w:num w:numId="20">
    <w:abstractNumId w:val="0"/>
  </w:num>
  <w:num w:numId="21">
    <w:abstractNumId w:val="3"/>
  </w:num>
  <w:num w:numId="22">
    <w:abstractNumId w:val="10"/>
  </w:num>
  <w:num w:numId="23">
    <w:abstractNumId w:val="5"/>
  </w:num>
  <w:num w:numId="24">
    <w:abstractNumId w:val="25"/>
  </w:num>
  <w:num w:numId="25">
    <w:abstractNumId w:val="3"/>
    <w:lvlOverride w:ilvl="0">
      <w:startOverride w:val="4"/>
    </w:lvlOverride>
    <w:lvlOverride w:ilvl="1">
      <w:startOverride w:val="7"/>
    </w:lvlOverride>
  </w:num>
  <w:num w:numId="26">
    <w:abstractNumId w:val="3"/>
    <w:lvlOverride w:ilvl="0">
      <w:startOverride w:val="5"/>
    </w:lvlOverride>
    <w:lvlOverride w:ilvl="1">
      <w:startOverride w:val="1"/>
    </w:lvlOverride>
  </w:num>
  <w:num w:numId="27">
    <w:abstractNumId w:val="3"/>
    <w:lvlOverride w:ilvl="0">
      <w:startOverride w:val="5"/>
    </w:lvlOverride>
    <w:lvlOverride w:ilvl="1">
      <w:startOverride w:val="3"/>
    </w:lvlOverride>
    <w:lvlOverride w:ilvl="2">
      <w:startOverride w:val="4"/>
    </w:lvlOverride>
  </w:num>
  <w:num w:numId="28">
    <w:abstractNumId w:val="14"/>
  </w:num>
  <w:num w:numId="29">
    <w:abstractNumId w:val="30"/>
  </w:num>
  <w:num w:numId="30">
    <w:abstractNumId w:val="1"/>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0"/>
  </w:num>
  <w:num w:numId="34">
    <w:abstractNumId w:val="6"/>
  </w:num>
  <w:num w:numId="35">
    <w:abstractNumId w:val="1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1"/>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3C7"/>
    <w:rsid w:val="00003898"/>
    <w:rsid w:val="00004FC4"/>
    <w:rsid w:val="000054DB"/>
    <w:rsid w:val="00006EA1"/>
    <w:rsid w:val="00010676"/>
    <w:rsid w:val="00013D44"/>
    <w:rsid w:val="000226D3"/>
    <w:rsid w:val="00022BD6"/>
    <w:rsid w:val="00023B24"/>
    <w:rsid w:val="00025010"/>
    <w:rsid w:val="00030A70"/>
    <w:rsid w:val="00041BAB"/>
    <w:rsid w:val="00055B7F"/>
    <w:rsid w:val="000630B7"/>
    <w:rsid w:val="00074FF1"/>
    <w:rsid w:val="00075C36"/>
    <w:rsid w:val="0008229E"/>
    <w:rsid w:val="00084BC7"/>
    <w:rsid w:val="0009699B"/>
    <w:rsid w:val="000A041F"/>
    <w:rsid w:val="000A42C8"/>
    <w:rsid w:val="000A4726"/>
    <w:rsid w:val="000C0633"/>
    <w:rsid w:val="000C0FA1"/>
    <w:rsid w:val="000D0098"/>
    <w:rsid w:val="000E44CD"/>
    <w:rsid w:val="000E6B11"/>
    <w:rsid w:val="000F5527"/>
    <w:rsid w:val="000F5E3C"/>
    <w:rsid w:val="000F7AD0"/>
    <w:rsid w:val="0010621E"/>
    <w:rsid w:val="00123F14"/>
    <w:rsid w:val="00124013"/>
    <w:rsid w:val="001500E6"/>
    <w:rsid w:val="00161F0E"/>
    <w:rsid w:val="00164539"/>
    <w:rsid w:val="001671C3"/>
    <w:rsid w:val="0017238A"/>
    <w:rsid w:val="00172738"/>
    <w:rsid w:val="00174CBE"/>
    <w:rsid w:val="001776B4"/>
    <w:rsid w:val="00185437"/>
    <w:rsid w:val="00190935"/>
    <w:rsid w:val="00195DF2"/>
    <w:rsid w:val="001A727E"/>
    <w:rsid w:val="001C0F17"/>
    <w:rsid w:val="001C58D5"/>
    <w:rsid w:val="001D3322"/>
    <w:rsid w:val="001D3527"/>
    <w:rsid w:val="001D537F"/>
    <w:rsid w:val="001D67AF"/>
    <w:rsid w:val="001D6B94"/>
    <w:rsid w:val="001D6D4B"/>
    <w:rsid w:val="001D6F5D"/>
    <w:rsid w:val="001E78FC"/>
    <w:rsid w:val="001E7AA0"/>
    <w:rsid w:val="0021081E"/>
    <w:rsid w:val="00210C49"/>
    <w:rsid w:val="00212245"/>
    <w:rsid w:val="0021371E"/>
    <w:rsid w:val="0021772A"/>
    <w:rsid w:val="00222F38"/>
    <w:rsid w:val="0022444A"/>
    <w:rsid w:val="00227019"/>
    <w:rsid w:val="00227AAB"/>
    <w:rsid w:val="00237525"/>
    <w:rsid w:val="00240C73"/>
    <w:rsid w:val="002451E9"/>
    <w:rsid w:val="0025783D"/>
    <w:rsid w:val="00262A27"/>
    <w:rsid w:val="00267D1B"/>
    <w:rsid w:val="00280DF6"/>
    <w:rsid w:val="002835CD"/>
    <w:rsid w:val="00295669"/>
    <w:rsid w:val="00296316"/>
    <w:rsid w:val="002A0B3A"/>
    <w:rsid w:val="002A7067"/>
    <w:rsid w:val="002A74A6"/>
    <w:rsid w:val="002B2822"/>
    <w:rsid w:val="002B6C4F"/>
    <w:rsid w:val="002C6E80"/>
    <w:rsid w:val="002C6E9F"/>
    <w:rsid w:val="002D3D41"/>
    <w:rsid w:val="002D61F6"/>
    <w:rsid w:val="002E145C"/>
    <w:rsid w:val="002E23EE"/>
    <w:rsid w:val="002E2525"/>
    <w:rsid w:val="002E6CFA"/>
    <w:rsid w:val="002F0105"/>
    <w:rsid w:val="002F4BCC"/>
    <w:rsid w:val="002F64BF"/>
    <w:rsid w:val="0030516C"/>
    <w:rsid w:val="003056F8"/>
    <w:rsid w:val="00311406"/>
    <w:rsid w:val="003140F4"/>
    <w:rsid w:val="00315744"/>
    <w:rsid w:val="00315E86"/>
    <w:rsid w:val="00323DB6"/>
    <w:rsid w:val="00326AAE"/>
    <w:rsid w:val="003315DD"/>
    <w:rsid w:val="00333099"/>
    <w:rsid w:val="003407C1"/>
    <w:rsid w:val="0034655A"/>
    <w:rsid w:val="003465A2"/>
    <w:rsid w:val="0035232A"/>
    <w:rsid w:val="00355145"/>
    <w:rsid w:val="00357C7E"/>
    <w:rsid w:val="003658EA"/>
    <w:rsid w:val="00365DAA"/>
    <w:rsid w:val="00367990"/>
    <w:rsid w:val="00381740"/>
    <w:rsid w:val="003820ED"/>
    <w:rsid w:val="00382F47"/>
    <w:rsid w:val="0038412E"/>
    <w:rsid w:val="00385CD9"/>
    <w:rsid w:val="00386E9F"/>
    <w:rsid w:val="00395289"/>
    <w:rsid w:val="003A0A1D"/>
    <w:rsid w:val="003A0BCD"/>
    <w:rsid w:val="003A2462"/>
    <w:rsid w:val="003A6C2E"/>
    <w:rsid w:val="003B39BD"/>
    <w:rsid w:val="003B46EC"/>
    <w:rsid w:val="003B658C"/>
    <w:rsid w:val="003B7D1F"/>
    <w:rsid w:val="003C6E2F"/>
    <w:rsid w:val="003C74D6"/>
    <w:rsid w:val="003D37EE"/>
    <w:rsid w:val="003D6F9C"/>
    <w:rsid w:val="003E4ED1"/>
    <w:rsid w:val="003E5275"/>
    <w:rsid w:val="003E6F94"/>
    <w:rsid w:val="003F0933"/>
    <w:rsid w:val="003F7C43"/>
    <w:rsid w:val="003F7D6C"/>
    <w:rsid w:val="00406EA5"/>
    <w:rsid w:val="00410785"/>
    <w:rsid w:val="00411842"/>
    <w:rsid w:val="00421E92"/>
    <w:rsid w:val="00422AA1"/>
    <w:rsid w:val="00423110"/>
    <w:rsid w:val="0043036A"/>
    <w:rsid w:val="004320BA"/>
    <w:rsid w:val="00432C50"/>
    <w:rsid w:val="00433B74"/>
    <w:rsid w:val="00436006"/>
    <w:rsid w:val="00450400"/>
    <w:rsid w:val="00455EAA"/>
    <w:rsid w:val="004611FD"/>
    <w:rsid w:val="004630D8"/>
    <w:rsid w:val="00463468"/>
    <w:rsid w:val="00471BC6"/>
    <w:rsid w:val="00473FCC"/>
    <w:rsid w:val="00475F45"/>
    <w:rsid w:val="00476A0C"/>
    <w:rsid w:val="00477E50"/>
    <w:rsid w:val="00484046"/>
    <w:rsid w:val="00492CD5"/>
    <w:rsid w:val="00494646"/>
    <w:rsid w:val="004A4B39"/>
    <w:rsid w:val="004A611C"/>
    <w:rsid w:val="004B31DB"/>
    <w:rsid w:val="004B4856"/>
    <w:rsid w:val="004B5C66"/>
    <w:rsid w:val="004B723D"/>
    <w:rsid w:val="004C15F0"/>
    <w:rsid w:val="004C2D0B"/>
    <w:rsid w:val="004C3096"/>
    <w:rsid w:val="004C7FEF"/>
    <w:rsid w:val="004D2635"/>
    <w:rsid w:val="004D7542"/>
    <w:rsid w:val="004D78B7"/>
    <w:rsid w:val="004E1F6A"/>
    <w:rsid w:val="004E7543"/>
    <w:rsid w:val="004F486C"/>
    <w:rsid w:val="005047F4"/>
    <w:rsid w:val="00512227"/>
    <w:rsid w:val="0052236C"/>
    <w:rsid w:val="0052422D"/>
    <w:rsid w:val="00524EB0"/>
    <w:rsid w:val="005279BA"/>
    <w:rsid w:val="005334C8"/>
    <w:rsid w:val="005418B5"/>
    <w:rsid w:val="0054311F"/>
    <w:rsid w:val="0054381B"/>
    <w:rsid w:val="005506AC"/>
    <w:rsid w:val="00551911"/>
    <w:rsid w:val="00551DB0"/>
    <w:rsid w:val="00552AD0"/>
    <w:rsid w:val="00553130"/>
    <w:rsid w:val="00553BE2"/>
    <w:rsid w:val="00553CB9"/>
    <w:rsid w:val="00565E9E"/>
    <w:rsid w:val="00577FBD"/>
    <w:rsid w:val="005803E7"/>
    <w:rsid w:val="00585EC1"/>
    <w:rsid w:val="00594110"/>
    <w:rsid w:val="00597ABD"/>
    <w:rsid w:val="00597D01"/>
    <w:rsid w:val="005A55CD"/>
    <w:rsid w:val="005B21E6"/>
    <w:rsid w:val="005D45B9"/>
    <w:rsid w:val="00606E9B"/>
    <w:rsid w:val="006147E5"/>
    <w:rsid w:val="006174B3"/>
    <w:rsid w:val="00624BFE"/>
    <w:rsid w:val="00626302"/>
    <w:rsid w:val="006402BB"/>
    <w:rsid w:val="006475E3"/>
    <w:rsid w:val="00653CDF"/>
    <w:rsid w:val="00656E5F"/>
    <w:rsid w:val="00657343"/>
    <w:rsid w:val="00663831"/>
    <w:rsid w:val="006729C6"/>
    <w:rsid w:val="00673A48"/>
    <w:rsid w:val="00675E3D"/>
    <w:rsid w:val="006766E5"/>
    <w:rsid w:val="00680A9B"/>
    <w:rsid w:val="00681658"/>
    <w:rsid w:val="00681B9D"/>
    <w:rsid w:val="00685C27"/>
    <w:rsid w:val="00687771"/>
    <w:rsid w:val="006B4BB3"/>
    <w:rsid w:val="006C4071"/>
    <w:rsid w:val="006C69C4"/>
    <w:rsid w:val="006D161E"/>
    <w:rsid w:val="006D315A"/>
    <w:rsid w:val="006D68C3"/>
    <w:rsid w:val="006E6A43"/>
    <w:rsid w:val="006F027D"/>
    <w:rsid w:val="006F1207"/>
    <w:rsid w:val="006F5492"/>
    <w:rsid w:val="006F5D31"/>
    <w:rsid w:val="006F62FE"/>
    <w:rsid w:val="006F65DA"/>
    <w:rsid w:val="00701169"/>
    <w:rsid w:val="00701431"/>
    <w:rsid w:val="00701AC6"/>
    <w:rsid w:val="00701F57"/>
    <w:rsid w:val="00712C28"/>
    <w:rsid w:val="0072134D"/>
    <w:rsid w:val="00727931"/>
    <w:rsid w:val="00734BE2"/>
    <w:rsid w:val="00740253"/>
    <w:rsid w:val="0074114B"/>
    <w:rsid w:val="00742F0E"/>
    <w:rsid w:val="00744287"/>
    <w:rsid w:val="00751B4A"/>
    <w:rsid w:val="00751F4B"/>
    <w:rsid w:val="00753782"/>
    <w:rsid w:val="007551FE"/>
    <w:rsid w:val="00757248"/>
    <w:rsid w:val="00757AB8"/>
    <w:rsid w:val="00765609"/>
    <w:rsid w:val="0077519D"/>
    <w:rsid w:val="007761B4"/>
    <w:rsid w:val="00776A27"/>
    <w:rsid w:val="00780B28"/>
    <w:rsid w:val="00780C09"/>
    <w:rsid w:val="00780D56"/>
    <w:rsid w:val="0078233F"/>
    <w:rsid w:val="00790321"/>
    <w:rsid w:val="0079164C"/>
    <w:rsid w:val="007925AF"/>
    <w:rsid w:val="007A20F0"/>
    <w:rsid w:val="007A4655"/>
    <w:rsid w:val="007B0EB9"/>
    <w:rsid w:val="007B4A97"/>
    <w:rsid w:val="007B5AF2"/>
    <w:rsid w:val="007B6C80"/>
    <w:rsid w:val="007C78BE"/>
    <w:rsid w:val="007D23B5"/>
    <w:rsid w:val="007D2996"/>
    <w:rsid w:val="007E1606"/>
    <w:rsid w:val="007E48E4"/>
    <w:rsid w:val="007E63A1"/>
    <w:rsid w:val="00800D44"/>
    <w:rsid w:val="00805B7B"/>
    <w:rsid w:val="008122BE"/>
    <w:rsid w:val="00814FF2"/>
    <w:rsid w:val="00816A52"/>
    <w:rsid w:val="0081763F"/>
    <w:rsid w:val="008235C6"/>
    <w:rsid w:val="00827F6B"/>
    <w:rsid w:val="0083534B"/>
    <w:rsid w:val="00850B3D"/>
    <w:rsid w:val="00862AAD"/>
    <w:rsid w:val="008668F4"/>
    <w:rsid w:val="008765A4"/>
    <w:rsid w:val="008778DA"/>
    <w:rsid w:val="008820F2"/>
    <w:rsid w:val="0088449E"/>
    <w:rsid w:val="00884BB1"/>
    <w:rsid w:val="008877F6"/>
    <w:rsid w:val="00887DF0"/>
    <w:rsid w:val="0089195C"/>
    <w:rsid w:val="008B1D43"/>
    <w:rsid w:val="008B5575"/>
    <w:rsid w:val="008C17C6"/>
    <w:rsid w:val="008C5186"/>
    <w:rsid w:val="008C7A50"/>
    <w:rsid w:val="008D15E6"/>
    <w:rsid w:val="008D3393"/>
    <w:rsid w:val="008E0385"/>
    <w:rsid w:val="008E2E6B"/>
    <w:rsid w:val="008E4BB4"/>
    <w:rsid w:val="008F04FE"/>
    <w:rsid w:val="008F0B7D"/>
    <w:rsid w:val="008F39AA"/>
    <w:rsid w:val="008F6714"/>
    <w:rsid w:val="008F7AC5"/>
    <w:rsid w:val="008F7BF9"/>
    <w:rsid w:val="009066A3"/>
    <w:rsid w:val="009126B3"/>
    <w:rsid w:val="00916016"/>
    <w:rsid w:val="00921D4B"/>
    <w:rsid w:val="00924881"/>
    <w:rsid w:val="009257CE"/>
    <w:rsid w:val="0093404D"/>
    <w:rsid w:val="00936DF0"/>
    <w:rsid w:val="00943B1F"/>
    <w:rsid w:val="00944E68"/>
    <w:rsid w:val="009468AC"/>
    <w:rsid w:val="009531DF"/>
    <w:rsid w:val="00953973"/>
    <w:rsid w:val="0096426A"/>
    <w:rsid w:val="00970D30"/>
    <w:rsid w:val="00981DCE"/>
    <w:rsid w:val="00983BF9"/>
    <w:rsid w:val="00985381"/>
    <w:rsid w:val="00990A95"/>
    <w:rsid w:val="00992408"/>
    <w:rsid w:val="00993A17"/>
    <w:rsid w:val="009A3F76"/>
    <w:rsid w:val="009B12DF"/>
    <w:rsid w:val="009C090C"/>
    <w:rsid w:val="009C53D4"/>
    <w:rsid w:val="009E2274"/>
    <w:rsid w:val="009E2DBD"/>
    <w:rsid w:val="009E47ED"/>
    <w:rsid w:val="00A02533"/>
    <w:rsid w:val="00A11A5F"/>
    <w:rsid w:val="00A150A8"/>
    <w:rsid w:val="00A2460B"/>
    <w:rsid w:val="00A249AC"/>
    <w:rsid w:val="00A3021B"/>
    <w:rsid w:val="00A31A08"/>
    <w:rsid w:val="00A4305D"/>
    <w:rsid w:val="00A46F7C"/>
    <w:rsid w:val="00A47602"/>
    <w:rsid w:val="00A50128"/>
    <w:rsid w:val="00A52812"/>
    <w:rsid w:val="00A67647"/>
    <w:rsid w:val="00A72105"/>
    <w:rsid w:val="00A72B71"/>
    <w:rsid w:val="00A730A7"/>
    <w:rsid w:val="00A76D34"/>
    <w:rsid w:val="00A76EF5"/>
    <w:rsid w:val="00A80C1D"/>
    <w:rsid w:val="00A82EAC"/>
    <w:rsid w:val="00A83CF4"/>
    <w:rsid w:val="00A9197D"/>
    <w:rsid w:val="00A96AD8"/>
    <w:rsid w:val="00A97D42"/>
    <w:rsid w:val="00AA1F4A"/>
    <w:rsid w:val="00AA4FF0"/>
    <w:rsid w:val="00AA6152"/>
    <w:rsid w:val="00AB3DF5"/>
    <w:rsid w:val="00AB4BB1"/>
    <w:rsid w:val="00AC0347"/>
    <w:rsid w:val="00AC23C7"/>
    <w:rsid w:val="00AC298B"/>
    <w:rsid w:val="00AE4892"/>
    <w:rsid w:val="00AE6AE0"/>
    <w:rsid w:val="00AF0DE0"/>
    <w:rsid w:val="00AF2ADC"/>
    <w:rsid w:val="00AF364D"/>
    <w:rsid w:val="00AF4F58"/>
    <w:rsid w:val="00B011B0"/>
    <w:rsid w:val="00B063C9"/>
    <w:rsid w:val="00B11F7E"/>
    <w:rsid w:val="00B159F8"/>
    <w:rsid w:val="00B20754"/>
    <w:rsid w:val="00B25613"/>
    <w:rsid w:val="00B34FE0"/>
    <w:rsid w:val="00B359AF"/>
    <w:rsid w:val="00B407AD"/>
    <w:rsid w:val="00B4452A"/>
    <w:rsid w:val="00B46951"/>
    <w:rsid w:val="00B52154"/>
    <w:rsid w:val="00B53937"/>
    <w:rsid w:val="00B616C7"/>
    <w:rsid w:val="00B840A7"/>
    <w:rsid w:val="00B844C1"/>
    <w:rsid w:val="00B87DC3"/>
    <w:rsid w:val="00B91020"/>
    <w:rsid w:val="00B97E31"/>
    <w:rsid w:val="00BA05C7"/>
    <w:rsid w:val="00BB528C"/>
    <w:rsid w:val="00BC007D"/>
    <w:rsid w:val="00BC315D"/>
    <w:rsid w:val="00BC4337"/>
    <w:rsid w:val="00BC7467"/>
    <w:rsid w:val="00BD2F41"/>
    <w:rsid w:val="00BD5658"/>
    <w:rsid w:val="00BD6DBD"/>
    <w:rsid w:val="00BE07AC"/>
    <w:rsid w:val="00BE0919"/>
    <w:rsid w:val="00BE3A0A"/>
    <w:rsid w:val="00BE47E3"/>
    <w:rsid w:val="00BE7165"/>
    <w:rsid w:val="00BF0F04"/>
    <w:rsid w:val="00C02E78"/>
    <w:rsid w:val="00C05FAC"/>
    <w:rsid w:val="00C10ADE"/>
    <w:rsid w:val="00C12E8F"/>
    <w:rsid w:val="00C21B4D"/>
    <w:rsid w:val="00C23C79"/>
    <w:rsid w:val="00C259D9"/>
    <w:rsid w:val="00C30181"/>
    <w:rsid w:val="00C3536D"/>
    <w:rsid w:val="00C41381"/>
    <w:rsid w:val="00C44CFC"/>
    <w:rsid w:val="00C52C11"/>
    <w:rsid w:val="00C552E0"/>
    <w:rsid w:val="00C616D0"/>
    <w:rsid w:val="00C6354F"/>
    <w:rsid w:val="00C824CE"/>
    <w:rsid w:val="00C83664"/>
    <w:rsid w:val="00C8477E"/>
    <w:rsid w:val="00C92C5C"/>
    <w:rsid w:val="00C92CB0"/>
    <w:rsid w:val="00C93221"/>
    <w:rsid w:val="00CA189A"/>
    <w:rsid w:val="00CA5616"/>
    <w:rsid w:val="00CB5199"/>
    <w:rsid w:val="00CD0312"/>
    <w:rsid w:val="00CE093F"/>
    <w:rsid w:val="00CE1869"/>
    <w:rsid w:val="00CE2C12"/>
    <w:rsid w:val="00CE2D03"/>
    <w:rsid w:val="00CE46B0"/>
    <w:rsid w:val="00CF2965"/>
    <w:rsid w:val="00CF633E"/>
    <w:rsid w:val="00CF72DA"/>
    <w:rsid w:val="00CF7930"/>
    <w:rsid w:val="00D03732"/>
    <w:rsid w:val="00D14577"/>
    <w:rsid w:val="00D23610"/>
    <w:rsid w:val="00D26882"/>
    <w:rsid w:val="00D328B6"/>
    <w:rsid w:val="00D358FF"/>
    <w:rsid w:val="00D61906"/>
    <w:rsid w:val="00D625A7"/>
    <w:rsid w:val="00D63F69"/>
    <w:rsid w:val="00D6484F"/>
    <w:rsid w:val="00D64C5E"/>
    <w:rsid w:val="00D752A9"/>
    <w:rsid w:val="00D75EF2"/>
    <w:rsid w:val="00D830DA"/>
    <w:rsid w:val="00D840B2"/>
    <w:rsid w:val="00D87AD7"/>
    <w:rsid w:val="00DA1001"/>
    <w:rsid w:val="00DA1FFC"/>
    <w:rsid w:val="00DA7128"/>
    <w:rsid w:val="00DB2001"/>
    <w:rsid w:val="00DB68F7"/>
    <w:rsid w:val="00DB68FA"/>
    <w:rsid w:val="00DB7CEA"/>
    <w:rsid w:val="00DC3F4A"/>
    <w:rsid w:val="00DD5618"/>
    <w:rsid w:val="00DD5887"/>
    <w:rsid w:val="00DE0F56"/>
    <w:rsid w:val="00DE6C6A"/>
    <w:rsid w:val="00DF2074"/>
    <w:rsid w:val="00E02F48"/>
    <w:rsid w:val="00E03B83"/>
    <w:rsid w:val="00E20E8E"/>
    <w:rsid w:val="00E22EFF"/>
    <w:rsid w:val="00E30C3F"/>
    <w:rsid w:val="00E51385"/>
    <w:rsid w:val="00E53CE9"/>
    <w:rsid w:val="00E54A6C"/>
    <w:rsid w:val="00E558FA"/>
    <w:rsid w:val="00E60564"/>
    <w:rsid w:val="00E61434"/>
    <w:rsid w:val="00E62098"/>
    <w:rsid w:val="00E6344C"/>
    <w:rsid w:val="00E66E14"/>
    <w:rsid w:val="00E71C38"/>
    <w:rsid w:val="00E75F0F"/>
    <w:rsid w:val="00E767CF"/>
    <w:rsid w:val="00E80BA3"/>
    <w:rsid w:val="00E811F4"/>
    <w:rsid w:val="00E865F6"/>
    <w:rsid w:val="00E9041B"/>
    <w:rsid w:val="00E93644"/>
    <w:rsid w:val="00EA0817"/>
    <w:rsid w:val="00EA1B34"/>
    <w:rsid w:val="00EA1E52"/>
    <w:rsid w:val="00EA3EA8"/>
    <w:rsid w:val="00EA5D05"/>
    <w:rsid w:val="00EA7AD6"/>
    <w:rsid w:val="00EB6944"/>
    <w:rsid w:val="00EC14AF"/>
    <w:rsid w:val="00EC1613"/>
    <w:rsid w:val="00ED2562"/>
    <w:rsid w:val="00ED25B4"/>
    <w:rsid w:val="00ED63F5"/>
    <w:rsid w:val="00EE1B21"/>
    <w:rsid w:val="00EF28AC"/>
    <w:rsid w:val="00EF4594"/>
    <w:rsid w:val="00EF4891"/>
    <w:rsid w:val="00EF70CF"/>
    <w:rsid w:val="00F04984"/>
    <w:rsid w:val="00F162EB"/>
    <w:rsid w:val="00F17B1E"/>
    <w:rsid w:val="00F24407"/>
    <w:rsid w:val="00F338B3"/>
    <w:rsid w:val="00F42DA2"/>
    <w:rsid w:val="00F4494B"/>
    <w:rsid w:val="00F61954"/>
    <w:rsid w:val="00F723E8"/>
    <w:rsid w:val="00F765C6"/>
    <w:rsid w:val="00F87408"/>
    <w:rsid w:val="00FA2E0A"/>
    <w:rsid w:val="00FB2D9A"/>
    <w:rsid w:val="00FB6768"/>
    <w:rsid w:val="00FB6EC7"/>
    <w:rsid w:val="00FB7B4B"/>
    <w:rsid w:val="00FC092F"/>
    <w:rsid w:val="00FC0A9A"/>
    <w:rsid w:val="00FC2CF3"/>
    <w:rsid w:val="00FC5736"/>
    <w:rsid w:val="00FD39BC"/>
    <w:rsid w:val="00FD6424"/>
    <w:rsid w:val="00FF2FFE"/>
    <w:rsid w:val="00FF49BF"/>
    <w:rsid w:val="00FF5E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40CBAAA"/>
  <w15:docId w15:val="{B9E4B7A3-3D21-41EC-8626-075E31498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036A"/>
    <w:rPr>
      <w:sz w:val="24"/>
      <w:szCs w:val="24"/>
    </w:rPr>
  </w:style>
  <w:style w:type="paragraph" w:styleId="Heading1">
    <w:name w:val="heading 1"/>
    <w:basedOn w:val="ListParagraph"/>
    <w:next w:val="Normal"/>
    <w:link w:val="Heading1Char"/>
    <w:uiPriority w:val="9"/>
    <w:qFormat/>
    <w:rsid w:val="00D752A9"/>
    <w:pPr>
      <w:numPr>
        <w:numId w:val="10"/>
      </w:numPr>
      <w:outlineLvl w:val="0"/>
    </w:pPr>
  </w:style>
  <w:style w:type="paragraph" w:styleId="Heading2">
    <w:name w:val="heading 2"/>
    <w:basedOn w:val="Normal"/>
    <w:next w:val="Normal"/>
    <w:link w:val="Heading2Char"/>
    <w:uiPriority w:val="9"/>
    <w:unhideWhenUsed/>
    <w:qFormat/>
    <w:rsid w:val="00D752A9"/>
    <w:pPr>
      <w:numPr>
        <w:ilvl w:val="1"/>
        <w:numId w:val="10"/>
      </w:numPr>
      <w:outlineLvl w:val="1"/>
    </w:pPr>
  </w:style>
  <w:style w:type="paragraph" w:styleId="Heading3">
    <w:name w:val="heading 3"/>
    <w:basedOn w:val="Heading2"/>
    <w:next w:val="Normal"/>
    <w:link w:val="Heading3Char"/>
    <w:uiPriority w:val="9"/>
    <w:unhideWhenUsed/>
    <w:qFormat/>
    <w:rsid w:val="00D752A9"/>
    <w:pPr>
      <w:numPr>
        <w:ilvl w:val="2"/>
        <w:numId w:val="6"/>
      </w:numPr>
      <w:outlineLvl w:val="2"/>
    </w:pPr>
  </w:style>
  <w:style w:type="paragraph" w:styleId="Heading4">
    <w:name w:val="heading 4"/>
    <w:basedOn w:val="ListParagraph"/>
    <w:next w:val="Normal"/>
    <w:link w:val="Heading4Char"/>
    <w:uiPriority w:val="9"/>
    <w:unhideWhenUsed/>
    <w:qFormat/>
    <w:rsid w:val="00D752A9"/>
    <w:pPr>
      <w:numPr>
        <w:ilvl w:val="3"/>
        <w:numId w:val="10"/>
      </w:numPr>
      <w:outlineLvl w:val="3"/>
    </w:pPr>
    <w:rPr>
      <w:rFonts w:cstheme="minorHAnsi"/>
      <w:shd w:val="clear" w:color="auto" w:fil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23C7"/>
    <w:pPr>
      <w:ind w:left="720"/>
      <w:contextualSpacing/>
    </w:pPr>
  </w:style>
  <w:style w:type="paragraph" w:styleId="Caption">
    <w:name w:val="caption"/>
    <w:basedOn w:val="Normal"/>
    <w:next w:val="Normal"/>
    <w:uiPriority w:val="35"/>
    <w:unhideWhenUsed/>
    <w:qFormat/>
    <w:rsid w:val="00AC23C7"/>
    <w:pPr>
      <w:spacing w:after="200" w:line="240" w:lineRule="auto"/>
    </w:pPr>
    <w:rPr>
      <w:b/>
      <w:bCs/>
      <w:color w:val="5B9BD5" w:themeColor="accent1"/>
      <w:sz w:val="18"/>
      <w:szCs w:val="18"/>
    </w:rPr>
  </w:style>
  <w:style w:type="character" w:customStyle="1" w:styleId="ListParagraphChar">
    <w:name w:val="List Paragraph Char"/>
    <w:basedOn w:val="DefaultParagraphFont"/>
    <w:link w:val="ListParagraph"/>
    <w:uiPriority w:val="34"/>
    <w:rsid w:val="00AC23C7"/>
  </w:style>
  <w:style w:type="character" w:styleId="Hyperlink">
    <w:name w:val="Hyperlink"/>
    <w:basedOn w:val="DefaultParagraphFont"/>
    <w:uiPriority w:val="99"/>
    <w:unhideWhenUsed/>
    <w:rsid w:val="00395289"/>
    <w:rPr>
      <w:color w:val="0000FF"/>
      <w:u w:val="single"/>
    </w:rPr>
  </w:style>
  <w:style w:type="character" w:customStyle="1" w:styleId="apple-converted-space">
    <w:name w:val="apple-converted-space"/>
    <w:basedOn w:val="DefaultParagraphFont"/>
    <w:rsid w:val="00395289"/>
  </w:style>
  <w:style w:type="character" w:styleId="FollowedHyperlink">
    <w:name w:val="FollowedHyperlink"/>
    <w:basedOn w:val="DefaultParagraphFont"/>
    <w:uiPriority w:val="99"/>
    <w:semiHidden/>
    <w:unhideWhenUsed/>
    <w:rsid w:val="00395289"/>
    <w:rPr>
      <w:color w:val="954F72" w:themeColor="followedHyperlink"/>
      <w:u w:val="single"/>
    </w:rPr>
  </w:style>
  <w:style w:type="character" w:customStyle="1" w:styleId="ff5">
    <w:name w:val="ff5"/>
    <w:basedOn w:val="DefaultParagraphFont"/>
    <w:rsid w:val="00751F4B"/>
  </w:style>
  <w:style w:type="character" w:customStyle="1" w:styleId="wsa1">
    <w:name w:val="wsa1"/>
    <w:basedOn w:val="DefaultParagraphFont"/>
    <w:rsid w:val="00751F4B"/>
  </w:style>
  <w:style w:type="paragraph" w:styleId="BalloonText">
    <w:name w:val="Balloon Text"/>
    <w:basedOn w:val="Normal"/>
    <w:link w:val="BalloonTextChar"/>
    <w:uiPriority w:val="99"/>
    <w:semiHidden/>
    <w:unhideWhenUsed/>
    <w:rsid w:val="00A302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21B"/>
    <w:rPr>
      <w:rFonts w:ascii="Segoe UI" w:hAnsi="Segoe UI" w:cs="Segoe UI"/>
      <w:sz w:val="18"/>
      <w:szCs w:val="18"/>
    </w:rPr>
  </w:style>
  <w:style w:type="character" w:customStyle="1" w:styleId="Heading1Char">
    <w:name w:val="Heading 1 Char"/>
    <w:basedOn w:val="DefaultParagraphFont"/>
    <w:link w:val="Heading1"/>
    <w:uiPriority w:val="9"/>
    <w:rsid w:val="00D752A9"/>
    <w:rPr>
      <w:sz w:val="24"/>
      <w:szCs w:val="24"/>
    </w:rPr>
  </w:style>
  <w:style w:type="character" w:customStyle="1" w:styleId="Heading2Char">
    <w:name w:val="Heading 2 Char"/>
    <w:basedOn w:val="DefaultParagraphFont"/>
    <w:link w:val="Heading2"/>
    <w:uiPriority w:val="9"/>
    <w:rsid w:val="00D752A9"/>
    <w:rPr>
      <w:sz w:val="24"/>
      <w:szCs w:val="24"/>
    </w:rPr>
  </w:style>
  <w:style w:type="character" w:customStyle="1" w:styleId="Heading3Char">
    <w:name w:val="Heading 3 Char"/>
    <w:basedOn w:val="DefaultParagraphFont"/>
    <w:link w:val="Heading3"/>
    <w:uiPriority w:val="9"/>
    <w:rsid w:val="00D752A9"/>
    <w:rPr>
      <w:sz w:val="24"/>
      <w:szCs w:val="24"/>
    </w:rPr>
  </w:style>
  <w:style w:type="character" w:customStyle="1" w:styleId="Heading4Char">
    <w:name w:val="Heading 4 Char"/>
    <w:basedOn w:val="DefaultParagraphFont"/>
    <w:link w:val="Heading4"/>
    <w:uiPriority w:val="9"/>
    <w:rsid w:val="00D752A9"/>
    <w:rPr>
      <w:rFonts w:cstheme="minorHAnsi"/>
      <w:sz w:val="24"/>
    </w:rPr>
  </w:style>
  <w:style w:type="character" w:styleId="CommentReference">
    <w:name w:val="annotation reference"/>
    <w:basedOn w:val="DefaultParagraphFont"/>
    <w:uiPriority w:val="99"/>
    <w:semiHidden/>
    <w:unhideWhenUsed/>
    <w:rsid w:val="00BF0F04"/>
    <w:rPr>
      <w:sz w:val="16"/>
      <w:szCs w:val="16"/>
    </w:rPr>
  </w:style>
  <w:style w:type="paragraph" w:styleId="CommentText">
    <w:name w:val="annotation text"/>
    <w:basedOn w:val="Normal"/>
    <w:link w:val="CommentTextChar"/>
    <w:uiPriority w:val="99"/>
    <w:unhideWhenUsed/>
    <w:rsid w:val="00BF0F04"/>
    <w:pPr>
      <w:spacing w:after="200" w:line="240" w:lineRule="auto"/>
    </w:pPr>
    <w:rPr>
      <w:sz w:val="20"/>
      <w:szCs w:val="20"/>
    </w:rPr>
  </w:style>
  <w:style w:type="character" w:customStyle="1" w:styleId="CommentTextChar">
    <w:name w:val="Comment Text Char"/>
    <w:basedOn w:val="DefaultParagraphFont"/>
    <w:link w:val="CommentText"/>
    <w:uiPriority w:val="99"/>
    <w:rsid w:val="00BF0F04"/>
    <w:rPr>
      <w:sz w:val="20"/>
      <w:szCs w:val="20"/>
    </w:rPr>
  </w:style>
  <w:style w:type="table" w:styleId="TableGrid">
    <w:name w:val="Table Grid"/>
    <w:basedOn w:val="TableNormal"/>
    <w:uiPriority w:val="39"/>
    <w:rsid w:val="00406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70D30"/>
    <w:pPr>
      <w:spacing w:after="160"/>
    </w:pPr>
    <w:rPr>
      <w:b/>
      <w:bCs/>
    </w:rPr>
  </w:style>
  <w:style w:type="character" w:customStyle="1" w:styleId="CommentSubjectChar">
    <w:name w:val="Comment Subject Char"/>
    <w:basedOn w:val="CommentTextChar"/>
    <w:link w:val="CommentSubject"/>
    <w:uiPriority w:val="99"/>
    <w:semiHidden/>
    <w:rsid w:val="00970D30"/>
    <w:rPr>
      <w:b/>
      <w:bCs/>
      <w:sz w:val="20"/>
      <w:szCs w:val="20"/>
    </w:rPr>
  </w:style>
  <w:style w:type="character" w:styleId="Emphasis">
    <w:name w:val="Emphasis"/>
    <w:basedOn w:val="DefaultParagraphFont"/>
    <w:uiPriority w:val="20"/>
    <w:qFormat/>
    <w:rsid w:val="0021081E"/>
    <w:rPr>
      <w:i/>
      <w:iCs/>
    </w:rPr>
  </w:style>
  <w:style w:type="paragraph" w:customStyle="1" w:styleId="svarticle">
    <w:name w:val="svarticle"/>
    <w:basedOn w:val="Normal"/>
    <w:rsid w:val="0021081E"/>
    <w:pPr>
      <w:spacing w:before="100" w:beforeAutospacing="1" w:after="100" w:afterAutospacing="1" w:line="240" w:lineRule="auto"/>
      <w:jc w:val="both"/>
    </w:pPr>
    <w:rPr>
      <w:rFonts w:ascii="Times New Roman" w:eastAsia="Times New Roman" w:hAnsi="Times New Roman" w:cs="Times New Roman"/>
      <w:shd w:val="clear" w:color="auto" w:fill="FFFFFF"/>
      <w:lang w:eastAsia="en-GB"/>
    </w:rPr>
  </w:style>
  <w:style w:type="character" w:customStyle="1" w:styleId="smallcaps">
    <w:name w:val="smallcaps"/>
    <w:basedOn w:val="DefaultParagraphFont"/>
    <w:rsid w:val="0021081E"/>
  </w:style>
  <w:style w:type="paragraph" w:customStyle="1" w:styleId="Default">
    <w:name w:val="Default"/>
    <w:rsid w:val="0021081E"/>
    <w:pPr>
      <w:autoSpaceDE w:val="0"/>
      <w:autoSpaceDN w:val="0"/>
      <w:adjustRightInd w:val="0"/>
      <w:spacing w:after="0" w:line="240" w:lineRule="auto"/>
    </w:pPr>
    <w:rPr>
      <w:rFonts w:ascii="Calibri" w:eastAsiaTheme="minorEastAsia" w:hAnsi="Calibri" w:cs="Calibri"/>
      <w:color w:val="000000"/>
      <w:sz w:val="24"/>
      <w:szCs w:val="24"/>
      <w:lang w:eastAsia="en-GB"/>
    </w:rPr>
  </w:style>
  <w:style w:type="paragraph" w:styleId="NormalWeb">
    <w:name w:val="Normal (Web)"/>
    <w:basedOn w:val="Normal"/>
    <w:uiPriority w:val="99"/>
    <w:unhideWhenUsed/>
    <w:rsid w:val="0021081E"/>
    <w:pPr>
      <w:spacing w:before="100" w:beforeAutospacing="1" w:after="100" w:afterAutospacing="1" w:line="240" w:lineRule="auto"/>
      <w:jc w:val="both"/>
    </w:pPr>
    <w:rPr>
      <w:rFonts w:ascii="Times New Roman" w:eastAsiaTheme="minorEastAsia" w:hAnsi="Times New Roman" w:cs="Times New Roman"/>
      <w:shd w:val="clear" w:color="auto" w:fill="FFFFFF"/>
      <w:lang w:eastAsia="en-GB"/>
    </w:rPr>
  </w:style>
  <w:style w:type="character" w:customStyle="1" w:styleId="cit-source">
    <w:name w:val="cit-source"/>
    <w:basedOn w:val="DefaultParagraphFont"/>
    <w:rsid w:val="0021081E"/>
  </w:style>
  <w:style w:type="character" w:customStyle="1" w:styleId="cit-pub-date">
    <w:name w:val="cit-pub-date"/>
    <w:basedOn w:val="DefaultParagraphFont"/>
    <w:rsid w:val="0021081E"/>
  </w:style>
  <w:style w:type="character" w:customStyle="1" w:styleId="cit-vol">
    <w:name w:val="cit-vol"/>
    <w:basedOn w:val="DefaultParagraphFont"/>
    <w:rsid w:val="0021081E"/>
  </w:style>
  <w:style w:type="character" w:customStyle="1" w:styleId="cit-fpage">
    <w:name w:val="cit-fpage"/>
    <w:basedOn w:val="DefaultParagraphFont"/>
    <w:rsid w:val="0021081E"/>
  </w:style>
  <w:style w:type="character" w:customStyle="1" w:styleId="xref-sep">
    <w:name w:val="xref-sep"/>
    <w:basedOn w:val="DefaultParagraphFont"/>
    <w:rsid w:val="0021081E"/>
  </w:style>
  <w:style w:type="character" w:customStyle="1" w:styleId="name">
    <w:name w:val="name"/>
    <w:basedOn w:val="DefaultParagraphFont"/>
    <w:rsid w:val="0021081E"/>
  </w:style>
  <w:style w:type="character" w:styleId="HTMLCite">
    <w:name w:val="HTML Cite"/>
    <w:basedOn w:val="DefaultParagraphFont"/>
    <w:uiPriority w:val="99"/>
    <w:semiHidden/>
    <w:unhideWhenUsed/>
    <w:rsid w:val="0021081E"/>
    <w:rPr>
      <w:i/>
      <w:iCs/>
    </w:rPr>
  </w:style>
  <w:style w:type="character" w:customStyle="1" w:styleId="slug-pub-date">
    <w:name w:val="slug-pub-date"/>
    <w:basedOn w:val="DefaultParagraphFont"/>
    <w:rsid w:val="0021081E"/>
  </w:style>
  <w:style w:type="character" w:customStyle="1" w:styleId="slug-vol">
    <w:name w:val="slug-vol"/>
    <w:basedOn w:val="DefaultParagraphFont"/>
    <w:rsid w:val="0021081E"/>
  </w:style>
  <w:style w:type="character" w:customStyle="1" w:styleId="slug-issue">
    <w:name w:val="slug-issue"/>
    <w:basedOn w:val="DefaultParagraphFont"/>
    <w:rsid w:val="0021081E"/>
  </w:style>
  <w:style w:type="character" w:customStyle="1" w:styleId="slug-pages">
    <w:name w:val="slug-pages"/>
    <w:basedOn w:val="DefaultParagraphFont"/>
    <w:rsid w:val="0021081E"/>
  </w:style>
  <w:style w:type="character" w:customStyle="1" w:styleId="bibrecord-highlight-user">
    <w:name w:val="bibrecord-highlight-user"/>
    <w:basedOn w:val="DefaultParagraphFont"/>
    <w:rsid w:val="0021081E"/>
  </w:style>
  <w:style w:type="paragraph" w:customStyle="1" w:styleId="p">
    <w:name w:val="p"/>
    <w:basedOn w:val="Normal"/>
    <w:rsid w:val="0021081E"/>
    <w:pPr>
      <w:spacing w:before="100" w:beforeAutospacing="1" w:after="100" w:afterAutospacing="1" w:line="240" w:lineRule="auto"/>
      <w:jc w:val="both"/>
    </w:pPr>
    <w:rPr>
      <w:rFonts w:ascii="Times New Roman" w:eastAsia="Times New Roman" w:hAnsi="Times New Roman" w:cs="Times New Roman"/>
      <w:shd w:val="clear" w:color="auto" w:fill="FFFFFF"/>
      <w:lang w:eastAsia="en-GB"/>
    </w:rPr>
  </w:style>
  <w:style w:type="character" w:styleId="Strong">
    <w:name w:val="Strong"/>
    <w:basedOn w:val="DefaultParagraphFont"/>
    <w:uiPriority w:val="22"/>
    <w:qFormat/>
    <w:rsid w:val="0021081E"/>
    <w:rPr>
      <w:b/>
      <w:bCs/>
    </w:rPr>
  </w:style>
  <w:style w:type="character" w:customStyle="1" w:styleId="element-citation">
    <w:name w:val="element-citation"/>
    <w:basedOn w:val="DefaultParagraphFont"/>
    <w:rsid w:val="0021081E"/>
  </w:style>
  <w:style w:type="character" w:customStyle="1" w:styleId="ref-journal">
    <w:name w:val="ref-journal"/>
    <w:basedOn w:val="DefaultParagraphFont"/>
    <w:rsid w:val="0021081E"/>
  </w:style>
  <w:style w:type="character" w:customStyle="1" w:styleId="ref-vol">
    <w:name w:val="ref-vol"/>
    <w:basedOn w:val="DefaultParagraphFont"/>
    <w:rsid w:val="0021081E"/>
  </w:style>
  <w:style w:type="character" w:customStyle="1" w:styleId="nowrap">
    <w:name w:val="nowrap"/>
    <w:basedOn w:val="DefaultParagraphFont"/>
    <w:rsid w:val="0021081E"/>
  </w:style>
  <w:style w:type="character" w:customStyle="1" w:styleId="js-separator">
    <w:name w:val="js-separator"/>
    <w:basedOn w:val="DefaultParagraphFont"/>
    <w:rsid w:val="0021081E"/>
  </w:style>
  <w:style w:type="character" w:customStyle="1" w:styleId="a">
    <w:name w:val="a"/>
    <w:basedOn w:val="DefaultParagraphFont"/>
    <w:rsid w:val="0021081E"/>
  </w:style>
  <w:style w:type="character" w:customStyle="1" w:styleId="small-caps">
    <w:name w:val="small-caps"/>
    <w:basedOn w:val="DefaultParagraphFont"/>
    <w:rsid w:val="0021081E"/>
  </w:style>
  <w:style w:type="character" w:customStyle="1" w:styleId="given-names">
    <w:name w:val="given-names"/>
    <w:basedOn w:val="DefaultParagraphFont"/>
    <w:rsid w:val="0021081E"/>
  </w:style>
  <w:style w:type="character" w:customStyle="1" w:styleId="surname">
    <w:name w:val="surname"/>
    <w:basedOn w:val="DefaultParagraphFont"/>
    <w:rsid w:val="0021081E"/>
  </w:style>
  <w:style w:type="character" w:customStyle="1" w:styleId="year">
    <w:name w:val="year"/>
    <w:basedOn w:val="DefaultParagraphFont"/>
    <w:rsid w:val="0021081E"/>
  </w:style>
  <w:style w:type="character" w:customStyle="1" w:styleId="article-title">
    <w:name w:val="article-title"/>
    <w:basedOn w:val="DefaultParagraphFont"/>
    <w:rsid w:val="0021081E"/>
  </w:style>
  <w:style w:type="character" w:customStyle="1" w:styleId="source">
    <w:name w:val="source"/>
    <w:basedOn w:val="DefaultParagraphFont"/>
    <w:rsid w:val="0021081E"/>
  </w:style>
  <w:style w:type="character" w:customStyle="1" w:styleId="volume">
    <w:name w:val="volume"/>
    <w:basedOn w:val="DefaultParagraphFont"/>
    <w:rsid w:val="0021081E"/>
  </w:style>
  <w:style w:type="character" w:customStyle="1" w:styleId="fpage">
    <w:name w:val="fpage"/>
    <w:basedOn w:val="DefaultParagraphFont"/>
    <w:rsid w:val="0021081E"/>
  </w:style>
  <w:style w:type="character" w:customStyle="1" w:styleId="lpage">
    <w:name w:val="lpage"/>
    <w:basedOn w:val="DefaultParagraphFont"/>
    <w:rsid w:val="0021081E"/>
  </w:style>
  <w:style w:type="character" w:customStyle="1" w:styleId="publisher-loc">
    <w:name w:val="publisher-loc"/>
    <w:basedOn w:val="DefaultParagraphFont"/>
    <w:rsid w:val="0021081E"/>
  </w:style>
  <w:style w:type="character" w:customStyle="1" w:styleId="publisher-name">
    <w:name w:val="publisher-name"/>
    <w:basedOn w:val="DefaultParagraphFont"/>
    <w:rsid w:val="0021081E"/>
  </w:style>
  <w:style w:type="character" w:customStyle="1" w:styleId="cit-name-surname">
    <w:name w:val="cit-name-surname"/>
    <w:basedOn w:val="DefaultParagraphFont"/>
    <w:rsid w:val="0021081E"/>
  </w:style>
  <w:style w:type="character" w:customStyle="1" w:styleId="cit-name-given-names">
    <w:name w:val="cit-name-given-names"/>
    <w:basedOn w:val="DefaultParagraphFont"/>
    <w:rsid w:val="0021081E"/>
  </w:style>
  <w:style w:type="character" w:customStyle="1" w:styleId="cit-etal">
    <w:name w:val="cit-etal"/>
    <w:basedOn w:val="DefaultParagraphFont"/>
    <w:rsid w:val="0021081E"/>
  </w:style>
  <w:style w:type="character" w:customStyle="1" w:styleId="cit-article-title">
    <w:name w:val="cit-article-title"/>
    <w:basedOn w:val="DefaultParagraphFont"/>
    <w:rsid w:val="0021081E"/>
  </w:style>
  <w:style w:type="character" w:customStyle="1" w:styleId="groupname">
    <w:name w:val="groupname"/>
    <w:basedOn w:val="DefaultParagraphFont"/>
    <w:rsid w:val="0021081E"/>
  </w:style>
  <w:style w:type="character" w:customStyle="1" w:styleId="pubyear">
    <w:name w:val="pubyear"/>
    <w:basedOn w:val="DefaultParagraphFont"/>
    <w:rsid w:val="0021081E"/>
  </w:style>
  <w:style w:type="character" w:customStyle="1" w:styleId="booktitle">
    <w:name w:val="booktitle"/>
    <w:basedOn w:val="DefaultParagraphFont"/>
    <w:rsid w:val="0021081E"/>
  </w:style>
  <w:style w:type="character" w:customStyle="1" w:styleId="tablecaption-label">
    <w:name w:val="table__caption-label"/>
    <w:basedOn w:val="DefaultParagraphFont"/>
    <w:rsid w:val="0021081E"/>
  </w:style>
  <w:style w:type="character" w:customStyle="1" w:styleId="author">
    <w:name w:val="author"/>
    <w:basedOn w:val="DefaultParagraphFont"/>
    <w:rsid w:val="0021081E"/>
  </w:style>
  <w:style w:type="character" w:customStyle="1" w:styleId="chaptertitle">
    <w:name w:val="chaptertitle"/>
    <w:basedOn w:val="DefaultParagraphFont"/>
    <w:rsid w:val="0021081E"/>
  </w:style>
  <w:style w:type="character" w:customStyle="1" w:styleId="editor">
    <w:name w:val="editor"/>
    <w:basedOn w:val="DefaultParagraphFont"/>
    <w:rsid w:val="0021081E"/>
  </w:style>
  <w:style w:type="character" w:customStyle="1" w:styleId="pagefirst">
    <w:name w:val="pagefirst"/>
    <w:basedOn w:val="DefaultParagraphFont"/>
    <w:rsid w:val="0021081E"/>
  </w:style>
  <w:style w:type="character" w:customStyle="1" w:styleId="pagelast">
    <w:name w:val="pagelast"/>
    <w:basedOn w:val="DefaultParagraphFont"/>
    <w:rsid w:val="0021081E"/>
  </w:style>
  <w:style w:type="paragraph" w:styleId="Header">
    <w:name w:val="header"/>
    <w:basedOn w:val="Normal"/>
    <w:link w:val="HeaderChar"/>
    <w:uiPriority w:val="99"/>
    <w:unhideWhenUsed/>
    <w:rsid w:val="0021081E"/>
    <w:pPr>
      <w:tabs>
        <w:tab w:val="center" w:pos="4513"/>
        <w:tab w:val="right" w:pos="9026"/>
      </w:tabs>
      <w:spacing w:after="0" w:line="240" w:lineRule="auto"/>
      <w:jc w:val="both"/>
    </w:pPr>
    <w:rPr>
      <w:rFonts w:eastAsiaTheme="minorEastAsia" w:cstheme="minorHAnsi"/>
      <w:shd w:val="clear" w:color="auto" w:fill="FFFFFF"/>
      <w:lang w:eastAsia="en-GB"/>
    </w:rPr>
  </w:style>
  <w:style w:type="character" w:customStyle="1" w:styleId="HeaderChar">
    <w:name w:val="Header Char"/>
    <w:basedOn w:val="DefaultParagraphFont"/>
    <w:link w:val="Header"/>
    <w:uiPriority w:val="99"/>
    <w:rsid w:val="0021081E"/>
    <w:rPr>
      <w:rFonts w:eastAsiaTheme="minorEastAsia" w:cstheme="minorHAnsi"/>
      <w:sz w:val="24"/>
      <w:szCs w:val="24"/>
      <w:lang w:eastAsia="en-GB"/>
    </w:rPr>
  </w:style>
  <w:style w:type="paragraph" w:styleId="Footer">
    <w:name w:val="footer"/>
    <w:basedOn w:val="Normal"/>
    <w:link w:val="FooterChar"/>
    <w:uiPriority w:val="99"/>
    <w:unhideWhenUsed/>
    <w:rsid w:val="0021081E"/>
    <w:pPr>
      <w:tabs>
        <w:tab w:val="center" w:pos="4513"/>
        <w:tab w:val="right" w:pos="9026"/>
      </w:tabs>
      <w:spacing w:after="0" w:line="240" w:lineRule="auto"/>
      <w:jc w:val="both"/>
    </w:pPr>
    <w:rPr>
      <w:rFonts w:eastAsiaTheme="minorEastAsia" w:cstheme="minorHAnsi"/>
      <w:shd w:val="clear" w:color="auto" w:fill="FFFFFF"/>
      <w:lang w:eastAsia="en-GB"/>
    </w:rPr>
  </w:style>
  <w:style w:type="character" w:customStyle="1" w:styleId="FooterChar">
    <w:name w:val="Footer Char"/>
    <w:basedOn w:val="DefaultParagraphFont"/>
    <w:link w:val="Footer"/>
    <w:uiPriority w:val="99"/>
    <w:rsid w:val="0021081E"/>
    <w:rPr>
      <w:rFonts w:eastAsiaTheme="minorEastAsia" w:cstheme="minorHAnsi"/>
      <w:sz w:val="24"/>
      <w:szCs w:val="24"/>
      <w:lang w:eastAsia="en-GB"/>
    </w:rPr>
  </w:style>
  <w:style w:type="paragraph" w:styleId="Revision">
    <w:name w:val="Revision"/>
    <w:hidden/>
    <w:uiPriority w:val="99"/>
    <w:semiHidden/>
    <w:rsid w:val="0021081E"/>
    <w:pPr>
      <w:spacing w:after="0" w:line="240" w:lineRule="auto"/>
    </w:pPr>
    <w:rPr>
      <w:sz w:val="24"/>
      <w:szCs w:val="24"/>
    </w:rPr>
  </w:style>
  <w:style w:type="table" w:styleId="LightShading-Accent6">
    <w:name w:val="Light Shading Accent 6"/>
    <w:basedOn w:val="TableNormal"/>
    <w:uiPriority w:val="60"/>
    <w:rsid w:val="0021081E"/>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customStyle="1" w:styleId="ref-title">
    <w:name w:val="ref-title"/>
    <w:basedOn w:val="DefaultParagraphFont"/>
    <w:rsid w:val="0021081E"/>
  </w:style>
  <w:style w:type="character" w:customStyle="1" w:styleId="hlfld-contribauthor">
    <w:name w:val="hlfld-contribauthor"/>
    <w:basedOn w:val="DefaultParagraphFont"/>
    <w:rsid w:val="0021081E"/>
  </w:style>
  <w:style w:type="character" w:customStyle="1" w:styleId="nlmgiven-names">
    <w:name w:val="nlm_given-names"/>
    <w:basedOn w:val="DefaultParagraphFont"/>
    <w:rsid w:val="0021081E"/>
  </w:style>
  <w:style w:type="character" w:customStyle="1" w:styleId="nlmyear">
    <w:name w:val="nlm_year"/>
    <w:basedOn w:val="DefaultParagraphFont"/>
    <w:rsid w:val="0021081E"/>
  </w:style>
  <w:style w:type="character" w:customStyle="1" w:styleId="nlmarticle-title">
    <w:name w:val="nlm_article-title"/>
    <w:basedOn w:val="DefaultParagraphFont"/>
    <w:rsid w:val="0021081E"/>
  </w:style>
  <w:style w:type="character" w:customStyle="1" w:styleId="nlmfpage">
    <w:name w:val="nlm_fpage"/>
    <w:basedOn w:val="DefaultParagraphFont"/>
    <w:rsid w:val="0021081E"/>
  </w:style>
  <w:style w:type="character" w:customStyle="1" w:styleId="nlmlpage">
    <w:name w:val="nlm_lpage"/>
    <w:basedOn w:val="DefaultParagraphFont"/>
    <w:rsid w:val="0021081E"/>
  </w:style>
  <w:style w:type="character" w:customStyle="1" w:styleId="ref-authors">
    <w:name w:val="ref-authors"/>
    <w:basedOn w:val="DefaultParagraphFont"/>
    <w:rsid w:val="0021081E"/>
  </w:style>
  <w:style w:type="character" w:customStyle="1" w:styleId="ref-host">
    <w:name w:val="ref-host"/>
    <w:basedOn w:val="DefaultParagraphFont"/>
    <w:rsid w:val="0021081E"/>
  </w:style>
  <w:style w:type="character" w:customStyle="1" w:styleId="articletitle">
    <w:name w:val="articletitle"/>
    <w:basedOn w:val="DefaultParagraphFont"/>
    <w:rsid w:val="0021081E"/>
  </w:style>
  <w:style w:type="table" w:customStyle="1" w:styleId="TableGridLight2">
    <w:name w:val="Table Grid Light2"/>
    <w:basedOn w:val="TableNormal"/>
    <w:uiPriority w:val="40"/>
    <w:rsid w:val="00210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Shading1">
    <w:name w:val="Light Shading1"/>
    <w:basedOn w:val="TableNormal"/>
    <w:uiPriority w:val="60"/>
    <w:rsid w:val="002108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List1">
    <w:name w:val="Light List1"/>
    <w:basedOn w:val="TableNormal"/>
    <w:uiPriority w:val="61"/>
    <w:rsid w:val="002108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Light1">
    <w:name w:val="Table Grid Light1"/>
    <w:basedOn w:val="TableNormal"/>
    <w:uiPriority w:val="40"/>
    <w:rsid w:val="002108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21081E"/>
    <w:rPr>
      <w:color w:val="808080"/>
    </w:rPr>
  </w:style>
  <w:style w:type="table" w:customStyle="1" w:styleId="PlainTable31">
    <w:name w:val="Plain Table 31"/>
    <w:basedOn w:val="TableNormal"/>
    <w:uiPriority w:val="43"/>
    <w:rsid w:val="0021081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2108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urrent-selection">
    <w:name w:val="current-selection"/>
    <w:basedOn w:val="DefaultParagraphFont"/>
    <w:rsid w:val="0021081E"/>
  </w:style>
  <w:style w:type="character" w:customStyle="1" w:styleId="a0">
    <w:name w:val="_"/>
    <w:basedOn w:val="DefaultParagraphFont"/>
    <w:rsid w:val="0021081E"/>
  </w:style>
  <w:style w:type="character" w:customStyle="1" w:styleId="ls2b">
    <w:name w:val="ls2b"/>
    <w:basedOn w:val="DefaultParagraphFont"/>
    <w:rsid w:val="0021081E"/>
  </w:style>
  <w:style w:type="paragraph" w:styleId="TOCHeading">
    <w:name w:val="TOC Heading"/>
    <w:basedOn w:val="Heading1"/>
    <w:next w:val="Normal"/>
    <w:uiPriority w:val="39"/>
    <w:unhideWhenUsed/>
    <w:qFormat/>
    <w:rsid w:val="0021081E"/>
    <w:pPr>
      <w:keepNext/>
      <w:keepLines/>
      <w:numPr>
        <w:numId w:val="0"/>
      </w:numPr>
      <w:spacing w:before="240" w:after="0"/>
      <w:contextualSpacing w:val="0"/>
      <w:outlineLvl w:val="9"/>
    </w:pPr>
    <w:rPr>
      <w:rFonts w:asciiTheme="majorHAnsi" w:eastAsiaTheme="majorEastAsia" w:hAnsiTheme="majorHAnsi" w:cstheme="majorBidi"/>
      <w:color w:val="2E74B5" w:themeColor="accent1" w:themeShade="BF"/>
      <w:sz w:val="32"/>
      <w:szCs w:val="32"/>
      <w:lang w:val="en-US"/>
    </w:rPr>
  </w:style>
  <w:style w:type="paragraph" w:styleId="TOC1">
    <w:name w:val="toc 1"/>
    <w:basedOn w:val="Normal"/>
    <w:next w:val="Normal"/>
    <w:autoRedefine/>
    <w:uiPriority w:val="39"/>
    <w:unhideWhenUsed/>
    <w:rsid w:val="0021081E"/>
    <w:pPr>
      <w:tabs>
        <w:tab w:val="left" w:pos="480"/>
        <w:tab w:val="right" w:leader="dot" w:pos="8777"/>
      </w:tabs>
      <w:spacing w:after="100" w:line="360" w:lineRule="auto"/>
      <w:jc w:val="both"/>
    </w:pPr>
    <w:rPr>
      <w:rFonts w:eastAsia="Adobe Song Std L" w:cstheme="minorHAnsi"/>
      <w:b/>
      <w:shd w:val="clear" w:color="auto" w:fill="FFFFFF"/>
      <w:lang w:eastAsia="en-GB"/>
    </w:rPr>
  </w:style>
  <w:style w:type="paragraph" w:styleId="TOC2">
    <w:name w:val="toc 2"/>
    <w:basedOn w:val="Normal"/>
    <w:next w:val="Normal"/>
    <w:autoRedefine/>
    <w:uiPriority w:val="39"/>
    <w:unhideWhenUsed/>
    <w:rsid w:val="0021081E"/>
    <w:pPr>
      <w:spacing w:after="100" w:line="360" w:lineRule="auto"/>
      <w:ind w:left="240"/>
      <w:jc w:val="both"/>
    </w:pPr>
    <w:rPr>
      <w:rFonts w:eastAsiaTheme="minorEastAsia" w:cstheme="minorHAnsi"/>
      <w:shd w:val="clear" w:color="auto" w:fill="FFFFFF"/>
      <w:lang w:eastAsia="en-GB"/>
    </w:rPr>
  </w:style>
  <w:style w:type="paragraph" w:styleId="TOC3">
    <w:name w:val="toc 3"/>
    <w:basedOn w:val="Normal"/>
    <w:next w:val="Normal"/>
    <w:autoRedefine/>
    <w:uiPriority w:val="39"/>
    <w:unhideWhenUsed/>
    <w:rsid w:val="0021081E"/>
    <w:pPr>
      <w:spacing w:after="100" w:line="360" w:lineRule="auto"/>
      <w:ind w:left="480"/>
      <w:jc w:val="both"/>
    </w:pPr>
    <w:rPr>
      <w:rFonts w:eastAsiaTheme="minorEastAsia" w:cstheme="minorHAnsi"/>
      <w:shd w:val="clear" w:color="auto" w:fill="FFFFFF"/>
      <w:lang w:eastAsia="en-GB"/>
    </w:rPr>
  </w:style>
  <w:style w:type="paragraph" w:styleId="TOC4">
    <w:name w:val="toc 4"/>
    <w:basedOn w:val="Normal"/>
    <w:next w:val="Normal"/>
    <w:autoRedefine/>
    <w:uiPriority w:val="39"/>
    <w:unhideWhenUsed/>
    <w:rsid w:val="0021081E"/>
    <w:pPr>
      <w:spacing w:after="100"/>
      <w:ind w:left="660"/>
    </w:pPr>
    <w:rPr>
      <w:rFonts w:eastAsiaTheme="minorEastAsia"/>
      <w:sz w:val="22"/>
      <w:szCs w:val="22"/>
      <w:lang w:eastAsia="en-GB"/>
    </w:rPr>
  </w:style>
  <w:style w:type="paragraph" w:styleId="TOC5">
    <w:name w:val="toc 5"/>
    <w:basedOn w:val="Normal"/>
    <w:next w:val="Normal"/>
    <w:autoRedefine/>
    <w:uiPriority w:val="39"/>
    <w:unhideWhenUsed/>
    <w:rsid w:val="0021081E"/>
    <w:pPr>
      <w:spacing w:after="100"/>
      <w:ind w:left="880"/>
    </w:pPr>
    <w:rPr>
      <w:rFonts w:eastAsiaTheme="minorEastAsia"/>
      <w:sz w:val="22"/>
      <w:szCs w:val="22"/>
      <w:lang w:eastAsia="en-GB"/>
    </w:rPr>
  </w:style>
  <w:style w:type="paragraph" w:styleId="TOC6">
    <w:name w:val="toc 6"/>
    <w:basedOn w:val="Normal"/>
    <w:next w:val="Normal"/>
    <w:autoRedefine/>
    <w:uiPriority w:val="39"/>
    <w:unhideWhenUsed/>
    <w:rsid w:val="0021081E"/>
    <w:pPr>
      <w:spacing w:after="100"/>
      <w:ind w:left="1100"/>
    </w:pPr>
    <w:rPr>
      <w:rFonts w:eastAsiaTheme="minorEastAsia"/>
      <w:sz w:val="22"/>
      <w:szCs w:val="22"/>
      <w:lang w:eastAsia="en-GB"/>
    </w:rPr>
  </w:style>
  <w:style w:type="paragraph" w:styleId="TOC7">
    <w:name w:val="toc 7"/>
    <w:basedOn w:val="Normal"/>
    <w:next w:val="Normal"/>
    <w:autoRedefine/>
    <w:uiPriority w:val="39"/>
    <w:unhideWhenUsed/>
    <w:rsid w:val="0021081E"/>
    <w:pPr>
      <w:spacing w:after="100"/>
      <w:ind w:left="1320"/>
    </w:pPr>
    <w:rPr>
      <w:rFonts w:eastAsiaTheme="minorEastAsia"/>
      <w:sz w:val="22"/>
      <w:szCs w:val="22"/>
      <w:lang w:eastAsia="en-GB"/>
    </w:rPr>
  </w:style>
  <w:style w:type="paragraph" w:styleId="TOC8">
    <w:name w:val="toc 8"/>
    <w:basedOn w:val="Normal"/>
    <w:next w:val="Normal"/>
    <w:autoRedefine/>
    <w:uiPriority w:val="39"/>
    <w:unhideWhenUsed/>
    <w:rsid w:val="0021081E"/>
    <w:pPr>
      <w:spacing w:after="100"/>
      <w:ind w:left="1540"/>
    </w:pPr>
    <w:rPr>
      <w:rFonts w:eastAsiaTheme="minorEastAsia"/>
      <w:sz w:val="22"/>
      <w:szCs w:val="22"/>
      <w:lang w:eastAsia="en-GB"/>
    </w:rPr>
  </w:style>
  <w:style w:type="paragraph" w:styleId="TOC9">
    <w:name w:val="toc 9"/>
    <w:basedOn w:val="Normal"/>
    <w:next w:val="Normal"/>
    <w:autoRedefine/>
    <w:uiPriority w:val="39"/>
    <w:unhideWhenUsed/>
    <w:rsid w:val="0021081E"/>
    <w:pPr>
      <w:spacing w:after="100"/>
      <w:ind w:left="1760"/>
    </w:pPr>
    <w:rPr>
      <w:rFonts w:eastAsiaTheme="minorEastAsia"/>
      <w:sz w:val="22"/>
      <w:szCs w:val="22"/>
      <w:lang w:eastAsia="en-GB"/>
    </w:rPr>
  </w:style>
  <w:style w:type="character" w:customStyle="1" w:styleId="Mention1">
    <w:name w:val="Mention1"/>
    <w:basedOn w:val="DefaultParagraphFont"/>
    <w:uiPriority w:val="99"/>
    <w:semiHidden/>
    <w:unhideWhenUsed/>
    <w:rsid w:val="0021081E"/>
    <w:rPr>
      <w:color w:val="2B579A"/>
      <w:shd w:val="clear" w:color="auto" w:fill="E6E6E6"/>
    </w:rPr>
  </w:style>
  <w:style w:type="paragraph" w:styleId="TableofFigures">
    <w:name w:val="table of figures"/>
    <w:basedOn w:val="Normal"/>
    <w:next w:val="Normal"/>
    <w:uiPriority w:val="99"/>
    <w:unhideWhenUsed/>
    <w:rsid w:val="0021081E"/>
    <w:pPr>
      <w:spacing w:after="0" w:line="360" w:lineRule="auto"/>
      <w:jc w:val="both"/>
    </w:pPr>
    <w:rPr>
      <w:rFonts w:eastAsiaTheme="minorEastAsia" w:cstheme="minorHAnsi"/>
      <w:shd w:val="clear" w:color="auto" w:fill="FFFFFF"/>
      <w:lang w:eastAsia="en-GB"/>
    </w:rPr>
  </w:style>
  <w:style w:type="character" w:styleId="LineNumber">
    <w:name w:val="line number"/>
    <w:basedOn w:val="DefaultParagraphFont"/>
    <w:uiPriority w:val="99"/>
    <w:semiHidden/>
    <w:unhideWhenUsed/>
    <w:rsid w:val="00F87408"/>
  </w:style>
  <w:style w:type="paragraph" w:styleId="FootnoteText">
    <w:name w:val="footnote text"/>
    <w:basedOn w:val="Normal"/>
    <w:link w:val="FootnoteTextChar"/>
    <w:uiPriority w:val="99"/>
    <w:semiHidden/>
    <w:unhideWhenUsed/>
    <w:rsid w:val="00884B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4BB1"/>
    <w:rPr>
      <w:sz w:val="20"/>
      <w:szCs w:val="20"/>
    </w:rPr>
  </w:style>
  <w:style w:type="character" w:styleId="FootnoteReference">
    <w:name w:val="footnote reference"/>
    <w:basedOn w:val="DefaultParagraphFont"/>
    <w:uiPriority w:val="99"/>
    <w:semiHidden/>
    <w:unhideWhenUsed/>
    <w:rsid w:val="00884BB1"/>
    <w:rPr>
      <w:vertAlign w:val="superscript"/>
    </w:rPr>
  </w:style>
  <w:style w:type="paragraph" w:styleId="Bibliography">
    <w:name w:val="Bibliography"/>
    <w:basedOn w:val="Normal"/>
    <w:next w:val="Normal"/>
    <w:uiPriority w:val="37"/>
    <w:unhideWhenUsed/>
    <w:rsid w:val="008122BE"/>
    <w:pPr>
      <w:spacing w:after="24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1934">
      <w:bodyDiv w:val="1"/>
      <w:marLeft w:val="0"/>
      <w:marRight w:val="0"/>
      <w:marTop w:val="0"/>
      <w:marBottom w:val="0"/>
      <w:divBdr>
        <w:top w:val="none" w:sz="0" w:space="0" w:color="auto"/>
        <w:left w:val="none" w:sz="0" w:space="0" w:color="auto"/>
        <w:bottom w:val="none" w:sz="0" w:space="0" w:color="auto"/>
        <w:right w:val="none" w:sz="0" w:space="0" w:color="auto"/>
      </w:divBdr>
    </w:div>
    <w:div w:id="103228750">
      <w:bodyDiv w:val="1"/>
      <w:marLeft w:val="0"/>
      <w:marRight w:val="0"/>
      <w:marTop w:val="0"/>
      <w:marBottom w:val="0"/>
      <w:divBdr>
        <w:top w:val="none" w:sz="0" w:space="0" w:color="auto"/>
        <w:left w:val="none" w:sz="0" w:space="0" w:color="auto"/>
        <w:bottom w:val="none" w:sz="0" w:space="0" w:color="auto"/>
        <w:right w:val="none" w:sz="0" w:space="0" w:color="auto"/>
      </w:divBdr>
    </w:div>
    <w:div w:id="217325595">
      <w:bodyDiv w:val="1"/>
      <w:marLeft w:val="0"/>
      <w:marRight w:val="0"/>
      <w:marTop w:val="0"/>
      <w:marBottom w:val="0"/>
      <w:divBdr>
        <w:top w:val="none" w:sz="0" w:space="0" w:color="auto"/>
        <w:left w:val="none" w:sz="0" w:space="0" w:color="auto"/>
        <w:bottom w:val="none" w:sz="0" w:space="0" w:color="auto"/>
        <w:right w:val="none" w:sz="0" w:space="0" w:color="auto"/>
      </w:divBdr>
    </w:div>
    <w:div w:id="242763625">
      <w:bodyDiv w:val="1"/>
      <w:marLeft w:val="0"/>
      <w:marRight w:val="0"/>
      <w:marTop w:val="0"/>
      <w:marBottom w:val="0"/>
      <w:divBdr>
        <w:top w:val="none" w:sz="0" w:space="0" w:color="auto"/>
        <w:left w:val="none" w:sz="0" w:space="0" w:color="auto"/>
        <w:bottom w:val="none" w:sz="0" w:space="0" w:color="auto"/>
        <w:right w:val="none" w:sz="0" w:space="0" w:color="auto"/>
      </w:divBdr>
    </w:div>
    <w:div w:id="370230762">
      <w:bodyDiv w:val="1"/>
      <w:marLeft w:val="0"/>
      <w:marRight w:val="0"/>
      <w:marTop w:val="0"/>
      <w:marBottom w:val="0"/>
      <w:divBdr>
        <w:top w:val="none" w:sz="0" w:space="0" w:color="auto"/>
        <w:left w:val="none" w:sz="0" w:space="0" w:color="auto"/>
        <w:bottom w:val="none" w:sz="0" w:space="0" w:color="auto"/>
        <w:right w:val="none" w:sz="0" w:space="0" w:color="auto"/>
      </w:divBdr>
    </w:div>
    <w:div w:id="627593638">
      <w:bodyDiv w:val="1"/>
      <w:marLeft w:val="0"/>
      <w:marRight w:val="0"/>
      <w:marTop w:val="0"/>
      <w:marBottom w:val="0"/>
      <w:divBdr>
        <w:top w:val="none" w:sz="0" w:space="0" w:color="auto"/>
        <w:left w:val="none" w:sz="0" w:space="0" w:color="auto"/>
        <w:bottom w:val="none" w:sz="0" w:space="0" w:color="auto"/>
        <w:right w:val="none" w:sz="0" w:space="0" w:color="auto"/>
      </w:divBdr>
    </w:div>
    <w:div w:id="901721974">
      <w:bodyDiv w:val="1"/>
      <w:marLeft w:val="0"/>
      <w:marRight w:val="0"/>
      <w:marTop w:val="0"/>
      <w:marBottom w:val="0"/>
      <w:divBdr>
        <w:top w:val="none" w:sz="0" w:space="0" w:color="auto"/>
        <w:left w:val="none" w:sz="0" w:space="0" w:color="auto"/>
        <w:bottom w:val="none" w:sz="0" w:space="0" w:color="auto"/>
        <w:right w:val="none" w:sz="0" w:space="0" w:color="auto"/>
      </w:divBdr>
    </w:div>
    <w:div w:id="1167406897">
      <w:bodyDiv w:val="1"/>
      <w:marLeft w:val="0"/>
      <w:marRight w:val="0"/>
      <w:marTop w:val="0"/>
      <w:marBottom w:val="0"/>
      <w:divBdr>
        <w:top w:val="none" w:sz="0" w:space="0" w:color="auto"/>
        <w:left w:val="none" w:sz="0" w:space="0" w:color="auto"/>
        <w:bottom w:val="none" w:sz="0" w:space="0" w:color="auto"/>
        <w:right w:val="none" w:sz="0" w:space="0" w:color="auto"/>
      </w:divBdr>
    </w:div>
    <w:div w:id="1198540067">
      <w:bodyDiv w:val="1"/>
      <w:marLeft w:val="0"/>
      <w:marRight w:val="0"/>
      <w:marTop w:val="0"/>
      <w:marBottom w:val="0"/>
      <w:divBdr>
        <w:top w:val="none" w:sz="0" w:space="0" w:color="auto"/>
        <w:left w:val="none" w:sz="0" w:space="0" w:color="auto"/>
        <w:bottom w:val="none" w:sz="0" w:space="0" w:color="auto"/>
        <w:right w:val="none" w:sz="0" w:space="0" w:color="auto"/>
      </w:divBdr>
    </w:div>
    <w:div w:id="1279336828">
      <w:bodyDiv w:val="1"/>
      <w:marLeft w:val="0"/>
      <w:marRight w:val="0"/>
      <w:marTop w:val="0"/>
      <w:marBottom w:val="0"/>
      <w:divBdr>
        <w:top w:val="none" w:sz="0" w:space="0" w:color="auto"/>
        <w:left w:val="none" w:sz="0" w:space="0" w:color="auto"/>
        <w:bottom w:val="none" w:sz="0" w:space="0" w:color="auto"/>
        <w:right w:val="none" w:sz="0" w:space="0" w:color="auto"/>
      </w:divBdr>
    </w:div>
    <w:div w:id="1446194283">
      <w:bodyDiv w:val="1"/>
      <w:marLeft w:val="0"/>
      <w:marRight w:val="0"/>
      <w:marTop w:val="0"/>
      <w:marBottom w:val="0"/>
      <w:divBdr>
        <w:top w:val="none" w:sz="0" w:space="0" w:color="auto"/>
        <w:left w:val="none" w:sz="0" w:space="0" w:color="auto"/>
        <w:bottom w:val="none" w:sz="0" w:space="0" w:color="auto"/>
        <w:right w:val="none" w:sz="0" w:space="0" w:color="auto"/>
      </w:divBdr>
    </w:div>
    <w:div w:id="1581284819">
      <w:bodyDiv w:val="1"/>
      <w:marLeft w:val="0"/>
      <w:marRight w:val="0"/>
      <w:marTop w:val="0"/>
      <w:marBottom w:val="0"/>
      <w:divBdr>
        <w:top w:val="none" w:sz="0" w:space="0" w:color="auto"/>
        <w:left w:val="none" w:sz="0" w:space="0" w:color="auto"/>
        <w:bottom w:val="none" w:sz="0" w:space="0" w:color="auto"/>
        <w:right w:val="none" w:sz="0" w:space="0" w:color="auto"/>
      </w:divBdr>
    </w:div>
    <w:div w:id="1659845153">
      <w:bodyDiv w:val="1"/>
      <w:marLeft w:val="0"/>
      <w:marRight w:val="0"/>
      <w:marTop w:val="0"/>
      <w:marBottom w:val="0"/>
      <w:divBdr>
        <w:top w:val="none" w:sz="0" w:space="0" w:color="auto"/>
        <w:left w:val="none" w:sz="0" w:space="0" w:color="auto"/>
        <w:bottom w:val="none" w:sz="0" w:space="0" w:color="auto"/>
        <w:right w:val="none" w:sz="0" w:space="0" w:color="auto"/>
      </w:divBdr>
    </w:div>
    <w:div w:id="1885173437">
      <w:bodyDiv w:val="1"/>
      <w:marLeft w:val="0"/>
      <w:marRight w:val="0"/>
      <w:marTop w:val="0"/>
      <w:marBottom w:val="0"/>
      <w:divBdr>
        <w:top w:val="none" w:sz="0" w:space="0" w:color="auto"/>
        <w:left w:val="none" w:sz="0" w:space="0" w:color="auto"/>
        <w:bottom w:val="none" w:sz="0" w:space="0" w:color="auto"/>
        <w:right w:val="none" w:sz="0" w:space="0" w:color="auto"/>
      </w:divBdr>
    </w:div>
    <w:div w:id="2002931386">
      <w:bodyDiv w:val="1"/>
      <w:marLeft w:val="0"/>
      <w:marRight w:val="0"/>
      <w:marTop w:val="0"/>
      <w:marBottom w:val="0"/>
      <w:divBdr>
        <w:top w:val="none" w:sz="0" w:space="0" w:color="auto"/>
        <w:left w:val="none" w:sz="0" w:space="0" w:color="auto"/>
        <w:bottom w:val="none" w:sz="0" w:space="0" w:color="auto"/>
        <w:right w:val="none" w:sz="0" w:space="0" w:color="auto"/>
      </w:divBdr>
    </w:div>
    <w:div w:id="2011253747">
      <w:bodyDiv w:val="1"/>
      <w:marLeft w:val="0"/>
      <w:marRight w:val="0"/>
      <w:marTop w:val="0"/>
      <w:marBottom w:val="0"/>
      <w:divBdr>
        <w:top w:val="none" w:sz="0" w:space="0" w:color="auto"/>
        <w:left w:val="none" w:sz="0" w:space="0" w:color="auto"/>
        <w:bottom w:val="none" w:sz="0" w:space="0" w:color="auto"/>
        <w:right w:val="none" w:sz="0" w:space="0" w:color="auto"/>
      </w:divBdr>
      <w:divsChild>
        <w:div w:id="2122259857">
          <w:marLeft w:val="0"/>
          <w:marRight w:val="0"/>
          <w:marTop w:val="0"/>
          <w:marBottom w:val="0"/>
          <w:divBdr>
            <w:top w:val="none" w:sz="0" w:space="0" w:color="auto"/>
            <w:left w:val="none" w:sz="0" w:space="0" w:color="auto"/>
            <w:bottom w:val="none" w:sz="0" w:space="0" w:color="auto"/>
            <w:right w:val="none" w:sz="0" w:space="0" w:color="auto"/>
          </w:divBdr>
        </w:div>
        <w:div w:id="1271476586">
          <w:marLeft w:val="0"/>
          <w:marRight w:val="0"/>
          <w:marTop w:val="0"/>
          <w:marBottom w:val="0"/>
          <w:divBdr>
            <w:top w:val="none" w:sz="0" w:space="0" w:color="auto"/>
            <w:left w:val="none" w:sz="0" w:space="0" w:color="auto"/>
            <w:bottom w:val="none" w:sz="0" w:space="0" w:color="auto"/>
            <w:right w:val="none" w:sz="0" w:space="0" w:color="auto"/>
          </w:divBdr>
        </w:div>
        <w:div w:id="883559092">
          <w:marLeft w:val="0"/>
          <w:marRight w:val="0"/>
          <w:marTop w:val="0"/>
          <w:marBottom w:val="0"/>
          <w:divBdr>
            <w:top w:val="none" w:sz="0" w:space="0" w:color="auto"/>
            <w:left w:val="none" w:sz="0" w:space="0" w:color="auto"/>
            <w:bottom w:val="none" w:sz="0" w:space="0" w:color="auto"/>
            <w:right w:val="none" w:sz="0" w:space="0" w:color="auto"/>
          </w:divBdr>
        </w:div>
        <w:div w:id="759908578">
          <w:marLeft w:val="0"/>
          <w:marRight w:val="0"/>
          <w:marTop w:val="0"/>
          <w:marBottom w:val="0"/>
          <w:divBdr>
            <w:top w:val="none" w:sz="0" w:space="0" w:color="auto"/>
            <w:left w:val="none" w:sz="0" w:space="0" w:color="auto"/>
            <w:bottom w:val="none" w:sz="0" w:space="0" w:color="auto"/>
            <w:right w:val="none" w:sz="0" w:space="0" w:color="auto"/>
          </w:divBdr>
        </w:div>
        <w:div w:id="770317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zanne.harris@crick.ac.uk" TargetMode="External"/><Relationship Id="rId13" Type="http://schemas.openxmlformats.org/officeDocument/2006/relationships/oleObject" Target="embeddings/oleObject2.bin"/><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CB5BA-494E-4909-9E3F-875E12667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21254</Words>
  <Characters>121149</Characters>
  <Application>Microsoft Office Word</Application>
  <DocSecurity>4</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142119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Suzanne Harris</dc:creator>
  <cp:lastModifiedBy>Chris Whitfield</cp:lastModifiedBy>
  <cp:revision>2</cp:revision>
  <dcterms:created xsi:type="dcterms:W3CDTF">2019-12-09T14:41:00Z</dcterms:created>
  <dcterms:modified xsi:type="dcterms:W3CDTF">2019-12-09T14:41:00Z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zotero-version="5.0.73"&gt;&lt;session id="unXNvC0W"/&gt;&lt;style id="http://www.zotero.org/styles/cell" hasBibliography="1" bibliographyStyleHasBeenSet="1"/&gt;&lt;prefs&gt;&lt;pref name="fieldType" value="Field"/&gt;&lt;pref name="automaticJournalAbbreviation</vt:lpwstr>
  </property>
  <property fmtid="{D5CDD505-2E9C-101B-9397-08002B2CF9AE}" pid="3" name="ZOTERO_PREF_2">
    <vt:lpwstr>s" value="true"/&gt;&lt;/prefs&gt;&lt;/data&gt;</vt:lpwstr>
  </property>
</Properties>
</file>