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91156" w14:textId="3046D712" w:rsidR="00DB4C5C" w:rsidRPr="00860424" w:rsidRDefault="00AF39CD" w:rsidP="00E627AF">
      <w:pPr>
        <w:spacing w:line="360" w:lineRule="auto"/>
      </w:pPr>
      <w:bookmarkStart w:id="0" w:name="_GoBack"/>
      <w:r>
        <w:t xml:space="preserve">Changes of </w:t>
      </w:r>
      <w:r w:rsidR="00E96379" w:rsidRPr="00860424">
        <w:t>oxygen isotope values of soil P pools</w:t>
      </w:r>
      <w:r>
        <w:t xml:space="preserve"> associated with changes in soil pH</w:t>
      </w:r>
    </w:p>
    <w:p w14:paraId="4C1B0E45" w14:textId="11EA7F86" w:rsidR="00AE2FE7" w:rsidRPr="00860424" w:rsidRDefault="00AE2FE7" w:rsidP="00E627AF">
      <w:pPr>
        <w:spacing w:line="360" w:lineRule="auto"/>
      </w:pPr>
      <w:r w:rsidRPr="00860424">
        <w:t xml:space="preserve">Verena </w:t>
      </w:r>
      <w:proofErr w:type="spellStart"/>
      <w:r w:rsidRPr="00860424">
        <w:t>Pfahler</w:t>
      </w:r>
      <w:r w:rsidR="00B41A9A" w:rsidRPr="00860424">
        <w:rPr>
          <w:vertAlign w:val="superscript"/>
        </w:rPr>
        <w:t>a</w:t>
      </w:r>
      <w:proofErr w:type="spellEnd"/>
      <w:r w:rsidR="00B41A9A" w:rsidRPr="00860424">
        <w:rPr>
          <w:vertAlign w:val="superscript"/>
        </w:rPr>
        <w:t>*</w:t>
      </w:r>
      <w:r w:rsidRPr="00860424">
        <w:t>,</w:t>
      </w:r>
      <w:r w:rsidR="00D87662" w:rsidRPr="00860424">
        <w:t xml:space="preserve"> Andy </w:t>
      </w:r>
      <w:proofErr w:type="spellStart"/>
      <w:r w:rsidR="00D87662" w:rsidRPr="00860424">
        <w:t>Mac</w:t>
      </w:r>
      <w:r w:rsidR="003415F0" w:rsidRPr="00860424">
        <w:t>d</w:t>
      </w:r>
      <w:r w:rsidR="00D87662" w:rsidRPr="00860424">
        <w:t>onald</w:t>
      </w:r>
      <w:r w:rsidR="00B41A9A" w:rsidRPr="00860424">
        <w:rPr>
          <w:vertAlign w:val="superscript"/>
        </w:rPr>
        <w:t>b</w:t>
      </w:r>
      <w:proofErr w:type="spellEnd"/>
      <w:r w:rsidR="00D87662" w:rsidRPr="00860424">
        <w:t>,</w:t>
      </w:r>
      <w:r w:rsidRPr="00860424">
        <w:t xml:space="preserve"> </w:t>
      </w:r>
      <w:r w:rsidR="00BA702E">
        <w:t xml:space="preserve">Andrew </w:t>
      </w:r>
      <w:proofErr w:type="spellStart"/>
      <w:r w:rsidR="00BA702E">
        <w:t>Mead</w:t>
      </w:r>
      <w:r w:rsidR="000C47EB">
        <w:rPr>
          <w:vertAlign w:val="superscript"/>
        </w:rPr>
        <w:t>c</w:t>
      </w:r>
      <w:proofErr w:type="spellEnd"/>
      <w:r w:rsidR="00BA702E">
        <w:t xml:space="preserve">, </w:t>
      </w:r>
      <w:r w:rsidRPr="00860424">
        <w:t xml:space="preserve">Andrew C. </w:t>
      </w:r>
      <w:proofErr w:type="spellStart"/>
      <w:r w:rsidR="000C47EB" w:rsidRPr="00860424">
        <w:t>Smith</w:t>
      </w:r>
      <w:r w:rsidR="000C47EB">
        <w:rPr>
          <w:vertAlign w:val="superscript"/>
        </w:rPr>
        <w:t>d</w:t>
      </w:r>
      <w:proofErr w:type="spellEnd"/>
      <w:r w:rsidRPr="00860424">
        <w:t xml:space="preserve">, </w:t>
      </w:r>
      <w:r w:rsidR="00DD0BE5" w:rsidRPr="00860424">
        <w:t xml:space="preserve">Federica </w:t>
      </w:r>
      <w:proofErr w:type="spellStart"/>
      <w:r w:rsidR="000C47EB" w:rsidRPr="00860424">
        <w:t>Tamburini</w:t>
      </w:r>
      <w:r w:rsidR="000C47EB">
        <w:rPr>
          <w:vertAlign w:val="superscript"/>
        </w:rPr>
        <w:t>e</w:t>
      </w:r>
      <w:proofErr w:type="spellEnd"/>
      <w:r w:rsidR="00DD0BE5" w:rsidRPr="00860424">
        <w:t xml:space="preserve">, </w:t>
      </w:r>
      <w:r w:rsidRPr="00860424">
        <w:t>Martin</w:t>
      </w:r>
      <w:r w:rsidR="00EF43F6" w:rsidRPr="00860424">
        <w:t xml:space="preserve"> S.A.</w:t>
      </w:r>
      <w:r w:rsidRPr="00860424">
        <w:t xml:space="preserve"> </w:t>
      </w:r>
      <w:proofErr w:type="spellStart"/>
      <w:r w:rsidRPr="00860424">
        <w:t>Blackwell</w:t>
      </w:r>
      <w:r w:rsidR="00B41A9A" w:rsidRPr="00860424">
        <w:rPr>
          <w:vertAlign w:val="superscript"/>
        </w:rPr>
        <w:t>a</w:t>
      </w:r>
      <w:proofErr w:type="spellEnd"/>
      <w:r w:rsidRPr="00860424">
        <w:t>, Steve</w:t>
      </w:r>
      <w:r w:rsidR="0083358D" w:rsidRPr="00860424">
        <w:t>n</w:t>
      </w:r>
      <w:r w:rsidRPr="00860424">
        <w:t xml:space="preserve"> J. </w:t>
      </w:r>
      <w:proofErr w:type="spellStart"/>
      <w:r w:rsidRPr="00860424">
        <w:t>Granger</w:t>
      </w:r>
      <w:r w:rsidR="00B41A9A" w:rsidRPr="00860424">
        <w:rPr>
          <w:vertAlign w:val="superscript"/>
        </w:rPr>
        <w:t>a</w:t>
      </w:r>
      <w:proofErr w:type="spellEnd"/>
    </w:p>
    <w:p w14:paraId="44FF5AFC" w14:textId="054285A7" w:rsidR="00266B1E" w:rsidRPr="00860424" w:rsidRDefault="00B41A9A" w:rsidP="00E627AF">
      <w:pPr>
        <w:spacing w:line="360" w:lineRule="auto"/>
      </w:pPr>
      <w:proofErr w:type="spellStart"/>
      <w:r w:rsidRPr="00860424">
        <w:rPr>
          <w:vertAlign w:val="superscript"/>
        </w:rPr>
        <w:t>a</w:t>
      </w:r>
      <w:r w:rsidR="00266B1E" w:rsidRPr="00860424">
        <w:t>Rothamsted</w:t>
      </w:r>
      <w:proofErr w:type="spellEnd"/>
      <w:r w:rsidR="00266B1E" w:rsidRPr="00860424">
        <w:t xml:space="preserve"> Research</w:t>
      </w:r>
      <w:r w:rsidR="00077599" w:rsidRPr="00860424">
        <w:t>,</w:t>
      </w:r>
      <w:r w:rsidR="00266B1E" w:rsidRPr="00860424">
        <w:t xml:space="preserve"> </w:t>
      </w:r>
      <w:r w:rsidR="00596E9A">
        <w:t xml:space="preserve">Sustainable Agriculture Sciences </w:t>
      </w:r>
      <w:r w:rsidR="00266B1E" w:rsidRPr="00860424">
        <w:t>North Wyke</w:t>
      </w:r>
      <w:r w:rsidR="00077599" w:rsidRPr="00860424">
        <w:t>, Okehampton, Devon EX20 2SB, UK</w:t>
      </w:r>
    </w:p>
    <w:p w14:paraId="1352614C" w14:textId="1882FC44" w:rsidR="00D87662" w:rsidRPr="00860424" w:rsidRDefault="00B41A9A" w:rsidP="00E627AF">
      <w:pPr>
        <w:spacing w:line="360" w:lineRule="auto"/>
      </w:pPr>
      <w:proofErr w:type="spellStart"/>
      <w:r w:rsidRPr="00860424">
        <w:rPr>
          <w:vertAlign w:val="superscript"/>
        </w:rPr>
        <w:t>b</w:t>
      </w:r>
      <w:r w:rsidR="00D87662" w:rsidRPr="00860424">
        <w:t>Rothamsted</w:t>
      </w:r>
      <w:proofErr w:type="spellEnd"/>
      <w:r w:rsidR="00D87662" w:rsidRPr="00860424">
        <w:t xml:space="preserve"> Research, </w:t>
      </w:r>
      <w:r w:rsidR="00596E9A">
        <w:t xml:space="preserve">Sustainable Agriculture Sciences </w:t>
      </w:r>
      <w:r w:rsidR="00D87662" w:rsidRPr="00860424">
        <w:t xml:space="preserve">Harpenden, </w:t>
      </w:r>
      <w:r w:rsidR="000C47EB">
        <w:t xml:space="preserve">Harpenden, </w:t>
      </w:r>
      <w:r w:rsidR="00D87662" w:rsidRPr="00860424">
        <w:t>Hertfordshire AL5 2</w:t>
      </w:r>
      <w:r w:rsidR="002E5A59">
        <w:t>J</w:t>
      </w:r>
      <w:r w:rsidR="00D87662" w:rsidRPr="00860424">
        <w:t>Q, UK</w:t>
      </w:r>
    </w:p>
    <w:p w14:paraId="4AC616D4" w14:textId="0A626781" w:rsidR="000C47EB" w:rsidRPr="001A6926" w:rsidRDefault="00B41A9A" w:rsidP="00E627AF">
      <w:pPr>
        <w:spacing w:line="360" w:lineRule="auto"/>
      </w:pPr>
      <w:r w:rsidRPr="00860424">
        <w:rPr>
          <w:vertAlign w:val="superscript"/>
        </w:rPr>
        <w:t>c</w:t>
      </w:r>
      <w:r w:rsidR="000C47EB" w:rsidRPr="000C47EB">
        <w:t xml:space="preserve"> </w:t>
      </w:r>
      <w:r w:rsidR="000C47EB" w:rsidRPr="00860424">
        <w:t xml:space="preserve">Rothamsted Research, </w:t>
      </w:r>
      <w:r w:rsidR="000C47EB" w:rsidRPr="000C47EB">
        <w:t>Computational and Analytical Sciences</w:t>
      </w:r>
      <w:r w:rsidR="000C47EB" w:rsidRPr="00860424">
        <w:t xml:space="preserve">, </w:t>
      </w:r>
      <w:r w:rsidR="000C47EB">
        <w:t xml:space="preserve">Harpenden, </w:t>
      </w:r>
      <w:r w:rsidR="000C47EB" w:rsidRPr="00860424">
        <w:t>Hertfordshire AL5 2</w:t>
      </w:r>
      <w:r w:rsidR="000C47EB">
        <w:t>J</w:t>
      </w:r>
      <w:r w:rsidR="000C47EB" w:rsidRPr="00860424">
        <w:t>Q, UK</w:t>
      </w:r>
    </w:p>
    <w:p w14:paraId="5A6B5BBA" w14:textId="575B3C48" w:rsidR="00266B1E" w:rsidRPr="00860424" w:rsidRDefault="000C47EB" w:rsidP="00E627AF">
      <w:pPr>
        <w:spacing w:line="360" w:lineRule="auto"/>
      </w:pPr>
      <w:proofErr w:type="spellStart"/>
      <w:r>
        <w:rPr>
          <w:vertAlign w:val="superscript"/>
        </w:rPr>
        <w:t>d</w:t>
      </w:r>
      <w:r w:rsidR="00077599" w:rsidRPr="00860424">
        <w:t>NERC</w:t>
      </w:r>
      <w:proofErr w:type="spellEnd"/>
      <w:r w:rsidR="00077599" w:rsidRPr="00860424">
        <w:t xml:space="preserve"> Isotope Geoscience Laboratory, British Geological Survey, Nottingham NG12 5GG, UK</w:t>
      </w:r>
    </w:p>
    <w:p w14:paraId="63AAD479" w14:textId="47E4F42D" w:rsidR="00DD0BE5" w:rsidRPr="00860424" w:rsidRDefault="000C47EB" w:rsidP="00E627AF">
      <w:pPr>
        <w:spacing w:line="360" w:lineRule="auto"/>
      </w:pPr>
      <w:proofErr w:type="spellStart"/>
      <w:r>
        <w:rPr>
          <w:vertAlign w:val="superscript"/>
        </w:rPr>
        <w:t>e</w:t>
      </w:r>
      <w:r w:rsidRPr="00860424">
        <w:t>Department</w:t>
      </w:r>
      <w:proofErr w:type="spellEnd"/>
      <w:r w:rsidRPr="00860424">
        <w:t xml:space="preserve"> </w:t>
      </w:r>
      <w:r w:rsidR="00DD0BE5" w:rsidRPr="00860424">
        <w:t xml:space="preserve">of Environmental System Sciences, ETH Zurich, </w:t>
      </w:r>
      <w:proofErr w:type="spellStart"/>
      <w:r w:rsidR="00DD0BE5" w:rsidRPr="00860424">
        <w:t>Eschikon</w:t>
      </w:r>
      <w:proofErr w:type="spellEnd"/>
      <w:r w:rsidR="00DD0BE5" w:rsidRPr="00860424">
        <w:t xml:space="preserve"> 33, 8315 Lindau, Switzerland</w:t>
      </w:r>
    </w:p>
    <w:p w14:paraId="3C768AA3" w14:textId="0A564FF5" w:rsidR="00B41A9A" w:rsidRPr="001805AF" w:rsidRDefault="00B41A9A" w:rsidP="001805AF">
      <w:pPr>
        <w:spacing w:line="240" w:lineRule="auto"/>
        <w:rPr>
          <w:rFonts w:eastAsia="Times New Roman" w:cs="Times New Roman"/>
          <w:szCs w:val="24"/>
        </w:rPr>
      </w:pPr>
      <w:r w:rsidRPr="00860424">
        <w:t xml:space="preserve">*Corresponding author: </w:t>
      </w:r>
      <w:r w:rsidR="001805AF">
        <w:t>Verena Pfahler</w:t>
      </w:r>
      <w:r w:rsidR="001805AF">
        <w:br/>
      </w:r>
      <w:r w:rsidRPr="00860424">
        <w:t xml:space="preserve">Email address </w:t>
      </w:r>
      <w:r w:rsidR="004175DE" w:rsidRPr="001805AF">
        <w:t>v.pfahler@gmail.com</w:t>
      </w:r>
      <w:r w:rsidR="001805AF" w:rsidRPr="001805AF">
        <w:rPr>
          <w:rStyle w:val="Hyperlink"/>
          <w:color w:val="000000" w:themeColor="text1"/>
          <w:u w:val="none"/>
        </w:rPr>
        <w:t xml:space="preserve">, telephone: </w:t>
      </w:r>
      <w:r w:rsidR="001805AF" w:rsidRPr="001805AF">
        <w:rPr>
          <w:rStyle w:val="Hyperlink"/>
          <w:rFonts w:cs="Times New Roman"/>
          <w:color w:val="000000" w:themeColor="text1"/>
          <w:u w:val="none"/>
        </w:rPr>
        <w:t>+507</w:t>
      </w:r>
      <w:r w:rsidR="001805AF" w:rsidRPr="001805AF">
        <w:rPr>
          <w:rFonts w:eastAsia="Times New Roman" w:cs="Times New Roman"/>
          <w:color w:val="000000" w:themeColor="text1"/>
          <w:szCs w:val="24"/>
          <w:shd w:val="clear" w:color="auto" w:fill="FFFFFF"/>
        </w:rPr>
        <w:t>2128000</w:t>
      </w:r>
      <w:r w:rsidR="001805AF" w:rsidRPr="001805AF">
        <w:rPr>
          <w:rStyle w:val="Hyperlink"/>
          <w:rFonts w:cs="Times New Roman"/>
          <w:color w:val="000000" w:themeColor="text1"/>
          <w:u w:val="none"/>
        </w:rPr>
        <w:t>,</w:t>
      </w:r>
      <w:r w:rsidR="001805AF" w:rsidRPr="001805AF">
        <w:rPr>
          <w:rStyle w:val="Hyperlink"/>
          <w:color w:val="000000" w:themeColor="text1"/>
          <w:u w:val="none"/>
        </w:rPr>
        <w:t xml:space="preserve"> fax:</w:t>
      </w:r>
      <w:r w:rsidR="001805AF">
        <w:rPr>
          <w:rStyle w:val="Hyperlink"/>
          <w:color w:val="000000" w:themeColor="text1"/>
          <w:u w:val="none"/>
        </w:rPr>
        <w:t xml:space="preserve"> </w:t>
      </w:r>
      <w:r w:rsidR="001805AF" w:rsidRPr="001805AF">
        <w:rPr>
          <w:rStyle w:val="Hyperlink"/>
          <w:color w:val="000000" w:themeColor="text1"/>
          <w:u w:val="none"/>
        </w:rPr>
        <w:t>+507 2128148</w:t>
      </w:r>
    </w:p>
    <w:p w14:paraId="0D9AE972" w14:textId="1DCD5FEC" w:rsidR="004175DE" w:rsidRPr="00860424" w:rsidRDefault="004175DE" w:rsidP="00E627AF">
      <w:pPr>
        <w:spacing w:line="360" w:lineRule="auto"/>
      </w:pPr>
      <w:r w:rsidRPr="00860424">
        <w:t xml:space="preserve">Current address: </w:t>
      </w:r>
      <w:r w:rsidR="00A93EF2">
        <w:t xml:space="preserve">Smithsonian Tropical Research Institute, </w:t>
      </w:r>
      <w:proofErr w:type="spellStart"/>
      <w:r w:rsidR="00A93EF2" w:rsidRPr="00C74ECB">
        <w:rPr>
          <w:rFonts w:cs="Times New Roman"/>
          <w:szCs w:val="24"/>
        </w:rPr>
        <w:t>Apartado</w:t>
      </w:r>
      <w:proofErr w:type="spellEnd"/>
      <w:r w:rsidR="00A93EF2" w:rsidRPr="00C74ECB">
        <w:rPr>
          <w:rFonts w:cs="Times New Roman"/>
          <w:szCs w:val="24"/>
        </w:rPr>
        <w:t xml:space="preserve"> 0843-03092, </w:t>
      </w:r>
      <w:r w:rsidR="00A93EF2" w:rsidRPr="00183494">
        <w:rPr>
          <w:szCs w:val="24"/>
        </w:rPr>
        <w:t>Balboa</w:t>
      </w:r>
      <w:r w:rsidR="00A93EF2">
        <w:t>, Ancon, Republic of Panama</w:t>
      </w:r>
    </w:p>
    <w:p w14:paraId="2BA600FF" w14:textId="39CEFD5A" w:rsidR="00266B1E" w:rsidRPr="00860424" w:rsidRDefault="00266B1E" w:rsidP="00E627AF">
      <w:pPr>
        <w:spacing w:line="360" w:lineRule="auto"/>
      </w:pPr>
      <w:r w:rsidRPr="00860424">
        <w:rPr>
          <w:b/>
        </w:rPr>
        <w:t xml:space="preserve">Keywords </w:t>
      </w:r>
      <w:r w:rsidR="001805AF" w:rsidRPr="001805AF">
        <w:rPr>
          <w:bCs/>
        </w:rPr>
        <w:t>Grassland, oxygen isotopes,</w:t>
      </w:r>
      <w:r w:rsidR="001805AF">
        <w:rPr>
          <w:b/>
        </w:rPr>
        <w:t xml:space="preserve"> </w:t>
      </w:r>
      <w:r w:rsidRPr="00860424">
        <w:t xml:space="preserve">Park Grass, pH, </w:t>
      </w:r>
      <w:r w:rsidR="00077599" w:rsidRPr="00860424">
        <w:t>phosphorus</w:t>
      </w:r>
      <w:r w:rsidR="00EA7354" w:rsidRPr="00860424">
        <w:t xml:space="preserve">, </w:t>
      </w:r>
      <w:r w:rsidR="00C510DF" w:rsidRPr="00860424">
        <w:t>P limitation</w:t>
      </w:r>
    </w:p>
    <w:p w14:paraId="768095C4" w14:textId="77777777" w:rsidR="00E96379" w:rsidRPr="00860424" w:rsidRDefault="00E96379" w:rsidP="00E627AF">
      <w:pPr>
        <w:spacing w:line="360" w:lineRule="auto"/>
        <w:rPr>
          <w:b/>
        </w:rPr>
        <w:sectPr w:rsidR="00E96379" w:rsidRPr="00860424" w:rsidSect="00D87662">
          <w:footerReference w:type="default" r:id="rId9"/>
          <w:pgSz w:w="11906" w:h="16838"/>
          <w:pgMar w:top="1440" w:right="1440" w:bottom="1440" w:left="1440" w:header="708" w:footer="708" w:gutter="0"/>
          <w:lnNumType w:countBy="1" w:restart="continuous"/>
          <w:cols w:space="708"/>
          <w:docGrid w:linePitch="360"/>
        </w:sectPr>
      </w:pPr>
      <w:bookmarkStart w:id="1" w:name="_Hlk521572617"/>
    </w:p>
    <w:p w14:paraId="1A8104B7" w14:textId="2A82C9B3" w:rsidR="002E35FB" w:rsidRPr="00860424" w:rsidRDefault="002E35FB" w:rsidP="00E627AF">
      <w:pPr>
        <w:spacing w:line="360" w:lineRule="auto"/>
        <w:rPr>
          <w:b/>
        </w:rPr>
      </w:pPr>
      <w:r w:rsidRPr="00860424">
        <w:rPr>
          <w:b/>
        </w:rPr>
        <w:lastRenderedPageBreak/>
        <w:t>Abstract</w:t>
      </w:r>
    </w:p>
    <w:p w14:paraId="598C557A" w14:textId="53FD86A5" w:rsidR="00E96379" w:rsidRPr="00CA3EEC" w:rsidRDefault="00FD0624" w:rsidP="00E627AF">
      <w:pPr>
        <w:spacing w:line="360" w:lineRule="auto"/>
        <w:sectPr w:rsidR="00E96379" w:rsidRPr="00CA3EEC" w:rsidSect="00D87662">
          <w:pgSz w:w="11906" w:h="16838"/>
          <w:pgMar w:top="1440" w:right="1440" w:bottom="1440" w:left="1440" w:header="708" w:footer="708" w:gutter="0"/>
          <w:lnNumType w:countBy="1" w:restart="continuous"/>
          <w:cols w:space="708"/>
          <w:docGrid w:linePitch="360"/>
        </w:sectPr>
      </w:pPr>
      <w:bookmarkStart w:id="2" w:name="_Hlk521328710"/>
      <w:r>
        <w:t>Field data about</w:t>
      </w:r>
      <w:r w:rsidR="00C42E2B">
        <w:t xml:space="preserve"> the effect of soil pH on </w:t>
      </w:r>
      <w:r w:rsidR="00E41804">
        <w:t>phosphorus (</w:t>
      </w:r>
      <w:r w:rsidR="00C42E2B">
        <w:t>P</w:t>
      </w:r>
      <w:r w:rsidR="00E41804">
        <w:t>)</w:t>
      </w:r>
      <w:r w:rsidR="00C42E2B">
        <w:t xml:space="preserve"> cycling is limited</w:t>
      </w:r>
      <w:r w:rsidR="009D3EA6" w:rsidRPr="00860424">
        <w:t xml:space="preserve">. A promising tool to study P cycling </w:t>
      </w:r>
      <w:r w:rsidR="00C42E2B">
        <w:t xml:space="preserve">under field conditions </w:t>
      </w:r>
      <w:r w:rsidR="009D3EA6" w:rsidRPr="00860424">
        <w:t xml:space="preserve">is </w:t>
      </w:r>
      <w:r w:rsidR="00C42E2B">
        <w:t>t</w:t>
      </w:r>
      <w:r w:rsidR="009D3EA6" w:rsidRPr="00860424">
        <w:t xml:space="preserve">he </w:t>
      </w:r>
      <w:r w:rsidR="009D3EA6" w:rsidRPr="00860424">
        <w:rPr>
          <w:vertAlign w:val="superscript"/>
        </w:rPr>
        <w:t>18</w:t>
      </w:r>
      <w:r w:rsidR="009D3EA6" w:rsidRPr="00860424">
        <w:t>O:</w:t>
      </w:r>
      <w:r w:rsidR="009D3EA6" w:rsidRPr="00860424">
        <w:rPr>
          <w:vertAlign w:val="superscript"/>
        </w:rPr>
        <w:t>16</w:t>
      </w:r>
      <w:r w:rsidR="009D3EA6" w:rsidRPr="00860424">
        <w:t>O ratio of phosphate (δ</w:t>
      </w:r>
      <w:r w:rsidR="009D3EA6" w:rsidRPr="00860424">
        <w:rPr>
          <w:vertAlign w:val="superscript"/>
        </w:rPr>
        <w:t>18</w:t>
      </w:r>
      <w:r w:rsidR="009D3EA6" w:rsidRPr="00860424">
        <w:t>O</w:t>
      </w:r>
      <w:r w:rsidR="009D3EA6" w:rsidRPr="00860424">
        <w:rPr>
          <w:vertAlign w:val="subscript"/>
        </w:rPr>
        <w:t>P</w:t>
      </w:r>
      <w:r w:rsidR="009D3EA6" w:rsidRPr="00860424">
        <w:t xml:space="preserve">). </w:t>
      </w:r>
      <w:r w:rsidR="00BA702E">
        <w:t>In</w:t>
      </w:r>
      <w:r w:rsidR="009D3EA6" w:rsidRPr="00860424">
        <w:t xml:space="preserve"> </w:t>
      </w:r>
      <w:r w:rsidR="009D3EA6">
        <w:t>this</w:t>
      </w:r>
      <w:r w:rsidR="009D3EA6" w:rsidRPr="00860424">
        <w:t xml:space="preserve"> study </w:t>
      </w:r>
      <w:r w:rsidR="00BA702E">
        <w:t xml:space="preserve">we investigate </w:t>
      </w:r>
      <w:r w:rsidR="00331CB4">
        <w:t>whether</w:t>
      </w:r>
      <w:r w:rsidR="00331CB4" w:rsidRPr="00860424">
        <w:t xml:space="preserve"> </w:t>
      </w:r>
      <w:r w:rsidR="009D3EA6" w:rsidRPr="00860424">
        <w:t xml:space="preserve">the </w:t>
      </w:r>
      <w:r w:rsidR="009D3EA6" w:rsidRPr="00860424">
        <w:rPr>
          <w:rFonts w:cs="Times New Roman"/>
        </w:rPr>
        <w:t>δ</w:t>
      </w:r>
      <w:r w:rsidR="009D3EA6" w:rsidRPr="00860424">
        <w:rPr>
          <w:rFonts w:cs="Times New Roman"/>
          <w:vertAlign w:val="superscript"/>
        </w:rPr>
        <w:t>18</w:t>
      </w:r>
      <w:r w:rsidR="009D3EA6" w:rsidRPr="00860424">
        <w:rPr>
          <w:rFonts w:cs="Times New Roman"/>
        </w:rPr>
        <w:t>O</w:t>
      </w:r>
      <w:r w:rsidR="009D3EA6" w:rsidRPr="00860424">
        <w:rPr>
          <w:rFonts w:cs="Times New Roman"/>
          <w:vertAlign w:val="subscript"/>
        </w:rPr>
        <w:t>P</w:t>
      </w:r>
      <w:r w:rsidR="009D3EA6" w:rsidRPr="00860424">
        <w:t xml:space="preserve"> can be used to </w:t>
      </w:r>
      <w:r w:rsidR="009D3EA6">
        <w:t>elucidate</w:t>
      </w:r>
      <w:r w:rsidR="009D3EA6" w:rsidRPr="00860424">
        <w:t xml:space="preserve"> the effect soil pH on P cycling in grasslands.</w:t>
      </w:r>
      <w:r w:rsidR="00CA3EEC">
        <w:t xml:space="preserve"> </w:t>
      </w:r>
      <w:r w:rsidR="009D3EA6">
        <w:t>S</w:t>
      </w:r>
      <w:r w:rsidR="009D3EA6" w:rsidRPr="00860424">
        <w:t>oil</w:t>
      </w:r>
      <w:r w:rsidR="009D3EA6">
        <w:t>s</w:t>
      </w:r>
      <w:r w:rsidR="009D3EA6" w:rsidRPr="00860424">
        <w:t xml:space="preserve"> and plant</w:t>
      </w:r>
      <w:r w:rsidR="009D3EA6">
        <w:t>s were</w:t>
      </w:r>
      <w:r w:rsidR="009D3EA6" w:rsidRPr="00860424">
        <w:t xml:space="preserve"> sample</w:t>
      </w:r>
      <w:r w:rsidR="009D3EA6">
        <w:t>d</w:t>
      </w:r>
      <w:r w:rsidR="009D3EA6" w:rsidRPr="00860424">
        <w:t xml:space="preserve"> from different </w:t>
      </w:r>
      <w:r w:rsidR="005B2444">
        <w:t xml:space="preserve">fertilisation and lime </w:t>
      </w:r>
      <w:r w:rsidR="009D3EA6" w:rsidRPr="00860424">
        <w:t xml:space="preserve">treatments of the Park Grass long term experiment at Rothamsted Research, UK. </w:t>
      </w:r>
      <w:r w:rsidR="009D3EA6">
        <w:t>The soils were</w:t>
      </w:r>
      <w:r w:rsidR="009D3EA6" w:rsidRPr="00860424">
        <w:t xml:space="preserve"> </w:t>
      </w:r>
      <w:r w:rsidR="009D3EA6">
        <w:t xml:space="preserve">sequentially </w:t>
      </w:r>
      <w:r w:rsidR="009D3EA6" w:rsidRPr="00860424">
        <w:t xml:space="preserve">extracted </w:t>
      </w:r>
      <w:r w:rsidR="009D3EA6">
        <w:t xml:space="preserve">to isolate </w:t>
      </w:r>
      <w:r w:rsidR="009D3EA6" w:rsidRPr="00860424">
        <w:t>different soil P pools</w:t>
      </w:r>
      <w:r w:rsidR="009D3EA6">
        <w:t>,</w:t>
      </w:r>
      <w:r w:rsidR="009D3EA6" w:rsidRPr="00860424">
        <w:t xml:space="preserve"> including available P and corresponding </w:t>
      </w:r>
      <w:r w:rsidR="009D3EA6" w:rsidRPr="00860424">
        <w:rPr>
          <w:rFonts w:cs="Times New Roman"/>
        </w:rPr>
        <w:t>δ</w:t>
      </w:r>
      <w:r w:rsidR="009D3EA6" w:rsidRPr="00860424">
        <w:rPr>
          <w:rFonts w:cs="Times New Roman"/>
          <w:vertAlign w:val="superscript"/>
        </w:rPr>
        <w:t>18</w:t>
      </w:r>
      <w:r w:rsidR="009D3EA6" w:rsidRPr="00860424">
        <w:rPr>
          <w:rFonts w:cs="Times New Roman"/>
        </w:rPr>
        <w:t>O</w:t>
      </w:r>
      <w:r w:rsidR="009D3EA6" w:rsidRPr="00860424">
        <w:rPr>
          <w:rFonts w:cs="Times New Roman"/>
          <w:vertAlign w:val="subscript"/>
        </w:rPr>
        <w:t>P</w:t>
      </w:r>
      <w:r w:rsidR="009D3EA6" w:rsidRPr="00860424">
        <w:t xml:space="preserve"> values</w:t>
      </w:r>
      <w:r w:rsidR="009D3EA6">
        <w:t xml:space="preserve"> were determined</w:t>
      </w:r>
      <w:r w:rsidR="009D3EA6" w:rsidRPr="00860424">
        <w:t>.</w:t>
      </w:r>
      <w:r w:rsidR="00CA3EEC">
        <w:t xml:space="preserve"> </w:t>
      </w:r>
      <w:r w:rsidR="00BA702E">
        <w:t xml:space="preserve">We did </w:t>
      </w:r>
      <w:r w:rsidR="00A73C19">
        <w:t>not observe changes in p</w:t>
      </w:r>
      <w:r w:rsidR="009D3EA6">
        <w:t>lant</w:t>
      </w:r>
      <w:r w:rsidR="009D3EA6" w:rsidRPr="00860424">
        <w:t xml:space="preserve"> δ</w:t>
      </w:r>
      <w:r w:rsidR="009D3EA6" w:rsidRPr="00860424">
        <w:rPr>
          <w:vertAlign w:val="superscript"/>
        </w:rPr>
        <w:t>18</w:t>
      </w:r>
      <w:r w:rsidR="009D3EA6" w:rsidRPr="00860424">
        <w:t>O</w:t>
      </w:r>
      <w:r w:rsidR="009D3EA6" w:rsidRPr="00860424">
        <w:rPr>
          <w:vertAlign w:val="subscript"/>
        </w:rPr>
        <w:t>P</w:t>
      </w:r>
      <w:r w:rsidR="009D3EA6" w:rsidRPr="00860424">
        <w:t xml:space="preserve"> value</w:t>
      </w:r>
      <w:r w:rsidR="00A73C19">
        <w:t xml:space="preserve">, but soil P </w:t>
      </w:r>
      <w:r w:rsidR="00A73C19" w:rsidRPr="008F3C99">
        <w:rPr>
          <w:rFonts w:cs="Times New Roman"/>
        </w:rPr>
        <w:t>δ</w:t>
      </w:r>
      <w:r w:rsidR="00A73C19" w:rsidRPr="008F3C99">
        <w:rPr>
          <w:rFonts w:cs="Times New Roman"/>
          <w:vertAlign w:val="superscript"/>
        </w:rPr>
        <w:t>18</w:t>
      </w:r>
      <w:r w:rsidR="00A73C19" w:rsidRPr="008F3C99">
        <w:rPr>
          <w:rFonts w:cs="Times New Roman"/>
        </w:rPr>
        <w:t>O</w:t>
      </w:r>
      <w:r w:rsidR="00A73C19" w:rsidRPr="008F3C99">
        <w:rPr>
          <w:rFonts w:cs="Times New Roman"/>
          <w:vertAlign w:val="subscript"/>
        </w:rPr>
        <w:t>P</w:t>
      </w:r>
      <w:r w:rsidR="00A73C19">
        <w:t xml:space="preserve"> values changed, and lower </w:t>
      </w:r>
      <w:r w:rsidR="00A73C19" w:rsidRPr="008F3C99">
        <w:rPr>
          <w:rFonts w:cs="Times New Roman"/>
        </w:rPr>
        <w:t>δ</w:t>
      </w:r>
      <w:r w:rsidR="00A73C19" w:rsidRPr="008F3C99">
        <w:rPr>
          <w:rFonts w:cs="Times New Roman"/>
          <w:vertAlign w:val="superscript"/>
        </w:rPr>
        <w:t>18</w:t>
      </w:r>
      <w:r w:rsidR="00A73C19" w:rsidRPr="008F3C99">
        <w:rPr>
          <w:rFonts w:cs="Times New Roman"/>
        </w:rPr>
        <w:t>O</w:t>
      </w:r>
      <w:r w:rsidR="00A73C19" w:rsidRPr="008F3C99">
        <w:rPr>
          <w:rFonts w:cs="Times New Roman"/>
          <w:vertAlign w:val="subscript"/>
        </w:rPr>
        <w:t>P</w:t>
      </w:r>
      <w:r w:rsidR="00A73C19">
        <w:t xml:space="preserve"> values were associated with higher soil pH values</w:t>
      </w:r>
      <w:r w:rsidR="009D3EA6">
        <w:t>.</w:t>
      </w:r>
      <w:r w:rsidR="00A73C19">
        <w:t xml:space="preserve"> </w:t>
      </w:r>
      <w:r w:rsidR="009D3EA6">
        <w:t>At sites where</w:t>
      </w:r>
      <w:r w:rsidR="009D3EA6" w:rsidRPr="00860424">
        <w:t xml:space="preserve"> P was not limiting, </w:t>
      </w:r>
      <w:r w:rsidR="009D3EA6">
        <w:t>available</w:t>
      </w:r>
      <w:r w:rsidR="009D3EA6" w:rsidRPr="00860424">
        <w:t xml:space="preserve"> P δ</w:t>
      </w:r>
      <w:r w:rsidR="009D3EA6" w:rsidRPr="00860424">
        <w:rPr>
          <w:vertAlign w:val="superscript"/>
        </w:rPr>
        <w:t>18</w:t>
      </w:r>
      <w:r w:rsidR="009D3EA6" w:rsidRPr="00860424">
        <w:t>O</w:t>
      </w:r>
      <w:r w:rsidR="009D3EA6" w:rsidRPr="00860424">
        <w:rPr>
          <w:vertAlign w:val="subscript"/>
        </w:rPr>
        <w:t>P</w:t>
      </w:r>
      <w:r w:rsidR="009D3EA6" w:rsidRPr="00860424">
        <w:t xml:space="preserve"> </w:t>
      </w:r>
      <w:r w:rsidR="009D3EA6">
        <w:t>in</w:t>
      </w:r>
      <w:r w:rsidR="009D3EA6" w:rsidRPr="00860424">
        <w:t xml:space="preserve">creased by up to 3‰ </w:t>
      </w:r>
      <w:r w:rsidR="005B2444">
        <w:t>when lime was applied</w:t>
      </w:r>
      <w:r w:rsidR="009D3EA6" w:rsidRPr="00860424">
        <w:t xml:space="preserve">. We show that the </w:t>
      </w:r>
      <w:r w:rsidR="009D3EA6" w:rsidRPr="00860424">
        <w:rPr>
          <w:rFonts w:cs="Times New Roman"/>
        </w:rPr>
        <w:t>δ</w:t>
      </w:r>
      <w:r w:rsidR="009D3EA6" w:rsidRPr="00860424">
        <w:rPr>
          <w:rFonts w:cs="Times New Roman"/>
          <w:vertAlign w:val="superscript"/>
        </w:rPr>
        <w:t>18</w:t>
      </w:r>
      <w:r w:rsidR="009D3EA6" w:rsidRPr="00860424">
        <w:rPr>
          <w:rFonts w:cs="Times New Roman"/>
        </w:rPr>
        <w:t>O</w:t>
      </w:r>
      <w:r w:rsidR="009D3EA6" w:rsidRPr="00860424">
        <w:rPr>
          <w:rFonts w:cs="Times New Roman"/>
          <w:vertAlign w:val="subscript"/>
        </w:rPr>
        <w:t>P</w:t>
      </w:r>
      <w:r w:rsidR="009D3EA6" w:rsidRPr="00860424">
        <w:t xml:space="preserve"> method </w:t>
      </w:r>
      <w:r w:rsidR="009D3EA6">
        <w:t>is</w:t>
      </w:r>
      <w:r w:rsidR="009D3EA6" w:rsidRPr="00860424">
        <w:t xml:space="preserve"> a useful tool to investigate the effect of pH on soil P cycling</w:t>
      </w:r>
      <w:r w:rsidR="000A7442">
        <w:t xml:space="preserve"> under field conditions</w:t>
      </w:r>
      <w:r w:rsidR="009D3EA6">
        <w:t xml:space="preserve"> as it highlights that different soil processes must govern P availability as pH shifts</w:t>
      </w:r>
      <w:r w:rsidR="009D3EA6" w:rsidRPr="00860424">
        <w:t xml:space="preserve">. The next challenge is now to identify </w:t>
      </w:r>
      <w:r w:rsidR="009D3EA6">
        <w:t>these</w:t>
      </w:r>
      <w:r w:rsidR="009D3EA6" w:rsidRPr="00860424">
        <w:t xml:space="preserve"> underlying processes</w:t>
      </w:r>
      <w:r w:rsidR="009D3EA6">
        <w:t>, enabling better management of soil P at different p</w:t>
      </w:r>
      <w:r w:rsidR="000A7442">
        <w:t>H</w:t>
      </w:r>
      <w:bookmarkEnd w:id="1"/>
      <w:bookmarkEnd w:id="2"/>
      <w:r w:rsidR="00CA3EEC">
        <w:t>.</w:t>
      </w:r>
    </w:p>
    <w:p w14:paraId="7A2B9DD3" w14:textId="1C45F9F0" w:rsidR="00266B1E" w:rsidRPr="00860424" w:rsidRDefault="00266B1E" w:rsidP="00CA3EEC">
      <w:pPr>
        <w:tabs>
          <w:tab w:val="left" w:pos="3399"/>
        </w:tabs>
        <w:rPr>
          <w:b/>
        </w:rPr>
      </w:pPr>
      <w:r w:rsidRPr="00860424">
        <w:rPr>
          <w:b/>
        </w:rPr>
        <w:lastRenderedPageBreak/>
        <w:t>Introduction</w:t>
      </w:r>
    </w:p>
    <w:p w14:paraId="6F5FC7F5" w14:textId="017940F4" w:rsidR="00BF3239" w:rsidRDefault="002E35FB" w:rsidP="00E627AF">
      <w:pPr>
        <w:spacing w:line="360" w:lineRule="auto"/>
      </w:pPr>
      <w:r w:rsidRPr="00860424">
        <w:t xml:space="preserve">Global food production relies on the use of phosphorus (P) fertilisers which are primarily derived from finite rock phosphate reserves, the supply of which is restricted by their geographic distribution </w:t>
      </w:r>
      <w:r w:rsidR="00BD7D1B" w:rsidRPr="00860424">
        <w:t>and</w:t>
      </w:r>
      <w:r w:rsidRPr="00860424">
        <w:t xml:space="preserve"> threatened by </w:t>
      </w:r>
      <w:r w:rsidR="005C23D7" w:rsidRPr="00860424">
        <w:t>geopolitics</w:t>
      </w:r>
      <w:r w:rsidR="001829B7">
        <w:t xml:space="preserve"> </w:t>
      </w:r>
      <w:r w:rsidR="00FC24C5">
        <w:fldChar w:fldCharType="begin" w:fldLock="1"/>
      </w:r>
      <w:r w:rsidR="00CB44EE">
        <w:instrText>ADDIN CSL_CITATION {"citationItems":[{"id":"ITEM-1","itemData":{"author":[{"dropping-particle":"","family":"The Crop Site","given":"","non-dropping-particle":"","parse-names":false,"suffix":""}],"container-title":"Better Crops With Plant Food","id":"ITEM-1","issue":"3","issued":{"date-parts":[["2013"]]},"page":"18-20","title":"World Reserves of Phosphate Rock - Dynamic, Unfolding Story - The Crop Site","type":"article-journal","volume":"97"},"uris":["http://www.mendeley.com/documents/?uuid=299ea11b-f9fc-4e43-8bb9-e2bd197691dd"]}],"mendeley":{"formattedCitation":"&lt;sup&gt;1&lt;/sup&gt;","plainTextFormattedCitation":"1","previouslyFormattedCitation":"&lt;sup&gt;1&lt;/sup&gt;"},"properties":{"noteIndex":0},"schema":"https://github.com/citation-style-language/schema/raw/master/csl-citation.json"}</w:instrText>
      </w:r>
      <w:r w:rsidR="00FC24C5">
        <w:fldChar w:fldCharType="separate"/>
      </w:r>
      <w:r w:rsidR="00667D65" w:rsidRPr="00667D65">
        <w:rPr>
          <w:noProof/>
          <w:vertAlign w:val="superscript"/>
        </w:rPr>
        <w:t>1</w:t>
      </w:r>
      <w:r w:rsidR="00FC24C5">
        <w:fldChar w:fldCharType="end"/>
      </w:r>
      <w:r w:rsidRPr="00860424">
        <w:t xml:space="preserve">. </w:t>
      </w:r>
      <w:r w:rsidR="00FE2A29" w:rsidRPr="00860424">
        <w:t>G</w:t>
      </w:r>
      <w:r w:rsidR="00451AAE" w:rsidRPr="00860424">
        <w:t>rasslands cover approximately 25</w:t>
      </w:r>
      <w:r w:rsidR="00FE2A29" w:rsidRPr="00860424">
        <w:t xml:space="preserve">% of the </w:t>
      </w:r>
      <w:r w:rsidR="00451AAE" w:rsidRPr="00860424">
        <w:t xml:space="preserve">world’s </w:t>
      </w:r>
      <w:r w:rsidR="0054735B" w:rsidRPr="00860424">
        <w:t xml:space="preserve">ice-free </w:t>
      </w:r>
      <w:r w:rsidR="00451AAE" w:rsidRPr="00860424">
        <w:t>land mass</w:t>
      </w:r>
      <w:r w:rsidR="00FE2A29" w:rsidRPr="00860424">
        <w:t xml:space="preserve"> and are important </w:t>
      </w:r>
      <w:r w:rsidR="00451AAE" w:rsidRPr="00860424">
        <w:t>for sustaining</w:t>
      </w:r>
      <w:r w:rsidR="00FE2A29" w:rsidRPr="00860424">
        <w:t xml:space="preserve"> the incr</w:t>
      </w:r>
      <w:r w:rsidR="001A3F53" w:rsidRPr="00860424">
        <w:t xml:space="preserve">easing global </w:t>
      </w:r>
      <w:r w:rsidR="00FE2A29" w:rsidRPr="00860424">
        <w:t>demand</w:t>
      </w:r>
      <w:r w:rsidR="001A3F53" w:rsidRPr="00860424">
        <w:t xml:space="preserve"> for meat</w:t>
      </w:r>
      <w:r w:rsidR="001829B7">
        <w:t xml:space="preserve"> </w:t>
      </w:r>
      <w:r w:rsidR="00FC24C5">
        <w:fldChar w:fldCharType="begin" w:fldLock="1"/>
      </w:r>
      <w:r w:rsidR="00CB44EE">
        <w:instrText>ADDIN CSL_CITATION {"citationItems":[{"id":"ITEM-1","itemData":{"DOI":"10.1038/ncomms10696","abstract":"Grasslands provide grass and fodder to sustain the growing need for ruminant meat and milk. Soil nutrients in grasslands are removed through withdrawal in these livestock products and through animal manure that originates from grasslands and is spread in croplands. This leads to loss of soil fertility, because globally most grasslands receive no mineral fertilizer. Here we show that phosphorus (P) inputs (mineral and organic) in global grasslands will have to increase more than fourfold in 2050 relative to 2005 to achieve an anticipated 80% increase in grass production (for milk and meat), while maintaining the soil P status. Combined with requirements for cropland, we estimate that mineral P fertilizer use must double by 2050 to sustain future crop and grassland production. Our findings point to the need to better understand the role of grasslands and their soil P status and their importance for global food security.","author":[{"dropping-particle":"","family":"Sattari","given":"S Z","non-dropping-particle":"","parse-names":false,"suffix":""},{"dropping-particle":"","family":"Bouwman","given":"A F","non-dropping-particle":"","parse-names":false,"suffix":""},{"dropping-particle":"","family":"Martinez Rodriguez","given":"R","non-dropping-particle":"","parse-names":false,"suffix":""},{"dropping-particle":"","family":"Beusen","given":"A H W","non-dropping-particle":"","parse-names":false,"suffix":""},{"dropping-particle":"","family":"Ittersum","given":"M K","non-dropping-particle":"van","parse-names":false,"suffix":""}],"container-title":"Nat Commun","id":"ITEM-1","issued":{"date-parts":[["2016"]]},"note":"Supplementary information available for this article at http://www.nature.com/ncomms/2016/160216/ncomms10696/suppinfo/ncomms10696_S1.html","publisher":"Nature Publishing Group, a division of Macmillan Publishers Limited. All Rights Reserved.","title":"Negative global phosphorus budgets challenge sustainable intensification of grasslands","type":"article-journal","volume":"7"},"uris":["http://www.mendeley.com/documents/?uuid=f9eb2a1e-16f9-4f03-be25-fb9e6203139e"]}],"mendeley":{"formattedCitation":"&lt;sup&gt;2&lt;/sup&gt;","plainTextFormattedCitation":"2","previouslyFormattedCitation":"&lt;sup&gt;2&lt;/sup&gt;"},"properties":{"noteIndex":0},"schema":"https://github.com/citation-style-language/schema/raw/master/csl-citation.json"}</w:instrText>
      </w:r>
      <w:r w:rsidR="00FC24C5">
        <w:fldChar w:fldCharType="separate"/>
      </w:r>
      <w:r w:rsidR="00667D65" w:rsidRPr="00667D65">
        <w:rPr>
          <w:noProof/>
          <w:vertAlign w:val="superscript"/>
        </w:rPr>
        <w:t>2</w:t>
      </w:r>
      <w:r w:rsidR="00FC24C5">
        <w:fldChar w:fldCharType="end"/>
      </w:r>
      <w:r w:rsidR="001120F5" w:rsidRPr="00860424">
        <w:t>.</w:t>
      </w:r>
      <w:r w:rsidR="00D71701" w:rsidRPr="00860424">
        <w:t xml:space="preserve"> </w:t>
      </w:r>
      <w:r w:rsidR="001120F5" w:rsidRPr="00860424">
        <w:t>I</w:t>
      </w:r>
      <w:r w:rsidR="00612594" w:rsidRPr="00860424">
        <w:t xml:space="preserve">t is widely recognised that grassland productivity is </w:t>
      </w:r>
      <w:r w:rsidR="00D71701" w:rsidRPr="00860424">
        <w:t xml:space="preserve">strongly </w:t>
      </w:r>
      <w:r w:rsidR="00612594" w:rsidRPr="00860424">
        <w:t>influence</w:t>
      </w:r>
      <w:r w:rsidR="00D71701" w:rsidRPr="00860424">
        <w:t>d</w:t>
      </w:r>
      <w:r w:rsidR="00612594" w:rsidRPr="00860424">
        <w:t xml:space="preserve"> by nitrogen (N) and P </w:t>
      </w:r>
      <w:r w:rsidR="00612594" w:rsidRPr="00FC24C5">
        <w:rPr>
          <w:color w:val="000000" w:themeColor="text1"/>
        </w:rPr>
        <w:t>inputs</w:t>
      </w:r>
      <w:r w:rsidR="00890957" w:rsidRPr="00FC24C5">
        <w:rPr>
          <w:color w:val="000000" w:themeColor="text1"/>
        </w:rPr>
        <w:t xml:space="preserve"> </w:t>
      </w:r>
      <w:r w:rsidR="00FC24C5" w:rsidRPr="00FC24C5">
        <w:rPr>
          <w:color w:val="000000" w:themeColor="text1"/>
        </w:rPr>
        <w:fldChar w:fldCharType="begin" w:fldLock="1"/>
      </w:r>
      <w:r w:rsidR="00CB44EE">
        <w:rPr>
          <w:color w:val="000000" w:themeColor="text1"/>
        </w:rPr>
        <w:instrText>ADDIN CSL_CITATION {"citationItems":[{"id":"ITEM-1","itemData":{"DOI":"10.1038/nplants.2015.80","ISSN":"2055-0278","author":[{"dropping-particle":"","family":"Fay","given":"Philip A","non-dropping-particle":"","parse-names":false,"suffix":""},{"dropping-particle":"","family":"Prober","given":"Suzanne M","non-dropping-particle":"","parse-names":false,"suffix":""},{"dropping-particle":"","family":"Harpole","given":"W Stanley","non-dropping-particle":"","parse-names":false,"suffix":""},{"dropping-particle":"","family":"Knops","given":"Johannes M H","non-dropping-particle":"","parse-names":false,"suffix":""},{"dropping-particle":"","family":"Bakker","given":"Jonathan D","non-dropping-particle":"","parse-names":false,"suffix":""},{"dropping-particle":"","family":"Borer","given":"Elizabeth T","non-dropping-particle":"","parse-names":false,"suffix":""},{"dropping-particle":"","family":"Lind","given":"Eric M","non-dropping-particle":"","parse-names":false,"suffix":""},{"dropping-particle":"","family":"MacDougall","given":"Andrew S","non-dropping-particle":"","parse-names":false,"suffix":""},{"dropping-particle":"","family":"Seabloom","given":"Eric W","non-dropping-particle":"","parse-names":false,"suffix":""},{"dropping-particle":"","family":"Wragg","given":"Peter D","non-dropping-particle":"","parse-names":false,"suffix":""},{"dropping-particle":"","family":"Adler","given":"Peter B","non-dropping-particle":"","parse-names":false,"suffix":""},{"dropping-particle":"","family":"Blumenthal","given":"Dana M","non-dropping-particle":"","parse-names":false,"suffix":""},{"dropping-particle":"","family":"Buckley","given":"Yvonne M","non-dropping-particle":"","parse-names":false,"suffix":""},{"dropping-particle":"","family":"Chu","given":"Chengjin","non-dropping-particle":"","parse-names":false,"suffix":""},{"dropping-particle":"","family":"Cleland","given":"Elsa E","non-dropping-particle":"","parse-names":false,"suffix":""},{"dropping-particle":"","family":"Collins","given":"Scott L","non-dropping-particle":"","parse-names":false,"suffix":""},{"dropping-particle":"","family":"Davies","given":"Kendi F","non-dropping-particle":"","parse-names":false,"suffix":""},{"dropping-particle":"","family":"Du","given":"Guozhen","non-dropping-particle":"","parse-names":false,"suffix":""},{"dropping-particle":"","family":"Feng","given":"Xiaohui","non-dropping-particle":"","parse-names":false,"suffix":""},{"dropping-particle":"","family":"Firn","given":"Jennifer","non-dropping-particle":"","parse-names":false,"suffix":""},{"dropping-particle":"","family":"Gruner","given":"Daniel S","non-dropping-particle":"","parse-names":false,"suffix":""},{"dropping-particle":"","family":"Hagenah","given":"Nicole","non-dropping-particle":"","parse-names":false,"suffix":""},{"dropping-particle":"","family":"Hautier","given":"Yann","non-dropping-particle":"","parse-names":false,"suffix":""},{"dropping-particle":"","family":"Heckman","given":"Robert W","non-dropping-particle":"","parse-names":false,"suffix":""},{"dropping-particle":"","family":"Jin","given":"Virginia L","non-dropping-particle":"","parse-names":false,"suffix":""},{"dropping-particle":"","family":"Kirkman","given":"Kevin P","non-dropping-particle":"","parse-names":false,"suffix":""},{"dropping-particle":"","family":"Klein","given":"Julia","non-dropping-particle":"","parse-names":false,"suffix":""},{"dropping-particle":"","family":"Ladwig","given":"Laura M","non-dropping-particle":"","parse-names":false,"suffix":""},{"dropping-particle":"","family":"Li","given":"Qi","non-dropping-particle":"","parse-names":false,"suffix":""},{"dropping-particle":"","family":"McCulley","given":"Rebecca L","non-dropping-particle":"","parse-names":false,"suffix":""},{"dropping-particle":"","family":"Melbourne","given":"Brett A","non-dropping-particle":"","parse-names":false,"suffix":""},{"dropping-particle":"","family":"Mitchell","given":"Charles E","non-dropping-particle":"","parse-names":false,"suffix":""},{"dropping-particle":"","family":"Moore","given":"Joslin L","non-dropping-particle":"","parse-names":false,"suffix":""},{"dropping-particle":"","family":"Morgan","given":"John W","non-dropping-particle":"","parse-names":false,"suffix":""},{"dropping-particle":"","family":"Risch","given":"Anita C","non-dropping-particle":"","parse-names":false,"suffix":""},{"dropping-particle":"","family":"Schütz","given":"Martin","non-dropping-particle":"","parse-names":false,"suffix":""},{"dropping-particle":"","family":"Stevens","given":"Carly J","non-dropping-particle":"","parse-names":false,"suffix":""},{"dropping-particle":"","family":"Wedin","given":"David A","non-dropping-particle":"","parse-names":false,"suffix":""},{"dropping-particle":"","family":"Yang","given":"Louie H","non-dropping-particle":"","parse-names":false,"suffix":""}],"container-title":"Nature Plants","id":"ITEM-1","issue":"7","issued":{"date-parts":[["2015","7","6"]]},"page":"15080","publisher":"Macmillan Publishers Limited","title":"Grassland productivity limited by multiple nutrients","type":"article-journal","volume":"1"},"uris":["http://www.mendeley.com/documents/?uuid=2c2e16af-d922-4d0e-83c6-4e6bbc0a75db"]}],"mendeley":{"formattedCitation":"&lt;sup&gt;3&lt;/sup&gt;","plainTextFormattedCitation":"3","previouslyFormattedCitation":"&lt;sup&gt;3&lt;/sup&gt;"},"properties":{"noteIndex":0},"schema":"https://github.com/citation-style-language/schema/raw/master/csl-citation.json"}</w:instrText>
      </w:r>
      <w:r w:rsidR="00FC24C5" w:rsidRPr="00FC24C5">
        <w:rPr>
          <w:color w:val="000000" w:themeColor="text1"/>
        </w:rPr>
        <w:fldChar w:fldCharType="separate"/>
      </w:r>
      <w:r w:rsidR="00667D65" w:rsidRPr="00667D65">
        <w:rPr>
          <w:noProof/>
          <w:color w:val="000000" w:themeColor="text1"/>
          <w:vertAlign w:val="superscript"/>
        </w:rPr>
        <w:t>3</w:t>
      </w:r>
      <w:r w:rsidR="00FC24C5" w:rsidRPr="00FC24C5">
        <w:rPr>
          <w:color w:val="000000" w:themeColor="text1"/>
        </w:rPr>
        <w:fldChar w:fldCharType="end"/>
      </w:r>
      <w:r w:rsidR="00612594" w:rsidRPr="00860424">
        <w:t xml:space="preserve">. </w:t>
      </w:r>
      <w:r w:rsidR="009A4B72" w:rsidRPr="00860424">
        <w:t>T</w:t>
      </w:r>
      <w:r w:rsidR="00D71701" w:rsidRPr="00860424">
        <w:t xml:space="preserve">he yield from agricultural grasslands is </w:t>
      </w:r>
      <w:r w:rsidR="009A4B72" w:rsidRPr="00860424">
        <w:t xml:space="preserve">often </w:t>
      </w:r>
      <w:r w:rsidR="00D71701" w:rsidRPr="00860424">
        <w:t>increased through the application of inorganic P fertili</w:t>
      </w:r>
      <w:r w:rsidR="000A1B5B" w:rsidRPr="00860424">
        <w:t>s</w:t>
      </w:r>
      <w:r w:rsidR="00D71701" w:rsidRPr="00860424">
        <w:t>ers</w:t>
      </w:r>
      <w:r w:rsidR="009A4B72" w:rsidRPr="00860424">
        <w:t>, but</w:t>
      </w:r>
      <w:r w:rsidR="00D71701" w:rsidRPr="00860424">
        <w:t xml:space="preserve"> excessive use of P fertilisers can lead to a soil P surplus </w:t>
      </w:r>
      <w:r w:rsidR="00FC24C5">
        <w:fldChar w:fldCharType="begin" w:fldLock="1"/>
      </w:r>
      <w:r w:rsidR="00CB44EE">
        <w:instrText>ADDIN CSL_CITATION {"citationItems":[{"id":"ITEM-1","itemData":{"DOI":"doi:10.1111/j.1475-2743.1998.tb00635.x","abstract":"Abstract. Phosphorus budgets have been compiled for two contrasting grassland farming systems in the UK; intensive dairy farming and extensive hill sheep production. Balance sheets of inputs, recycling of P through the soil–plant–animal pathway and outputs are presented to determine the potential rate of P accumulation in the two systems. A typical 57 ha intensive dairy farm with 129 lactating cows imports 2.48t P via fertilizer, bedding and concentrates, plus a small amount from the atmosphere, of which 0.98t are exported in milk, calves and transfer from soil to the aquatic environment. Therefore 1.5t of P are retained within the farm each year, which equates to an accumulation rate of 26 kg/ha in the plant‐soil system. This surplus occurs despite a fertilizer input of only 16 kg/ha. However, a large proportion of P, equivalent to 27 kg/ha, is imported in feed concentrates. For the typical 841 ha hill sheep farm supporting 694 Blackface ewes, P inputs and outputs are 0.66 and 0.42 t/yr, respectively. Therefore, approximately 0.24t P are retained within the farm, which is equivalent to an accumulation rate of 0.28 kg/ha per yr. In comparison to the small annual inputs and outputs of P on the hill farm, much P, 2.48t, is recycled through the plant‐soil and plant‐animal‐soil pathways on the hill sheep farm. For both farming systems there is a net input of P, although the rate of accumulation is ten times greater for the dairy farm where the annual retention of P represents 60% of the total P inputs, compared with 36% on the hill sheep farm.","author":[{"dropping-particle":"","family":"Haygarth","given":"P M","non-dropping-particle":"","parse-names":false,"suffix":""},{"dropping-particle":"","family":"Chapman","given":"P J","non-dropping-particle":"","parse-names":false,"suffix":""},{"dropping-particle":"","family":"Jarvis","given":"S C","non-dropping-particle":"","parse-names":false,"suffix":""},{"dropping-particle":"V","family":"Smith","given":"R","non-dropping-particle":"","parse-names":false,"suffix":""}],"container-title":"Soil Use and Management","id":"ITEM-1","issue":"s4","issued":{"date-parts":[["1998"]]},"page":"160-167","title":"Phosphorus budgets for two contrasting grassland farming systems in the UK","type":"article-journal","volume":"14"},"uris":["http://www.mendeley.com/documents/?uuid=380fe20f-2a83-40fc-a009-316a953ff765"]}],"mendeley":{"formattedCitation":"&lt;sup&gt;4&lt;/sup&gt;","plainTextFormattedCitation":"4","previouslyFormattedCitation":"&lt;sup&gt;4&lt;/sup&gt;"},"properties":{"noteIndex":0},"schema":"https://github.com/citation-style-language/schema/raw/master/csl-citation.json"}</w:instrText>
      </w:r>
      <w:r w:rsidR="00FC24C5">
        <w:fldChar w:fldCharType="separate"/>
      </w:r>
      <w:r w:rsidR="00667D65" w:rsidRPr="00667D65">
        <w:rPr>
          <w:noProof/>
          <w:vertAlign w:val="superscript"/>
        </w:rPr>
        <w:t>4</w:t>
      </w:r>
      <w:r w:rsidR="00FC24C5">
        <w:fldChar w:fldCharType="end"/>
      </w:r>
      <w:r w:rsidR="009A4B72" w:rsidRPr="00860424">
        <w:t>,</w:t>
      </w:r>
      <w:r w:rsidR="00D71701" w:rsidRPr="00860424">
        <w:t xml:space="preserve"> </w:t>
      </w:r>
      <w:r w:rsidR="001120F5" w:rsidRPr="00860424">
        <w:t>and</w:t>
      </w:r>
      <w:r w:rsidR="00D71701" w:rsidRPr="00860424">
        <w:t xml:space="preserve"> to detrimental environmental effects, especially on water quality. </w:t>
      </w:r>
      <w:r w:rsidR="00612594" w:rsidRPr="00860424">
        <w:t xml:space="preserve">To meet the increasing </w:t>
      </w:r>
      <w:r w:rsidR="001A3502" w:rsidRPr="00860424">
        <w:t xml:space="preserve">agricultural </w:t>
      </w:r>
      <w:r w:rsidR="00612594" w:rsidRPr="00860424">
        <w:t xml:space="preserve">demand in a sustainable way, we </w:t>
      </w:r>
      <w:r w:rsidR="00FE2A29" w:rsidRPr="00860424">
        <w:t xml:space="preserve">need </w:t>
      </w:r>
      <w:r w:rsidR="003E05E5" w:rsidRPr="00860424">
        <w:t>to</w:t>
      </w:r>
      <w:r w:rsidR="005D2B96">
        <w:t xml:space="preserve"> improve our understanding of P cycling </w:t>
      </w:r>
      <w:r w:rsidR="00FE2A29" w:rsidRPr="00860424">
        <w:t>in grassland</w:t>
      </w:r>
      <w:r w:rsidR="003E05E5" w:rsidRPr="00860424">
        <w:t xml:space="preserve"> </w:t>
      </w:r>
      <w:r w:rsidR="00FE2A29" w:rsidRPr="00860424">
        <w:t>s</w:t>
      </w:r>
      <w:r w:rsidR="003E05E5" w:rsidRPr="00860424">
        <w:t>oil</w:t>
      </w:r>
      <w:r w:rsidR="009A4B72" w:rsidRPr="00860424">
        <w:t>s</w:t>
      </w:r>
      <w:r w:rsidR="00FE2A29" w:rsidRPr="00860424">
        <w:t xml:space="preserve">. </w:t>
      </w:r>
    </w:p>
    <w:p w14:paraId="28A686DE" w14:textId="296E36CE" w:rsidR="005B3E7D" w:rsidRDefault="0000085F" w:rsidP="00E627AF">
      <w:pPr>
        <w:spacing w:line="360" w:lineRule="auto"/>
      </w:pPr>
      <w:r w:rsidRPr="00860424">
        <w:t>P</w:t>
      </w:r>
      <w:r w:rsidR="000472FB">
        <w:t>hosphorus</w:t>
      </w:r>
      <w:r w:rsidRPr="00860424">
        <w:t xml:space="preserve"> solubility</w:t>
      </w:r>
      <w:r w:rsidR="000472FB">
        <w:t>,</w:t>
      </w:r>
      <w:r w:rsidRPr="00860424">
        <w:t xml:space="preserve"> and </w:t>
      </w:r>
      <w:r w:rsidR="003E05E5" w:rsidRPr="00860424">
        <w:t xml:space="preserve">therefore </w:t>
      </w:r>
      <w:r w:rsidRPr="00860424">
        <w:t xml:space="preserve">its availability </w:t>
      </w:r>
      <w:r w:rsidR="003E05E5" w:rsidRPr="00860424">
        <w:t xml:space="preserve">to </w:t>
      </w:r>
      <w:r w:rsidRPr="00860424">
        <w:t>plants</w:t>
      </w:r>
      <w:r w:rsidR="000472FB">
        <w:t>,</w:t>
      </w:r>
      <w:r w:rsidRPr="00860424">
        <w:t xml:space="preserve"> is influenced by soil biotic and abiotic processes</w:t>
      </w:r>
      <w:r w:rsidR="0054735B" w:rsidRPr="00860424">
        <w:t xml:space="preserve">, e.g. </w:t>
      </w:r>
      <w:r w:rsidR="009A4B72" w:rsidRPr="00860424">
        <w:t>P</w:t>
      </w:r>
      <w:r w:rsidR="003E05E5" w:rsidRPr="00860424">
        <w:t xml:space="preserve"> uptake by </w:t>
      </w:r>
      <w:r w:rsidR="0008733B">
        <w:t>microorganisms</w:t>
      </w:r>
      <w:r w:rsidR="0088792A" w:rsidRPr="00860424">
        <w:t xml:space="preserve">, </w:t>
      </w:r>
      <w:r w:rsidR="003E05E5" w:rsidRPr="00860424">
        <w:t xml:space="preserve">the formation of organic P compounds, </w:t>
      </w:r>
      <w:r w:rsidR="0088792A" w:rsidRPr="00860424">
        <w:t xml:space="preserve">sorption onto </w:t>
      </w:r>
      <w:r w:rsidR="000472FB">
        <w:t xml:space="preserve">hydrous </w:t>
      </w:r>
      <w:r w:rsidR="0088792A" w:rsidRPr="00860424">
        <w:t xml:space="preserve">oxides or clay </w:t>
      </w:r>
      <w:r w:rsidR="000472FB">
        <w:t>silicates</w:t>
      </w:r>
      <w:r w:rsidR="000472FB" w:rsidRPr="00860424">
        <w:t xml:space="preserve"> </w:t>
      </w:r>
      <w:r w:rsidR="0088792A" w:rsidRPr="00860424">
        <w:t>and precipitation of P minerals</w:t>
      </w:r>
      <w:r w:rsidR="008510BE" w:rsidRPr="00860424">
        <w:t>, all of which</w:t>
      </w:r>
      <w:r w:rsidR="0088792A" w:rsidRPr="00860424">
        <w:t xml:space="preserve"> </w:t>
      </w:r>
      <w:r w:rsidR="003E05E5" w:rsidRPr="00860424">
        <w:t xml:space="preserve">can </w:t>
      </w:r>
      <w:r w:rsidR="0088792A" w:rsidRPr="00860424">
        <w:t>reduce the availability of P</w:t>
      </w:r>
      <w:r w:rsidR="003E05E5" w:rsidRPr="00860424">
        <w:t xml:space="preserve"> to plants</w:t>
      </w:r>
      <w:r w:rsidR="0088792A" w:rsidRPr="00860424">
        <w:t xml:space="preserve"> </w:t>
      </w:r>
      <w:r w:rsidR="00FC24C5">
        <w:fldChar w:fldCharType="begin" w:fldLock="1"/>
      </w:r>
      <w:r w:rsidR="00CB44EE">
        <w:instrText>ADDIN CSL_CITATION {"citationItems":[{"id":"ITEM-1","itemData":{"DOI":"10.1016/S0065-2113(06)94003-6","ISBN":"0065-2113","abstract":"Macroscopic[hyphen (true graphic)] to more recent molecular scale investigations have enhanced our knowledge of soil phosphorus (P) chemistry, including the retention/release mechanisms in soils and soil components. Phosphate uptake on metal (oxy)hydroxide and phyllosilicate mineral surfaces and in soils generally increases with decreasing pH. Rapid adsorption kinetics is generally observed on many soil adsorbents at acidic pH. P fixation mechanisms such as inner[hyphen (true graphic)]sphere complexation and intra[hyphen (true graphic)] and interparticle diffusion often result in slow P release (i.e., hysteresis and irreversible reactions), creating challenges in remediating agricultural soils with high accumulations of P. This chapter covers some of the historical soil P chemical research findings via macroscopic approaches but focuses on more recent molecular scale approaches for elucidating P retention/release mechanisms.","author":[{"dropping-particle":"","family":"Arai","given":"Yuji","non-dropping-particle":"","parse-names":false,"suffix":""},{"dropping-particle":"","family":"Sparks","given":"D.L.","non-dropping-particle":"","parse-names":false,"suffix":""}],"container-title":"Advances","id":"ITEM-1","issue":"06","issued":{"date-parts":[["2007"]]},"note":"doi: DOI: 10.1016/S0065-2113(06)94003-6","page":"135-179","publisher":"Academic Press","title":"Phosphate reaction dynamics in soils and soil components: A multiscale approach","type":"chapter","volume":"94"},"uris":["http://www.mendeley.com/documents/?uuid=2de17ea3-0145-4d28-91d5-a191c1bb91d4"]},{"id":"ITEM-2","itemData":{"DOI":"10.1007/s11104-011-0950-4","ISBN":"0032-079X","abstract":"Agricultural production is often limited by low phosphorus (P) availability. In developing countries, which have limited access to P fertiliser, there is a need to develop plants that are more efficient at low soil P. In fertilised and intensive systems, P-efficient plants are required to minimise inefficient use of P-inputs and to reduce potential for loss of P to the environment. Three strategies by which plants and microorganisms may improve P-use efficiency are outlined: (i) Root-foraging strategies that improve P acquisition by lowering the critical P requirement of plant growth and allowing agriculture to operate at lower levels of soil P; (ii) P-mining strategies to enhance the desorption, solubilisation or mineralisation of P from sparingly-available sources in soil using root exudates (organic anions, phosphatases), and (iii) improving internal P-utilisation efficiency through the use of plants that yield more per unit of P uptake. We critically review evidence that more P-efficient plants can be developed by modifying root growth and architecture, through manipulation of root exudates or by managing plant-microbial associations such as arbuscular mycorrhizal fungi and microbial inoculants. Opportunities to develop P-efficient plants through breeding or genetic modification are described and issues that may limit success including potential trade-offs and trait interactions are discussed. Whilst demonstrable progress has been made by selecting plants for root morphological traits, the potential for manipulating root physiological traits or selecting plants for low internal P concentration has yet to be realised.","author":[{"dropping-particle":"","family":"Richardson","given":"Alan E","non-dropping-particle":"","parse-names":false,"suffix":""},{"dropping-particle":"","family":"Lynch","given":"Jonathan P","non-dropping-particle":"","parse-names":false,"suffix":""},{"dropping-particle":"","family":"Ryan","given":"Peter R","non-dropping-particle":"","parse-names":false,"suffix":""},{"dropping-particle":"","family":"Delhaize","given":"Emmanuel","non-dropping-particle":"","parse-names":false,"suffix":""},{"dropping-particle":"","family":"Smith","given":"F Andrew","non-dropping-particle":"","parse-names":false,"suffix":""},{"dropping-particle":"","family":"Smith","given":"Sally E","non-dropping-particle":"","parse-names":false,"suffix":""},{"dropping-particle":"","family":"Harvey","given":"Paul R","non-dropping-particle":"","parse-names":false,"suffix":""},{"dropping-particle":"","family":"Ryan","given":"Megan H","non-dropping-particle":"","parse-names":false,"suffix":""},{"dropping-particle":"","family":"Veneklaas","given":"Erik J","non-dropping-particle":"","parse-names":false,"suffix":""},{"dropping-particle":"","family":"Lambers","given":"Hans","non-dropping-particle":"","parse-names":false,"suffix":""},{"dropping-particle":"","family":"Oberson","given":"Astrid","non-dropping-particle":"","parse-names":false,"suffix":""},{"dropping-particle":"","family":"Culvenor","given":"Richard A","non-dropping-particle":"","parse-names":false,"suffix":""},{"dropping-particle":"","family":"Simpson","given":"Richard J","non-dropping-particle":"","parse-names":false,"suffix":""}],"container-title":"Plant and Soil","id":"ITEM-2","issue":"1-2","issued":{"date-parts":[["2011"]]},"note":"Times Cited: 32\nSi","page":"121-156","title":"Plant and microbial strategies to improve the phosphorus efficiency of agriculture","type":"article-journal","volume":"349"},"uris":["http://www.mendeley.com/documents/?uuid=fb682823-1c69-45da-a96d-965da352f2fc"]}],"mendeley":{"formattedCitation":"&lt;sup&gt;5,6&lt;/sup&gt;","plainTextFormattedCitation":"5,6","previouslyFormattedCitation":"&lt;sup&gt;5,6&lt;/sup&gt;"},"properties":{"noteIndex":0},"schema":"https://github.com/citation-style-language/schema/raw/master/csl-citation.json"}</w:instrText>
      </w:r>
      <w:r w:rsidR="00FC24C5">
        <w:fldChar w:fldCharType="separate"/>
      </w:r>
      <w:r w:rsidR="00667D65" w:rsidRPr="00667D65">
        <w:rPr>
          <w:noProof/>
          <w:vertAlign w:val="superscript"/>
        </w:rPr>
        <w:t>5,6</w:t>
      </w:r>
      <w:r w:rsidR="00FC24C5">
        <w:fldChar w:fldCharType="end"/>
      </w:r>
      <w:r w:rsidR="0088792A" w:rsidRPr="00860424">
        <w:t xml:space="preserve">. </w:t>
      </w:r>
      <w:r w:rsidR="006C58DE" w:rsidRPr="00860424">
        <w:t xml:space="preserve">Plants, as well as microorganisms, can adapt to P limitation by increasing the internal use efficiency of P or by increasing </w:t>
      </w:r>
      <w:r w:rsidR="0008733B">
        <w:t xml:space="preserve">P </w:t>
      </w:r>
      <w:r w:rsidR="003B77AB">
        <w:t>availability</w:t>
      </w:r>
      <w:r w:rsidR="0008733B">
        <w:t xml:space="preserve"> in the soil</w:t>
      </w:r>
      <w:r w:rsidR="006C58DE" w:rsidRPr="00860424">
        <w:t xml:space="preserve">. This involves processes like replacing phospholipids by </w:t>
      </w:r>
      <w:proofErr w:type="spellStart"/>
      <w:r w:rsidR="006C58DE" w:rsidRPr="00860424">
        <w:t>sulfo</w:t>
      </w:r>
      <w:proofErr w:type="spellEnd"/>
      <w:r w:rsidR="006C58DE" w:rsidRPr="00860424">
        <w:t>-galactolipids</w:t>
      </w:r>
      <w:r w:rsidR="00225126">
        <w:t xml:space="preserve"> and</w:t>
      </w:r>
      <w:r w:rsidR="006C58DE" w:rsidRPr="00860424">
        <w:t xml:space="preserve"> </w:t>
      </w:r>
      <w:r w:rsidR="00331CB4">
        <w:t>exuding</w:t>
      </w:r>
      <w:r w:rsidR="00331CB4" w:rsidRPr="00860424">
        <w:t xml:space="preserve"> </w:t>
      </w:r>
      <w:r w:rsidR="006C58DE" w:rsidRPr="00860424">
        <w:t>organic acids and phosphatases</w:t>
      </w:r>
      <w:r w:rsidR="000472FB">
        <w:t>,</w:t>
      </w:r>
      <w:r w:rsidR="00BA3BC9">
        <w:t xml:space="preserve"> respectively</w:t>
      </w:r>
      <w:r w:rsidR="006C58DE" w:rsidRPr="00860424">
        <w:t>.</w:t>
      </w:r>
      <w:r w:rsidR="00225126">
        <w:t xml:space="preserve"> Associations with </w:t>
      </w:r>
      <w:r w:rsidR="00225126" w:rsidRPr="00EA32E7">
        <w:t>mycorrhizal fungi</w:t>
      </w:r>
      <w:r w:rsidR="00225126">
        <w:t xml:space="preserve"> are also a common strategy of plants to increase P availability.</w:t>
      </w:r>
      <w:r w:rsidR="006C58DE" w:rsidRPr="00860424">
        <w:t xml:space="preserve"> </w:t>
      </w:r>
      <w:r w:rsidR="000472FB">
        <w:t>However, n</w:t>
      </w:r>
      <w:r w:rsidR="006C58DE" w:rsidRPr="00860424">
        <w:t xml:space="preserve">ot all adaptations are </w:t>
      </w:r>
      <w:r w:rsidR="00331CB4">
        <w:t xml:space="preserve">understood </w:t>
      </w:r>
      <w:r w:rsidR="006C58DE" w:rsidRPr="00860424">
        <w:t>and it is</w:t>
      </w:r>
      <w:r w:rsidR="00331CB4">
        <w:t>,</w:t>
      </w:r>
      <w:r w:rsidR="006C58DE" w:rsidRPr="00860424">
        <w:t xml:space="preserve"> for example</w:t>
      </w:r>
      <w:r w:rsidR="00331CB4">
        <w:t>,</w:t>
      </w:r>
      <w:r w:rsidR="006C58DE" w:rsidRPr="00860424">
        <w:t xml:space="preserve"> still unclear how microorganisms cope with P limitation and low soil pH at the same time </w:t>
      </w:r>
      <w:r w:rsidR="00FC24C5">
        <w:fldChar w:fldCharType="begin" w:fldLock="1"/>
      </w:r>
      <w:r w:rsidR="00CB44EE">
        <w:instrText>ADDIN CSL_CITATION {"citationItems":[{"id":"ITEM-1","itemData":{"DOI":"10.1002/mbo3.474","ISBN":"2045-8827","ISSN":"20458827","abstract":"© 2017 The Authors. MicrobiologyOpen published by John Wiley &amp; Sons Ltd. In soil, bioavailable inorganic orthophosphate is found at low concentrations and thus limits biological growth. To overcome this phosphorus scarcity, plants and bacteria secrete numerous enzymes, namely acid and alkaline phosphatases, which cleave orthophosphate from various organic phosphorus substrates. Using profile hidden Markov modeling approaches, we investigated the abundance of various non specific phosphatases, both acid and alkaline, in metagenomes retrieved from soils with contrasting pH regimes. This analysis uncovered a marked reduction in the abundance and diversity of various alkaline phosphatases in low-pH soils that was not counterbalanced by an increase in acid phosphatases. Furthermore, it was also discovered that only half of the bacterial strains from different phyla deposited in the Integrated Microbial Genomes database harbor alkaline phosphatases. Taken together, our data suggests that these ‘phosphatase lacking’ isolates likely increase in low-pH soils and future research should ascertain how these bacteria overcome phosphorus scarcity.","author":[{"dropping-particle":"","family":"Lidbury","given":"Ian D. E. A.","non-dropping-particle":"","parse-names":false,"suffix":""},{"dropping-particle":"","family":"Fraser","given":"Tandra","non-dropping-particle":"","parse-names":false,"suffix":""},{"dropping-particle":"","family":"Murphy","given":"Andrew R. J.","non-dropping-particle":"","parse-names":false,"suffix":""},{"dropping-particle":"","family":"Scanlan","given":"David J.","non-dropping-particle":"","parse-names":false,"suffix":""},{"dropping-particle":"","family":"Bending","given":"Gary D.","non-dropping-particle":"","parse-names":false,"suffix":""},{"dropping-particle":"","family":"Jones","given":"Alexandra M. E.","non-dropping-particle":"","parse-names":false,"suffix":""},{"dropping-particle":"","family":"Moore","given":"Jonathan D.","non-dropping-particle":"","parse-names":false,"suffix":""},{"dropping-particle":"","family":"Goodall","given":"Andrew","non-dropping-particle":"","parse-names":false,"suffix":""},{"dropping-particle":"","family":"Tibbett","given":"Mark","non-dropping-particle":"","parse-names":false,"suffix":""},{"dropping-particle":"","family":"Hammond","given":"John P.","non-dropping-particle":"","parse-names":false,"suffix":""},{"dropping-particle":"","family":"Wellington","given":"Elizabeth M. H.","non-dropping-particle":"","parse-names":false,"suffix":""}],"container-title":"MicrobiologyOpen","id":"ITEM-1","issue":"4","issued":{"date-parts":[["2017","8"]]},"page":"e00474","title":"The ‘known’ genetic potential for microbial communities to degrade organic phosphorus is reduced in low-pH soils","type":"article-journal","volume":"6"},"uris":["http://www.mendeley.com/documents/?uuid=37d862a2-e7f4-4362-b6bb-a133182d01f1"]}],"mendeley":{"formattedCitation":"&lt;sup&gt;7&lt;/sup&gt;","plainTextFormattedCitation":"7","previouslyFormattedCitation":"&lt;sup&gt;7&lt;/sup&gt;"},"properties":{"noteIndex":0},"schema":"https://github.com/citation-style-language/schema/raw/master/csl-citation.json"}</w:instrText>
      </w:r>
      <w:r w:rsidR="00FC24C5">
        <w:fldChar w:fldCharType="separate"/>
      </w:r>
      <w:r w:rsidR="00667D65" w:rsidRPr="00667D65">
        <w:rPr>
          <w:noProof/>
          <w:vertAlign w:val="superscript"/>
        </w:rPr>
        <w:t>7</w:t>
      </w:r>
      <w:r w:rsidR="00FC24C5">
        <w:fldChar w:fldCharType="end"/>
      </w:r>
      <w:r w:rsidR="006C58DE" w:rsidRPr="00860424">
        <w:t xml:space="preserve">. </w:t>
      </w:r>
      <w:r w:rsidR="009A67BC">
        <w:t xml:space="preserve">P availability is </w:t>
      </w:r>
      <w:r w:rsidR="009E154E">
        <w:t xml:space="preserve">often said to be </w:t>
      </w:r>
      <w:r w:rsidR="00826937">
        <w:t xml:space="preserve">highest </w:t>
      </w:r>
      <w:r w:rsidR="009E154E">
        <w:t>around a neutral soil pH</w:t>
      </w:r>
      <w:r w:rsidR="001D441C">
        <w:t xml:space="preserve"> </w:t>
      </w:r>
      <w:r w:rsidR="001D441C">
        <w:fldChar w:fldCharType="begin" w:fldLock="1"/>
      </w:r>
      <w:r w:rsidR="00CB44EE">
        <w:instrText>ADDIN CSL_CITATION {"citationItems":[{"id":"ITEM-1","itemData":{"ISBN":"3-432-84774-2","author":[{"dropping-particle":"","family":"Scheffer","given":"Fritz","non-dropping-particle":"","parse-names":false,"suffix":""},{"dropping-particle":"","family":"Schachtschabel","given":"Paul","non-dropping-particle":"","parse-names":false,"suffix":""}],"edition":"14.","id":"ITEM-1","issued":{"date-parts":[["1998"]]},"number-of-pages":"494","publisher":"Enke","publisher-place":"Stuttgart","title":"Lehrbuch der Bodenkunde: 100 Tabellen","title-short":"Scheffer, Schachtschabel 1998 – Lehrbuch der Boden","type":"book"},"uris":["http://www.mendeley.com/documents/?uuid=dfdfee82-7a46-4688-b5d2-74c0a5c7b452"]}],"mendeley":{"formattedCitation":"&lt;sup&gt;8&lt;/sup&gt;","plainTextFormattedCitation":"8","previouslyFormattedCitation":"&lt;sup&gt;8&lt;/sup&gt;"},"properties":{"noteIndex":0},"schema":"https://github.com/citation-style-language/schema/raw/master/csl-citation.json"}</w:instrText>
      </w:r>
      <w:r w:rsidR="001D441C">
        <w:fldChar w:fldCharType="separate"/>
      </w:r>
      <w:r w:rsidR="00667D65" w:rsidRPr="00667D65">
        <w:rPr>
          <w:noProof/>
          <w:vertAlign w:val="superscript"/>
        </w:rPr>
        <w:t>8</w:t>
      </w:r>
      <w:r w:rsidR="001D441C">
        <w:fldChar w:fldCharType="end"/>
      </w:r>
      <w:r w:rsidR="00826937">
        <w:t>.</w:t>
      </w:r>
      <w:r w:rsidR="007050A6">
        <w:t xml:space="preserve"> </w:t>
      </w:r>
      <w:r w:rsidR="00612B9A">
        <w:t xml:space="preserve">Below optimum pH values are a global problem due to soil acidification </w:t>
      </w:r>
      <w:r w:rsidR="00A03C05">
        <w:fldChar w:fldCharType="begin" w:fldLock="1"/>
      </w:r>
      <w:r w:rsidR="00CB44EE">
        <w:instrText>ADDIN CSL_CITATION {"citationItems":[{"id":"ITEM-1","itemData":{"DOI":"10.1088/1748-9326/10/2/024019","ISSN":"1748-9326","abstract":"Nitrogen (N) deposition-induced soil acidification has become a global problem. However, the response patterns of soil acidification to N addition and the underlying mechanisms remain far from clear. Here, we conducted a meta-analysis of 106 studies to reveal global patterns of soil acidification in responses to N addition. We found that N addition significantly reduced soil pH by 0.26 on average globally. However, the responses of soil pH varied with ecosystem types, N addition rate, N fertilization forms, and experimental durations. Soil pH decreased most in grassland, whereas boreal forest was not observed a decrease to N addition in soil acidification. Soil pH decreased linearly with N addition rates. Addition of urea and NH4NO3 contributed more to soil acidification than NH4-form fertilizer. When experimental duration was longer than 20 years, N addition effects on soil acidification diminished. Environmental factors such as initial soil pH, soil carbon and nitrogen content, precipitation, and temperature all influenced the responses of soil pH. Base cations of Ca2+, Mg2+ and K+ were critical important in buffering against N-induced soil acidification at the early stage. However, N addition has shifted global soils into the Al3+ buffering phase. Overall, this study indicates that acidification in global soils is very sensitive to N deposition, which is greatly modified by biotic and abiotic factors. Global soils are now at a buffering transition from base cations (Ca2+, Mg2+ and K+) to non-base cations (Mn2+ and Al3+). This calls our attention to care about the limitation of base cations and the toxic impact of non-base cations for terrestrial ecosystems with N deposition.","author":[{"dropping-particle":"","family":"Tian","given":"Dashuan","non-dropping-particle":"","parse-names":false,"suffix":""},{"dropping-particle":"","family":"Niu","given":"Shuli","non-dropping-particle":"","parse-names":false,"suffix":""}],"container-title":"Environmental Research Letters","id":"ITEM-1","issue":"2","issued":{"date-parts":[["2015"]]},"page":"24019","publisher":"IOP Publishing","title":"A global analysis of soil acidification caused by nitrogen addition","type":"article-journal","volume":"10"},"uris":["http://www.mendeley.com/documents/?uuid=35677f75-7aeb-4c9e-8d78-bc9f863a6f75"]},{"id":"ITEM-2","itemData":{"author":[{"dropping-particle":"","family":"Slessarev","given":"E W","non-dropping-particle":"","parse-names":false,"suffix":""},{"dropping-particle":"","family":"Lin","given":"Y","non-dropping-particle":"","parse-names":false,"suffix":""},{"dropping-particle":"","family":"Bingham","given":"N L","non-dropping-particle":"","parse-names":false,"suffix":""},{"dropping-particle":"","family":"Johnson","given":"J E","non-dropping-particle":"","parse-names":false,"suffix":""},{"dropping-particle":"","family":"Dai","given":"Y","non-dropping-particle":"","parse-names":false,"suffix":""},{"dropping-particle":"","family":"Schimel","given":"J P","non-dropping-particle":"","parse-names":false,"suffix":""},{"dropping-particle":"","family":"Chadwick","given":"O A","non-dropping-particle":"","parse-names":false,"suffix":""}],"container-title":"Nature","id":"ITEM-2","issued":{"date-parts":[["2016","11","21"]]},"page":"567","publisher":"Macmillan Publishers Limited, part of Springer Nature. All rights reserved.","title":"Water balance creates a threshold in soil pH at the global scale","type":"article-journal","volume":"540"},"uris":["http://www.mendeley.com/documents/?uuid=e7dee8e6-ae8a-41dc-8861-260238821cdb"]}],"mendeley":{"formattedCitation":"&lt;sup&gt;9,10&lt;/sup&gt;","plainTextFormattedCitation":"9,10","previouslyFormattedCitation":"&lt;sup&gt;9,10&lt;/sup&gt;"},"properties":{"noteIndex":0},"schema":"https://github.com/citation-style-language/schema/raw/master/csl-citation.json"}</w:instrText>
      </w:r>
      <w:r w:rsidR="00A03C05">
        <w:fldChar w:fldCharType="separate"/>
      </w:r>
      <w:r w:rsidR="00667D65" w:rsidRPr="00667D65">
        <w:rPr>
          <w:noProof/>
          <w:vertAlign w:val="superscript"/>
        </w:rPr>
        <w:t>9,10</w:t>
      </w:r>
      <w:r w:rsidR="00A03C05">
        <w:fldChar w:fldCharType="end"/>
      </w:r>
      <w:r w:rsidR="00A03C05">
        <w:t xml:space="preserve"> </w:t>
      </w:r>
      <w:r w:rsidR="00612B9A">
        <w:t xml:space="preserve">and could thus further challenge the sustainable intensification of agriculture. </w:t>
      </w:r>
      <w:r w:rsidR="007050A6">
        <w:t xml:space="preserve">This </w:t>
      </w:r>
      <w:r w:rsidR="00612B9A">
        <w:t xml:space="preserve">pH optimum </w:t>
      </w:r>
      <w:r w:rsidR="009E154E">
        <w:t xml:space="preserve">for P availability </w:t>
      </w:r>
      <w:r w:rsidR="007050A6">
        <w:t>was questioned recently by</w:t>
      </w:r>
      <w:r w:rsidR="00741C1A">
        <w:t xml:space="preserve"> Barrow </w:t>
      </w:r>
      <w:r w:rsidR="00741C1A">
        <w:fldChar w:fldCharType="begin" w:fldLock="1"/>
      </w:r>
      <w:r w:rsidR="00514FE3">
        <w:instrText>ADDIN CSL_CITATION {"citationItems":[{"id":"ITEM-1","itemData":{"DOI":"10.1007/s11104-016-3008-9","ISBN":"0032-079X\r1573-5036","author":[{"dropping-particle":"","family":"Barrow","given":"N J","non-dropping-particle":"","parse-names":false,"suffix":""}],"chapter-number":"401","container-title":"Plant and Soil","id":"ITEM-1","issue":"1-2","issued":{"date-parts":[["2016"]]},"page":"401-410","title":"The effects of pH on phosphate uptake from the soil","type":"article-journal","volume":"410"},"uris":["http://www.mendeley.com/documents/?uuid=96887547-2178-479f-948f-02a055c4b110"]}],"mendeley":{"formattedCitation":"&lt;sup&gt;11&lt;/sup&gt;","plainTextFormattedCitation":"11","previouslyFormattedCitation":"&lt;sup&gt;11&lt;/sup&gt;"},"properties":{"noteIndex":0},"schema":"https://github.com/citation-style-language/schema/raw/master/csl-citation.json"}</w:instrText>
      </w:r>
      <w:r w:rsidR="00741C1A">
        <w:fldChar w:fldCharType="separate"/>
      </w:r>
      <w:r w:rsidR="00741C1A" w:rsidRPr="00741C1A">
        <w:rPr>
          <w:noProof/>
          <w:vertAlign w:val="superscript"/>
        </w:rPr>
        <w:t>11</w:t>
      </w:r>
      <w:r w:rsidR="00741C1A">
        <w:fldChar w:fldCharType="end"/>
      </w:r>
      <w:r w:rsidR="00612B9A">
        <w:t>, citing only laboratory studies</w:t>
      </w:r>
      <w:r w:rsidR="005A2622">
        <w:t xml:space="preserve"> for the determination of the pH optimum</w:t>
      </w:r>
      <w:r w:rsidR="00612B9A">
        <w:t>.</w:t>
      </w:r>
      <w:r w:rsidR="007050A6">
        <w:t xml:space="preserve"> </w:t>
      </w:r>
      <w:r w:rsidR="00612B9A">
        <w:t>B</w:t>
      </w:r>
      <w:r w:rsidR="007050A6">
        <w:t xml:space="preserve">ut as pointed out by </w:t>
      </w:r>
      <w:proofErr w:type="spellStart"/>
      <w:r w:rsidR="007050A6">
        <w:t>Simonsson</w:t>
      </w:r>
      <w:proofErr w:type="spellEnd"/>
      <w:r w:rsidR="007050A6">
        <w:t xml:space="preserve"> et al.</w:t>
      </w:r>
      <w:r w:rsidR="00612B9A">
        <w:t xml:space="preserve"> </w:t>
      </w:r>
      <w:r w:rsidR="00612B9A">
        <w:fldChar w:fldCharType="begin" w:fldLock="1"/>
      </w:r>
      <w:r w:rsidR="00CB44EE">
        <w:instrText>ADDIN CSL_CITATION {"citationItems":[{"id":"ITEM-1","itemData":{"DOI":"10.1016/j.geoderma.2017.11.019","ISBN":"0016-7061","ISSN":"00167061","abstract":"Published laboratory studies suggest minimum solubility of soil phosphorus (P) in the pH range traditionally considered as the target for lime applications on agricultural land. However, the potential significance of these results for the timescale relevant in practical agriculture remains to demonstrate. We revisited four long-term (50–76years) agricultural lime experiments located on Quaternary deposits with topsoil texture ranging from silt loam to silty clay and initial pH between 5.0 and 6.0. Crop uptake data and desorption experiments in the laboratory indicated that liming enhanced the solubility of P added with fertiliser in the decades following the application of lime. An empirical mass-balance model demonstrated that changes in acetate-lactate extractable P (‘P-AL’), previously shown to be related to reactive phosphate adsorbed on soil mineral surfaces, was proportional to field P balances (fertiliser P – harvested P) and inversely proportional to the net proton load to the soil. Extraction data suggest that liming enhanced the incorporation of silica in non-crystalline sesquioxides, which in turn inhibited the conversion of fertiliser P into less extractable forms by migration of P to inside the oxides. Liming induced a lowering of the C/N ratio in one of the experiments, suggesting stimulated decomposition of soil organic matter. However, lime applications did not lead to a decline in the pool of soil organic P, as measured by the combustion method. Mass-balance considerations showed that changes in organic-matter input due to liming were unlikely to result in observable changes in the pool of soil organic P.","author":[{"dropping-particle":"","family":"Simonsson","given":"Magnus","non-dropping-particle":"","parse-names":false,"suffix":""},{"dropping-particle":"","family":"Östlund","given":"Anna","non-dropping-particle":"","parse-names":false,"suffix":""},{"dropping-particle":"","family":"Renfjäll","given":"Lina","non-dropping-particle":"","parse-names":false,"suffix":""},{"dropping-particle":"","family":"Sigtryggsson","given":"Christian","non-dropping-particle":"","parse-names":false,"suffix":""},{"dropping-particle":"","family":"Börjesson","given":"Gunnar","non-dropping-particle":"","parse-names":false,"suffix":""},{"dropping-particle":"","family":"Kätterer","given":"Thomas","non-dropping-particle":"","parse-names":false,"suffix":""}],"container-title":"Geoderma","id":"ITEM-1","issued":{"date-parts":[["2018","4"]]},"page":"208-219","title":"Pools and solubility of soil phosphorus as affected by liming in long-term agricultural field experiments","type":"article-journal","volume":"315"},"suppress-author":1,"uris":["http://www.mendeley.com/documents/?uuid=0fd763a4-7643-4745-b6fa-a3c42448cd5e"]}],"mendeley":{"formattedCitation":"&lt;sup&gt;12&lt;/sup&gt;","plainTextFormattedCitation":"12","previouslyFormattedCitation":"&lt;sup&gt;12&lt;/sup&gt;"},"properties":{"noteIndex":0},"schema":"https://github.com/citation-style-language/schema/raw/master/csl-citation.json"}</w:instrText>
      </w:r>
      <w:r w:rsidR="00612B9A">
        <w:fldChar w:fldCharType="separate"/>
      </w:r>
      <w:r w:rsidR="00667D65" w:rsidRPr="00667D65">
        <w:rPr>
          <w:noProof/>
          <w:vertAlign w:val="superscript"/>
        </w:rPr>
        <w:t>12</w:t>
      </w:r>
      <w:r w:rsidR="00612B9A">
        <w:fldChar w:fldCharType="end"/>
      </w:r>
      <w:r w:rsidR="007050A6">
        <w:t xml:space="preserve">, the effect of liming on P cycling under field conditions cannot be predicted by laboratory-based studies. </w:t>
      </w:r>
      <w:r w:rsidR="00BF70D6">
        <w:t>T</w:t>
      </w:r>
      <w:r w:rsidR="005B3E7D" w:rsidRPr="00860424">
        <w:t xml:space="preserve">he Park Grass Continuous Hay experiment at Rothamsted Research (Harpenden, UK) </w:t>
      </w:r>
      <w:r w:rsidR="007050A6">
        <w:t xml:space="preserve">is one of the few field experiments investigating the effect of soil pH. </w:t>
      </w:r>
      <w:r w:rsidR="00612B9A">
        <w:t xml:space="preserve">Park Grass </w:t>
      </w:r>
      <w:r w:rsidR="00612B9A" w:rsidRPr="00860424">
        <w:t xml:space="preserve">contains plots that have received different lime applications for over 100 years, resulting in soils with </w:t>
      </w:r>
      <w:r w:rsidR="00612B9A">
        <w:t>distinct</w:t>
      </w:r>
      <w:r w:rsidR="00612B9A" w:rsidRPr="00860424">
        <w:t xml:space="preserve"> pH</w:t>
      </w:r>
      <w:r w:rsidR="00612B9A">
        <w:t xml:space="preserve"> values </w:t>
      </w:r>
      <w:r w:rsidR="00612B9A">
        <w:fldChar w:fldCharType="begin" w:fldLock="1"/>
      </w:r>
      <w:r w:rsidR="00CB44EE">
        <w:instrText>ADDIN CSL_CITATION {"citationItems":[{"id":"ITEM-1","itemData":{"author":[{"dropping-particle":"","family":"Rothamsted Long-term Experiments","given":"","non-dropping-particle":"","parse-names":false,"suffix":""}],"id":"ITEM-1","issued":{"date-parts":[["2018"]]},"number-of-pages":"1-58","title":"Rothamsted research: guide to the classical and other long-term experiments, datasets and sample archive","type":"report"},"uris":["http://www.mendeley.com/documents/?uuid=279bd744-6e00-4c4f-b8cd-4dde92a3f5d6"]}],"mendeley":{"formattedCitation":"&lt;sup&gt;13&lt;/sup&gt;","plainTextFormattedCitation":"13","previouslyFormattedCitation":"&lt;sup&gt;13&lt;/sup&gt;"},"properties":{"noteIndex":0},"schema":"https://github.com/citation-style-language/schema/raw/master/csl-citation.json"}</w:instrText>
      </w:r>
      <w:r w:rsidR="00612B9A">
        <w:fldChar w:fldCharType="separate"/>
      </w:r>
      <w:r w:rsidR="00667D65" w:rsidRPr="00667D65">
        <w:rPr>
          <w:noProof/>
          <w:vertAlign w:val="superscript"/>
        </w:rPr>
        <w:t>13</w:t>
      </w:r>
      <w:r w:rsidR="00612B9A">
        <w:fldChar w:fldCharType="end"/>
      </w:r>
      <w:r w:rsidR="00612B9A">
        <w:t>. Based on data from Park Grass,</w:t>
      </w:r>
      <w:r w:rsidR="007050A6">
        <w:t xml:space="preserve"> the effect of soil pH on </w:t>
      </w:r>
      <w:r w:rsidR="007050A6" w:rsidRPr="00860424">
        <w:t xml:space="preserve">plant species diversity </w:t>
      </w:r>
      <w:r w:rsidR="007050A6">
        <w:fldChar w:fldCharType="begin" w:fldLock="1"/>
      </w:r>
      <w:r w:rsidR="00CB44EE">
        <w:instrText>ADDIN CSL_CITATION {"citationItems":[{"id":"ITEM-1","itemData":{"DOI":"10.1086/427270","ISBN":"0003-0147","abstract":"The Park Grass Experiment at Rothamsted in southeast England was started in 1856, making it the longest-running experiment in plant ecology anywhere in the world. Experimental inputs include a range of fertilizers (nitrogen, phosphorus, potassium, and organic manures) applied annually, with lime applied occasionally, and these have led to an increase in biomass and, where nitrogen was applied in the form of ammonium sulfate, to substantial decreases in soil pH. The number of species per plot varies from three to 44 per 200 m(2), affording a unique opportunity to study the determinants of plant species richness and to estimate the effect sizes attributable to different factors. The response of species richness to biomass depends on the amount and type of nitrogen applied; richness declined monotonically with increasing biomass on plots receiving no nitrogen or receiving nitrogen in the form of sodium nitrate, but there was no relationship between species richness and biomass on plots acidified by ammonium sulfate application. The response to lime also depended on the type of nitrogen applied; there was no relationship between lime treatment and species richness, except in plots receiving nitrogen in the form of ammonium sulfate, where species richness increased sharply with increasing soil pH. The addition of phosphorus reduced species richness, and application of potassium along with phosphorus reduced species richness further, but the biggest negative effects were when nitrogen and phosphorus were applied together. The analysis demonstrates how multiple factors contribute to the observed diversity patterns and how environmental regulation of species pools can operate at the same spatial and temporal scale as biomass effects.","author":[{"dropping-particle":"","family":"Crawley","given":"M J","non-dropping-particle":"","parse-names":false,"suffix":""},{"dropping-particle":"","family":"Johnston","given":"A E","non-dropping-particle":"","parse-names":false,"suffix":""},{"dropping-particle":"","family":"Silvertown","given":"J","non-dropping-particle":"","parse-names":false,"suffix":""},{"dropping-particle":"","family":"Dodd","given":"M","non-dropping-particle":"","parse-names":false,"suffix":""},{"dropping-particle":"","family":"Mazancourt","given":"C","non-dropping-particle":"de","parse-names":false,"suffix":""},{"dropping-particle":"","family":"Heard","given":"M S","non-dropping-particle":"","parse-names":false,"suffix":""},{"dropping-particle":"","family":"Henman","given":"D F","non-dropping-particle":"","parse-names":false,"suffix":""},{"dropping-particle":"","family":"Edwards","given":"G R","non-dropping-particle":"","parse-names":false,"suffix":""}],"container-title":"American Naturalist","id":"ITEM-1","issue":"2","issued":{"date-parts":[["2005"]]},"language":"English","note":"ISI Document Delivery No.: 895HT\nTimes Cited: 95\nCited Reference Count: 44\nCrawley, MJ Johnston, AE Silvertown, J Dodd, M de Mazancourt, C Heard, MS Henman, DF Edwards, GR\nHeard, Matthew/E-6743-2012\n105\n16\n87\nUniv chicago press\nChicago","page":"179-192","title":"Determinants of species richness in the park grass experiment","type":"article-journal","volume":"165"},"uris":["http://www.mendeley.com/documents/?uuid=aed461f8-09b6-4afe-87fa-25d4a7b405ef"]}],"mendeley":{"formattedCitation":"&lt;sup&gt;14&lt;/sup&gt;","plainTextFormattedCitation":"14","previouslyFormattedCitation":"&lt;sup&gt;14&lt;/sup&gt;"},"properties":{"noteIndex":0},"schema":"https://github.com/citation-style-language/schema/raw/master/csl-citation.json"}</w:instrText>
      </w:r>
      <w:r w:rsidR="007050A6">
        <w:fldChar w:fldCharType="separate"/>
      </w:r>
      <w:r w:rsidR="00667D65" w:rsidRPr="00667D65">
        <w:rPr>
          <w:noProof/>
          <w:vertAlign w:val="superscript"/>
        </w:rPr>
        <w:t>14</w:t>
      </w:r>
      <w:r w:rsidR="007050A6">
        <w:fldChar w:fldCharType="end"/>
      </w:r>
      <w:r w:rsidR="007050A6">
        <w:t xml:space="preserve"> and</w:t>
      </w:r>
      <w:r w:rsidR="007050A6" w:rsidRPr="00860424">
        <w:t xml:space="preserve"> the microbial abundance and community structure in the soil </w:t>
      </w:r>
      <w:r w:rsidR="007050A6">
        <w:fldChar w:fldCharType="begin" w:fldLock="1"/>
      </w:r>
      <w:r w:rsidR="00CB44EE">
        <w:instrText>ADDIN CSL_CITATION {"citationItems":[{"id":"ITEM-1","itemData":{"DOI":"10.1007/s00248-014-0530-2","ISBN":"1432-184X","abstract":"The Park Grass experiment (PGE) in the UK has been ongoing since 1856. Its purpose is to study the response of biological communities to the long-term treatments and associated changes in soil parameters, particularly soil pH. In this study, soil samples were collected across pH gradient (pH 3.6–7) and a range of fertilizers (nitrogen as ammonium sulfate, nitrogen as sodium nitrate, phosphorous) to evaluate the effects nutrients have on soil parameters and microbial community structure. Illumina 16S ribosomal RNA (rRNA) amplicon sequencing was used to determine the relative abundances and diversity of bacterial and archaeal taxa. Relationships between treatments, measured soil parameters, and microbial communities were evaluated. Clostridium, Bacteroides, Bradyrhizobium, Mycobacterium, Ruminococcus, Paenibacillus, and Rhodoplanes were the most abundant genera found at the PGE. The main soil parameter that determined microbial composition, diversity, and biomass in the PGE soil was pH. The most probable mechanism of the pH impact on microbial community may include mediation of nutrient availability in the soil. Addition of nitrogen to the PGE plots as ammonium sulfate decreases soil pH through increased nitrification, which causes buildup of soil carbon, and hence increases C/N ratio. Plant species richness and plant productivity did not reveal significant relationships with microbial diversity; however, plant species richness was positively correlated with soil microbial biomass. Plants responded to the nitrogen treatments with an increase in productivity and a decrease in the species richness.","author":[{"dropping-particle":"","family":"Zhalnina","given":"Kateryna","non-dropping-particle":"","parse-names":false,"suffix":""},{"dropping-particle":"","family":"Dias","given":"Raquel","non-dropping-particle":"","parse-names":false,"suffix":""},{"dropping-particle":"","family":"Quadros","given":"Patricia Dörr","non-dropping-particle":"de","parse-names":false,"suffix":""},{"dropping-particle":"","family":"Davis-Richardson","given":"Austin","non-dropping-particle":"","parse-names":false,"suffix":""},{"dropping-particle":"","family":"Camargo","given":"Flavio A O","non-dropping-particle":"","parse-names":false,"suffix":""},{"dropping-particle":"","family":"Clark","given":"Ian M","non-dropping-particle":"","parse-names":false,"suffix":""},{"dropping-particle":"","family":"McGrath","given":"Steve P","non-dropping-particle":"","parse-names":false,"suffix":""},{"dropping-particle":"","family":"Hirsch","given":"Penny R","non-dropping-particle":"","parse-names":false,"suffix":""},{"dropping-particle":"","family":"Triplett","given":"Eric W","non-dropping-particle":"","parse-names":false,"suffix":""}],"container-title":"Microbial Ecology","id":"ITEM-1","issue":"2","issued":{"date-parts":[["2015"]]},"page":"395-406","title":"Soil pH Determines Microbial Diversity and Composition in the Park Grass Experiment","type":"article-journal","volume":"69"},"uris":["http://www.mendeley.com/documents/?uuid=f4e19f24-5da1-4ad5-992f-06a4163fc905"]}],"mendeley":{"formattedCitation":"&lt;sup&gt;15&lt;/sup&gt;","plainTextFormattedCitation":"15","previouslyFormattedCitation":"&lt;sup&gt;15&lt;/sup&gt;"},"properties":{"noteIndex":0},"schema":"https://github.com/citation-style-language/schema/raw/master/csl-citation.json"}</w:instrText>
      </w:r>
      <w:r w:rsidR="007050A6">
        <w:fldChar w:fldCharType="separate"/>
      </w:r>
      <w:r w:rsidR="00667D65" w:rsidRPr="00667D65">
        <w:rPr>
          <w:noProof/>
          <w:vertAlign w:val="superscript"/>
        </w:rPr>
        <w:t>15</w:t>
      </w:r>
      <w:r w:rsidR="007050A6">
        <w:fldChar w:fldCharType="end"/>
      </w:r>
      <w:r w:rsidR="00612B9A">
        <w:t xml:space="preserve"> was shown</w:t>
      </w:r>
      <w:r w:rsidR="007050A6">
        <w:t xml:space="preserve">. </w:t>
      </w:r>
      <w:r w:rsidR="00612B9A">
        <w:t xml:space="preserve">It is </w:t>
      </w:r>
      <w:r w:rsidR="00612B9A">
        <w:lastRenderedPageBreak/>
        <w:t>however challenging to identify the most important processes behind the effects of soil pH under field conditions due to the complexity of soil-microbe-plant interactions.</w:t>
      </w:r>
    </w:p>
    <w:p w14:paraId="343001AF" w14:textId="56A8F881" w:rsidR="00BF70D6" w:rsidRDefault="005A2622" w:rsidP="00BF70D6">
      <w:pPr>
        <w:spacing w:line="360" w:lineRule="auto"/>
      </w:pPr>
      <w:r>
        <w:t>We</w:t>
      </w:r>
      <w:r w:rsidR="00FA572A" w:rsidRPr="00860424">
        <w:t xml:space="preserve"> </w:t>
      </w:r>
      <w:r w:rsidR="00FA65CB">
        <w:t>investigated if</w:t>
      </w:r>
      <w:r w:rsidR="00FA572A" w:rsidRPr="00860424">
        <w:t xml:space="preserve"> the</w:t>
      </w:r>
      <w:r w:rsidR="00BF70D6">
        <w:t xml:space="preserve"> </w:t>
      </w:r>
      <w:r w:rsidR="00BF70D6" w:rsidRPr="00860424">
        <w:rPr>
          <w:vertAlign w:val="superscript"/>
        </w:rPr>
        <w:t>18</w:t>
      </w:r>
      <w:r w:rsidR="00BF70D6" w:rsidRPr="00860424">
        <w:t>O:</w:t>
      </w:r>
      <w:r w:rsidR="00BF70D6" w:rsidRPr="00860424">
        <w:rPr>
          <w:vertAlign w:val="superscript"/>
        </w:rPr>
        <w:t>16</w:t>
      </w:r>
      <w:r w:rsidR="00BF70D6" w:rsidRPr="00860424">
        <w:t>O ratio of phosphate</w:t>
      </w:r>
      <w:r w:rsidR="00FA572A" w:rsidRPr="00860424">
        <w:t xml:space="preserve"> </w:t>
      </w:r>
      <w:r w:rsidR="00BF70D6">
        <w:t>(</w:t>
      </w:r>
      <w:r w:rsidR="00DB4EC0" w:rsidRPr="00860424">
        <w:t>δ</w:t>
      </w:r>
      <w:r w:rsidR="00DB4EC0" w:rsidRPr="00860424">
        <w:rPr>
          <w:vertAlign w:val="superscript"/>
        </w:rPr>
        <w:t>18</w:t>
      </w:r>
      <w:r w:rsidR="00DB4EC0" w:rsidRPr="00860424">
        <w:t>O</w:t>
      </w:r>
      <w:r w:rsidR="00DB4EC0" w:rsidRPr="00860424">
        <w:rPr>
          <w:vertAlign w:val="subscript"/>
        </w:rPr>
        <w:t>P</w:t>
      </w:r>
      <w:r w:rsidR="00BF70D6">
        <w:t>)</w:t>
      </w:r>
      <w:r w:rsidR="00DB4EC0" w:rsidRPr="00860424">
        <w:t xml:space="preserve"> of </w:t>
      </w:r>
      <w:r w:rsidR="00FA572A" w:rsidRPr="00860424">
        <w:t xml:space="preserve">soil and plant P pools </w:t>
      </w:r>
      <w:r w:rsidR="00FA65CB">
        <w:t xml:space="preserve">can be used to </w:t>
      </w:r>
      <w:r w:rsidR="00FA572A" w:rsidRPr="00860424">
        <w:t>obtain new insights in</w:t>
      </w:r>
      <w:r w:rsidR="009A4B72" w:rsidRPr="00860424">
        <w:t>to</w:t>
      </w:r>
      <w:r w:rsidR="00FA572A" w:rsidRPr="00860424">
        <w:t xml:space="preserve"> how P cycling </w:t>
      </w:r>
      <w:r w:rsidR="009A4B72" w:rsidRPr="00860424">
        <w:t xml:space="preserve">varies </w:t>
      </w:r>
      <w:r w:rsidR="00FA572A" w:rsidRPr="00860424">
        <w:t>across pH gradient</w:t>
      </w:r>
      <w:r w:rsidR="008510BE" w:rsidRPr="00860424">
        <w:t>s</w:t>
      </w:r>
      <w:r w:rsidR="00FA65CB">
        <w:t xml:space="preserve"> under field conditions</w:t>
      </w:r>
      <w:r w:rsidR="00DB4EC0" w:rsidRPr="00860424">
        <w:t xml:space="preserve">. </w:t>
      </w:r>
      <w:r w:rsidR="00BF70D6" w:rsidRPr="00860424">
        <w:t>The basis of the δ</w:t>
      </w:r>
      <w:r w:rsidR="00BF70D6" w:rsidRPr="00860424">
        <w:rPr>
          <w:vertAlign w:val="superscript"/>
        </w:rPr>
        <w:t>18</w:t>
      </w:r>
      <w:r w:rsidR="00BF70D6" w:rsidRPr="00860424">
        <w:t>O</w:t>
      </w:r>
      <w:r w:rsidR="00BF70D6" w:rsidRPr="00860424">
        <w:rPr>
          <w:vertAlign w:val="subscript"/>
        </w:rPr>
        <w:t>P</w:t>
      </w:r>
      <w:r w:rsidR="00BF70D6" w:rsidRPr="00860424">
        <w:t xml:space="preserve"> technique is that P is </w:t>
      </w:r>
      <w:r w:rsidR="00BF70D6">
        <w:t xml:space="preserve">mainly </w:t>
      </w:r>
      <w:r w:rsidR="00BF70D6" w:rsidRPr="00860424">
        <w:t>associated with oxygen (O) in the environment</w:t>
      </w:r>
      <w:r w:rsidR="00275C85">
        <w:t>.</w:t>
      </w:r>
      <w:r w:rsidR="00BF70D6" w:rsidRPr="00860424">
        <w:t xml:space="preserve"> </w:t>
      </w:r>
      <w:r w:rsidR="00275C85">
        <w:t xml:space="preserve">Abiotic and biotic processes involving P can lead to isotopic fractionation, i.e. the enrichment or depletion of </w:t>
      </w:r>
      <w:r w:rsidR="00275C85" w:rsidRPr="00275C85">
        <w:rPr>
          <w:vertAlign w:val="superscript"/>
        </w:rPr>
        <w:t>1</w:t>
      </w:r>
      <w:r w:rsidR="00275C85">
        <w:rPr>
          <w:vertAlign w:val="superscript"/>
        </w:rPr>
        <w:t>8</w:t>
      </w:r>
      <w:r w:rsidR="00275C85">
        <w:t xml:space="preserve">O relative to </w:t>
      </w:r>
      <w:r w:rsidR="00275C85" w:rsidRPr="00822653">
        <w:rPr>
          <w:vertAlign w:val="superscript"/>
        </w:rPr>
        <w:t>1</w:t>
      </w:r>
      <w:r w:rsidR="00275C85">
        <w:rPr>
          <w:vertAlign w:val="superscript"/>
        </w:rPr>
        <w:t>6</w:t>
      </w:r>
      <w:r w:rsidR="00275C85" w:rsidRPr="00822653">
        <w:t>O</w:t>
      </w:r>
      <w:r w:rsidR="00275C85">
        <w:t xml:space="preserve"> in case of the </w:t>
      </w:r>
      <w:r w:rsidR="00275C85" w:rsidRPr="008F3C99">
        <w:rPr>
          <w:rFonts w:cs="Times New Roman"/>
        </w:rPr>
        <w:t>δ</w:t>
      </w:r>
      <w:r w:rsidR="00275C85" w:rsidRPr="008F3C99">
        <w:rPr>
          <w:rFonts w:cs="Times New Roman"/>
          <w:vertAlign w:val="superscript"/>
        </w:rPr>
        <w:t>18</w:t>
      </w:r>
      <w:r w:rsidR="00275C85" w:rsidRPr="008F3C99">
        <w:rPr>
          <w:rFonts w:cs="Times New Roman"/>
        </w:rPr>
        <w:t>O</w:t>
      </w:r>
      <w:r w:rsidR="00275C85" w:rsidRPr="008F3C99">
        <w:rPr>
          <w:rFonts w:cs="Times New Roman"/>
          <w:vertAlign w:val="subscript"/>
        </w:rPr>
        <w:t>P</w:t>
      </w:r>
      <w:r w:rsidR="00BF70D6" w:rsidRPr="00860424">
        <w:t>. While the effect of abiotic processes in soils on the δ</w:t>
      </w:r>
      <w:r w:rsidR="00BF70D6" w:rsidRPr="00860424">
        <w:rPr>
          <w:vertAlign w:val="superscript"/>
        </w:rPr>
        <w:t>18</w:t>
      </w:r>
      <w:r w:rsidR="00BF70D6" w:rsidRPr="00860424">
        <w:t>O</w:t>
      </w:r>
      <w:r w:rsidR="00BF70D6" w:rsidRPr="00860424">
        <w:rPr>
          <w:vertAlign w:val="subscript"/>
        </w:rPr>
        <w:t>P</w:t>
      </w:r>
      <w:r w:rsidR="00BF70D6" w:rsidRPr="00860424">
        <w:t xml:space="preserve"> seems to be negligible </w:t>
      </w:r>
      <w:r w:rsidR="00BF70D6">
        <w:fldChar w:fldCharType="begin" w:fldLock="1"/>
      </w:r>
      <w:r w:rsidR="00CB44EE">
        <w:instrText>ADDIN CSL_CITATION {"citationItems":[{"id":"ITEM-1","itemData":{"DOI":"10.2136/sssaj2015.04.0158","ISBN":"0361-5995","abstract":"Iron and manganese oxides are common minerals in a wide range of soils, and they largely control the fate of P. It is often implicitly assumed that phosphate does not exchange O atoms with minerals and water during adsorption, desorption, and precipitation reactions, but this has not yet been fully verified. In this study, we applied an 18O stable isotope labeling technique to individually label O atoms in Fe and Mn oxides, water, and phosphate, and tested the exchange of O among them during phosphate sorption and desorption reactions. Physico-chemical properties of 18O-labeled goethite, hematite, hausmannite, and birnessite minerals were characterized using X-ray diffraction, Brunauer-Emmett-Teller (BET) surface area and pore size distribution, and scanning electron microscopy. All sorption and desorption results showed fast initial kinetics, with hausmannite having the highest sorption capacity, followed by a relatively slower sorption-desorption reaction before reaching equilibrium. Oxygen isotope ratios in Fe and Mn oxides, phosphate, and water showed no exchange of O between phosphate and mineral or water during either sorption or desorption reactions. These results attest to the integrity of the P-O bond during these reactions and thus enable the phosphate O isotope composition to be used as a reliable tool for tracing phosphate sources in soils and other environments.","author":[{"dropping-particle":"","family":"Li","given":"Hui","non-dropping-particle":"","parse-names":false,"suffix":""},{"dropping-particle":"","family":"Jaisi","given":"D P","non-dropping-particle":"","parse-names":false,"suffix":""}],"container-title":"Soil Science Society of America Journal","id":"ITEM-1","issue":"5","issued":{"date-parts":[["2015"]]},"language":"English","note":"0\nSoil Science Society of America Inc.\nMadison, USA","page":"1340-1351","title":"An isotope labeling technique to investigate atom exchange during phosphate sorption and desorption","type":"article-journal","volume":"79"},"uris":["http://www.mendeley.com/documents/?uuid=380348be-bd50-4a3f-939d-c7f3a0b593e0"]},{"id":"ITEM-2","itemData":{"DOI":"10.1016/j.gca.2009.11.010","ISBN":"0016-7037","ISSN":"00167037","abstract":"Iron (III) oxides are ubiquitous in near-surface soils and sediments and interact strongly with dissolved phosphates via sorption, co-precipitation, mineral transformation and redox-cycling reactions. Iron oxide phases are thus, an important reservoir for dissolved phosphate, and phosphate bound to iron oxides may reflect dissolved phosphate sources as well as carry a history of the biogeochemical cycling of phosphorus (P). It has recently been demonstrated that dissolved inorganic phosphate (DIP) in rivers, lakes, estuaries and the open ocean can be used to distinguish different P sources and biological reaction pathways in the ratio of 18O/16O ([delta]18OP) in PO43-. Here we present results of experimental studies aimed at determining whether non-biological interactions between dissolved inorganic phosphate and solid iron oxides involve fractionation of oxygen isotopes in PO4. Determination of such fractionations is critical to any interpretation of [delta]18OP values of modern (e.g., hydrothermal iron oxide deposits, marine sediments, soils, groundwater systems) to ancient and extraterrestrial samples (e.g., BIF's, Martian soils). Batch sorption experiments were performed using varied concentrations of synthetic ferrihydrite and isotopically-labeled dissolved ortho-phosphate at temperatures ranging from 4 to 95 °C. Mineral transformations and morphological changes were determined by X-Ray, Mössbauer spectroscopy and SEM image analyses. Our results show that isotopic fractionation between sorbed and aqueous phosphate occurs during the early phase of sorption with isotopically-light phosphate (P16O4) preferentially incorporated into sorbed/solid phases. This fractionation showed negligible temperature-dependence and gradually decreased as a result of O-isotope exchange between sorbed and aqueous-phase phosphate, to become insignificant at greater than ~100 h of reaction. In high-temperature experiments, this exchange was very rapid resulting in negligible fractionation between sorbed and aqueous-phase phosphate at much shorter reaction times. Mineral transformation resulted in initial preferential desorption/loss of light phosphate (P16O4) to solution. However, the continual exchange between sorbed and aqueous PO4, concomitant with this mineralogical transformation resulted again in negligible fractionation between aqueous and sorbed PO4 at long reaction times (&gt;2000 h). This finding is consistent with results obtained from natural marine samples. Ther…","author":[{"dropping-particle":"","family":"Jaisi","given":"Deb P","non-dropping-particle":"","parse-names":false,"suffix":""},{"dropping-particle":"","family":"Blake","given":"Ruth E","non-dropping-particle":"","parse-names":false,"suffix":""},{"dropping-particle":"","family":"Kukkadapu","given":"Ravi K","non-dropping-particle":"","parse-names":false,"suffix":""}],"container-title":"Geochimica et Cosmochimica Acta","id":"ITEM-2","issue":"4","issued":{"date-parts":[["2010","2"]]},"page":"1309-1319","title":"Fractionation of oxygen isotopes in phosphate during its interactions with iron oxides","type":"article-journal","volume":"74"},"uris":["http://www.mendeley.com/documents/?uuid=5136ebb8-60d2-4379-80ca-1a9f4dec6455"]},{"id":"ITEM-3","itemData":{"DOI":"10.1016/j.jconhyd.2013.08.003","ISBN":"0169-7722","abstract":"Characterizing reactivity and fate of contaminants in subsurface environments that are isolated from direct visualization is a major challenge. Stable isotopes coupled with concentration could be used as a potential tool to quantitatively analyze the chemical variability of the contaminant during reactive transport processes in the subsurface environment. This study was aimed at determining whether abiotic reactions of phosphate during its transport involve fractionation of oxygen isotopes in phosphate (delta O-18(p)). It included the effects of solution chemistry and hydrodynamics on delta O-18(p) values during phosphate transport through a packed-bed column prepared by using natural sediment collected from the Cape Cod aquifer in Massachusetts. Results show that the isotopic fractionation between effluent and influent phosphate at early stage of transport could be similar to 1.3 parts per thousand at higher flow rates with isotopically-light phosphate ((PO4)-O-16) preferentially retained in the sediment column. This fractionation, however, decreased and became insignificant as more phosphate passed through the column. Mobilization of phosphate initially sorbed onto sediments caused a large kinetic isotopic fractionation with isotopically-light phosphate preferentially remobilized from the sediment column, but over longer time periods, this fractionation decreased and became insignificant as well. These results collectively suggest that abiotic reactive transport processes exert minimal influence on the delta O-18(p) composition of subsurface systems. Alternatively, fluctuation in flow rate and subsequent remobilization of phosphate could be detectable through transient changes in delta O-18(p) values. These findings extend the burgeoning application of delta O-18(p) to identify the different sources and geochemical processes of phosphate in the subsurface environments. (C) 2013 Elsevier B.V. All rights reserved.","author":[{"dropping-particle":"","family":"Jaisi","given":"Deb P","non-dropping-particle":"","parse-names":false,"suffix":""}],"container-title":"Journal of Contaminant Hydrology","id":"ITEM-3","issued":{"date-parts":[["2013"]]},"language":"English","note":"ISI Document Delivery No.: 248AD\nTimes Cited: 0\nCited Reference Count: 62\nJaisi, Deb P.\nUS Department of Agriculture [2012-67019-19320]\nThe author gratefully acknowledges the field assistance and several fruitful discussions by Douglas B. Kent, Denis R. LeBlanc, and Timothy D. McCobb on Cape Cod aquifer and plume behavior. Core drilling and sediment retrieval for this study were supported by the U.S. Geological Survey Toxic Substances Hydrology Program. This research was partly supported from a research grant from the US Department of Agriculture (2012-67019-19320) to DPJ. Sunendra Jaisi is acknowledged for processing some sorbed phosphate samples for silver phosphate precipitation. AE and anonymous reviewers are thanked for their constructive comments which greatly improved the quality of the revised manuscript.\nElsevier science bv\nAmsterdam","page":"10-19","title":"Stable isotope fractionations during reactive transport of phosphate in packed-bed sediment columns","type":"article-journal","volume":"154"},"uris":["http://www.mendeley.com/documents/?uuid=d43a56ce-aa03-473b-8deb-bd0e825ce836"]}],"mendeley":{"formattedCitation":"&lt;sup&gt;16–18&lt;/sup&gt;","plainTextFormattedCitation":"16–18","previouslyFormattedCitation":"&lt;sup&gt;16–18&lt;/sup&gt;"},"properties":{"noteIndex":0},"schema":"https://github.com/citation-style-language/schema/raw/master/csl-citation.json"}</w:instrText>
      </w:r>
      <w:r w:rsidR="00BF70D6">
        <w:fldChar w:fldCharType="separate"/>
      </w:r>
      <w:r w:rsidR="00667D65" w:rsidRPr="00667D65">
        <w:rPr>
          <w:noProof/>
          <w:vertAlign w:val="superscript"/>
        </w:rPr>
        <w:t>16–18</w:t>
      </w:r>
      <w:r w:rsidR="00BF70D6">
        <w:fldChar w:fldCharType="end"/>
      </w:r>
      <w:r w:rsidR="00BF70D6" w:rsidRPr="00860424">
        <w:t>, δ</w:t>
      </w:r>
      <w:r w:rsidR="00BF70D6" w:rsidRPr="00860424">
        <w:rPr>
          <w:vertAlign w:val="superscript"/>
        </w:rPr>
        <w:t>18</w:t>
      </w:r>
      <w:r w:rsidR="00BF70D6" w:rsidRPr="00860424">
        <w:t>O</w:t>
      </w:r>
      <w:r w:rsidR="00BF70D6" w:rsidRPr="00860424">
        <w:rPr>
          <w:vertAlign w:val="subscript"/>
        </w:rPr>
        <w:t>P</w:t>
      </w:r>
      <w:r w:rsidR="00BF70D6" w:rsidRPr="00860424">
        <w:t xml:space="preserve"> signatures can be altered by biological processes. For example, a preference for the lighter phosphate </w:t>
      </w:r>
      <w:proofErr w:type="spellStart"/>
      <w:r w:rsidR="00BF70D6" w:rsidRPr="00860424">
        <w:t>isotopologue</w:t>
      </w:r>
      <w:proofErr w:type="spellEnd"/>
      <w:r w:rsidR="00BF70D6" w:rsidRPr="00860424">
        <w:t xml:space="preserve"> was observed for phosphate uptake by </w:t>
      </w:r>
      <w:r w:rsidR="00BF70D6" w:rsidRPr="00860424">
        <w:rPr>
          <w:i/>
        </w:rPr>
        <w:t xml:space="preserve">Escherichia coli, </w:t>
      </w:r>
      <w:r w:rsidR="00BF70D6" w:rsidRPr="00860424">
        <w:t xml:space="preserve">leaving the remaining phosphate enriched in </w:t>
      </w:r>
      <w:r w:rsidR="00BF70D6" w:rsidRPr="00860424">
        <w:rPr>
          <w:vertAlign w:val="superscript"/>
        </w:rPr>
        <w:t>18</w:t>
      </w:r>
      <w:r w:rsidR="00BF70D6" w:rsidRPr="00860424">
        <w:t xml:space="preserve">O </w:t>
      </w:r>
      <w:r w:rsidR="00BF70D6">
        <w:fldChar w:fldCharType="begin" w:fldLock="1"/>
      </w:r>
      <w:r w:rsidR="00CB44EE">
        <w:instrText>ADDIN CSL_CITATION {"citationItems":[{"id":"ITEM-1","itemData":{"DOI":"10.2475/ajs.305.6-8.596","ISSN":"0002-9599","author":[{"dropping-particle":"","family":"Blake","given":"Ruth E","non-dropping-particle":"","parse-names":false,"suffix":""}],"container-title":"American Journal of Science","id":"ITEM-1","issue":"6-8","issued":{"date-parts":[["2005","6","1"]]},"page":"596-620","title":"Biogeochemical cycling of phosphorus: Insights from oxygen isotope effects of phosphoenzymes","type":"article-journal","volume":"305"},"uris":["http://www.mendeley.com/documents/?uuid=4eadd028-bc94-475f-91db-820ccc9009bd"]}],"mendeley":{"formattedCitation":"&lt;sup&gt;19&lt;/sup&gt;","plainTextFormattedCitation":"19","previouslyFormattedCitation":"&lt;sup&gt;19&lt;/sup&gt;"},"properties":{"noteIndex":0},"schema":"https://github.com/citation-style-language/schema/raw/master/csl-citation.json"}</w:instrText>
      </w:r>
      <w:r w:rsidR="00BF70D6">
        <w:fldChar w:fldCharType="separate"/>
      </w:r>
      <w:r w:rsidR="00667D65" w:rsidRPr="00667D65">
        <w:rPr>
          <w:noProof/>
          <w:vertAlign w:val="superscript"/>
        </w:rPr>
        <w:t>19</w:t>
      </w:r>
      <w:r w:rsidR="00BF70D6">
        <w:fldChar w:fldCharType="end"/>
      </w:r>
      <w:r w:rsidR="00BF70D6" w:rsidRPr="00860424">
        <w:t>. Hydrolysing enzymes, which can be excreted by microorganism</w:t>
      </w:r>
      <w:r w:rsidR="00BF70D6">
        <w:t>s</w:t>
      </w:r>
      <w:r w:rsidR="00BF70D6" w:rsidRPr="00860424">
        <w:t xml:space="preserve"> and plants, can alter the δ</w:t>
      </w:r>
      <w:r w:rsidR="00BF70D6" w:rsidRPr="00860424">
        <w:rPr>
          <w:vertAlign w:val="superscript"/>
        </w:rPr>
        <w:t>18</w:t>
      </w:r>
      <w:r w:rsidR="00BF70D6" w:rsidRPr="00860424">
        <w:t>O</w:t>
      </w:r>
      <w:r w:rsidR="00BF70D6" w:rsidRPr="00860424">
        <w:rPr>
          <w:vertAlign w:val="subscript"/>
        </w:rPr>
        <w:t>P</w:t>
      </w:r>
      <w:r w:rsidR="00BF70D6" w:rsidRPr="00860424">
        <w:t xml:space="preserve"> by cleaving the P-O bond. Fractionation factors</w:t>
      </w:r>
      <w:r w:rsidR="00275C85">
        <w:t>, i.e. the extent of isotopic fractionations,</w:t>
      </w:r>
      <w:r w:rsidR="00BF70D6" w:rsidRPr="00860424">
        <w:t xml:space="preserve"> of such enzymatic processes are so far known for only a few enzymes involved in the P cycle, such as acid phosphatase (-10</w:t>
      </w:r>
      <w:r w:rsidR="00BF70D6" w:rsidRPr="00860424">
        <w:rPr>
          <w:rFonts w:cs="Times New Roman"/>
        </w:rPr>
        <w:t>‰</w:t>
      </w:r>
      <w:r w:rsidR="00BF70D6" w:rsidRPr="00860424">
        <w:t xml:space="preserve">) </w:t>
      </w:r>
      <w:r w:rsidR="00BF70D6">
        <w:fldChar w:fldCharType="begin" w:fldLock="1"/>
      </w:r>
      <w:r w:rsidR="00CB44EE">
        <w:instrText>ADDIN CSL_CITATION {"citationItems":[{"id":"ITEM-1","itemData":{"DOI":"10.1016/j.gca.2013.10.010","ISBN":"0016-7037","ISSN":"00167037","abstract":"Plants and microorganisms under phosphorus (P) stress release extracellular phosphatases as a strategy to acquire inorganic phosphate (Pi). These enzymes catalyze the hydrolysis of phosphoesters leading to a release of Pi. During the enzymatic hydrolysis an isotopic fractionation (ε) occurs leaving an imprint on the oxygen isotope composition of the released Pi which might be used to trace phosphorus in the environment. Therefore, enzymatic assays with acid phosphatases from wheat germ and potato tuber and alkaline phosphatase from Escherichia coli were prepared in order to determine the oxygen isotope fractionation caused by these enzymes. Adenosine 5′ monophosphate and glycerol phosphate were used as substrates. The oxygen isotope fractionation caused by acid phosphatases is 20–30‰ smaller than for alkaline phosphatases, resulting in a difference of 5–7.5‰ in δ18O of Pi depending on the enzyme. We attribute the enzyme dependence of the isotopic fractionation to distinct reaction mechanisms of the two types of phosphatases. The observed difference is large enough to distinguish between the two enzymatic processes in environmental samples. These findings show that the oxygen isotope composition of Pi can be used to trace different enzymatic processes, offering an analytical tool that might contribute to a better understanding of the P-cycle in the environment.","author":[{"dropping-particle":"","family":"Sperber","given":"Christian","non-dropping-particle":"von","parse-names":false,"suffix":""},{"dropping-particle":"","family":"Kries","given":"Hajo","non-dropping-particle":"","parse-names":false,"suffix":""},{"dropping-particle":"","family":"Tamburini","given":"Federica","non-dropping-particle":"","parse-names":false,"suffix":""},{"dropping-particle":"","family":"Bernasconi","given":"Stefano M","non-dropping-particle":"","parse-names":false,"suffix":""},{"dropping-particle":"","family":"Frossard","given":"Emmanuel","non-dropping-particle":"","parse-names":false,"suffix":""}],"container-title":"Geochimica et Cosmochimica Acta","id":"ITEM-1","issue":"0","issued":{"date-parts":[["2014","1"]]},"page":"519-527","title":"The effect of phosphomonoesterases on the oxygen isotope composition of phosphate","type":"article-journal","volume":"125"},"uris":["http://www.mendeley.com/documents/?uuid=f8e7a8d8-98d4-46a7-894e-c718e139ce00"]}],"mendeley":{"formattedCitation":"&lt;sup&gt;20&lt;/sup&gt;","plainTextFormattedCitation":"20","previouslyFormattedCitation":"&lt;sup&gt;20&lt;/sup&gt;"},"properties":{"noteIndex":0},"schema":"https://github.com/citation-style-language/schema/raw/master/csl-citation.json"}</w:instrText>
      </w:r>
      <w:r w:rsidR="00BF70D6">
        <w:fldChar w:fldCharType="separate"/>
      </w:r>
      <w:r w:rsidR="00667D65" w:rsidRPr="00667D65">
        <w:rPr>
          <w:noProof/>
          <w:vertAlign w:val="superscript"/>
        </w:rPr>
        <w:t>20</w:t>
      </w:r>
      <w:r w:rsidR="00BF70D6">
        <w:fldChar w:fldCharType="end"/>
      </w:r>
      <w:r w:rsidR="00BF70D6" w:rsidRPr="00860424">
        <w:t xml:space="preserve"> and alkaline phosphatase (-30</w:t>
      </w:r>
      <w:r w:rsidR="00BF70D6" w:rsidRPr="00860424">
        <w:rPr>
          <w:rFonts w:cs="Times New Roman"/>
        </w:rPr>
        <w:t>‰</w:t>
      </w:r>
      <w:r w:rsidR="00BF70D6" w:rsidRPr="00860424">
        <w:t xml:space="preserve">) </w:t>
      </w:r>
      <w:r w:rsidR="00BF70D6">
        <w:fldChar w:fldCharType="begin" w:fldLock="1"/>
      </w:r>
      <w:r w:rsidR="00CB44EE">
        <w:instrText>ADDIN CSL_CITATION {"citationItems":[{"id":"ITEM-1","itemData":{"DOI":"10.1016/j.gca.2006.04.036","ISSN":"00167037","author":[{"dropping-particle":"","family":"Liang","given":"Y","non-dropping-particle":"","parse-names":false,"suffix":""},{"dropping-particle":"","family":"Blake","given":"R.E.","non-dropping-particle":"","parse-names":false,"suffix":""}],"container-title":"Geochimica et Cosmochimica Acta","id":"ITEM-1","issue":"15","issued":{"date-parts":[["2006","8"]]},"page":"3957-3969","title":"Oxygen isotope signature of Pi regeneration from organic compounds by phosphomonoesterases and photooxidation","type":"article-journal","volume":"70"},"uris":["http://www.mendeley.com/documents/?uuid=12bfc4eb-768b-4147-adc0-f5fca227a996"]}],"mendeley":{"formattedCitation":"&lt;sup&gt;21&lt;/sup&gt;","plainTextFormattedCitation":"21","previouslyFormattedCitation":"&lt;sup&gt;21&lt;/sup&gt;"},"properties":{"noteIndex":0},"schema":"https://github.com/citation-style-language/schema/raw/master/csl-citation.json"}</w:instrText>
      </w:r>
      <w:r w:rsidR="00BF70D6">
        <w:fldChar w:fldCharType="separate"/>
      </w:r>
      <w:r w:rsidR="00667D65" w:rsidRPr="00667D65">
        <w:rPr>
          <w:noProof/>
          <w:vertAlign w:val="superscript"/>
        </w:rPr>
        <w:t>21</w:t>
      </w:r>
      <w:r w:rsidR="00BF70D6">
        <w:fldChar w:fldCharType="end"/>
      </w:r>
      <w:r w:rsidR="00BF70D6" w:rsidRPr="00860424">
        <w:t>. The inorganic pyrophosphatase (</w:t>
      </w:r>
      <w:proofErr w:type="spellStart"/>
      <w:r w:rsidR="00BF70D6" w:rsidRPr="00860424">
        <w:t>PPase</w:t>
      </w:r>
      <w:proofErr w:type="spellEnd"/>
      <w:r w:rsidR="00BF70D6" w:rsidRPr="00860424">
        <w:t>), a</w:t>
      </w:r>
      <w:r w:rsidR="00BF70D6">
        <w:t>n</w:t>
      </w:r>
      <w:r w:rsidR="00BF70D6" w:rsidRPr="00860424">
        <w:t xml:space="preserve"> ubiquitous intracellular enzyme, leads to a temperature-dependent equilibrium between O in water and in phosphate </w:t>
      </w:r>
      <w:r w:rsidR="00BF70D6">
        <w:fldChar w:fldCharType="begin" w:fldLock="1"/>
      </w:r>
      <w:r w:rsidR="00CB44EE">
        <w:instrText>ADDIN CSL_CITATION {"citationItems":[{"id":"ITEM-1","itemData":{"DOI":"10.1016/j.gca.2014.10.030","ISBN":"0016-7037","ISSN":"00167037","abstract":"The stable oxygen isotope composition of orthophosphate (δ18OPO4) is a widely used (paleo)temperature indicator and more recently, a useful tracer of phosphorus-cycling. In natural aqueous systems (e.g., oceans, rivers, soil/ground water) the largest reactive phosphorus pool is dissolved inorganic phosphate. Here, we present a new experimentally-determined equation for thermodynamic equilibrium O-isotope fractionations between dissolved phosphate and water, catalyzed by the enzyme inorganic pyrophosphatase (PPase) between 3 and 37 °C; 1000 ln α ( PO 4 - H 2 O ) = 14.43 ( ± 0.39 ) 1000 / T ( K ) - 26.54 ( ± 1.33 ) r 2 = 0.99 The new equation is slightly offset by +0.5 to +0.7‰ from recent empirically-determined fractionations based on biogenic apatite, with both based on modern cf-irms TC/EA analysis of Ag3PO4. Dissolved phosphate–water fractionations are offset by +0.9 to +2.3‰ from the earlier empirical relation for biogenic phosphate–water fractionation determined using fluorination of BiPO4. The equation presented here is thus, specific to equilibrium fractions between dissolved phosphate and water and appropriate for use in recent/future oxygen isotope studies of dissolved phosphate using similar cf-irms TC/EA analytical methods.","author":[{"dropping-particle":"","family":"Chang","given":"Sae Jung","non-dropping-particle":"","parse-names":false,"suffix":""},{"dropping-particle":"","family":"Blake","given":"Ruth E","non-dropping-particle":"","parse-names":false,"suffix":""}],"container-title":"Geochimica et Cosmochimica Acta","id":"ITEM-1","issue":"0","issued":{"date-parts":[["2015","2"]]},"page":"314-329","title":"Precise calibration of equilibrium oxygen isotope fractionations between dissolved phosphate and water from 3 to 37 °C","type":"article-journal","volume":"150"},"uris":["http://www.mendeley.com/documents/?uuid=a11847f4-ef5e-47e9-b609-d2e177e7704a"]}],"mendeley":{"formattedCitation":"&lt;sup&gt;22&lt;/sup&gt;","plainTextFormattedCitation":"22","previouslyFormattedCitation":"&lt;sup&gt;22&lt;/sup&gt;"},"properties":{"noteIndex":0},"schema":"https://github.com/citation-style-language/schema/raw/master/csl-citation.json"}</w:instrText>
      </w:r>
      <w:r w:rsidR="00BF70D6">
        <w:fldChar w:fldCharType="separate"/>
      </w:r>
      <w:r w:rsidR="00667D65" w:rsidRPr="00667D65">
        <w:rPr>
          <w:noProof/>
          <w:vertAlign w:val="superscript"/>
        </w:rPr>
        <w:t>22</w:t>
      </w:r>
      <w:r w:rsidR="00BF70D6">
        <w:fldChar w:fldCharType="end"/>
      </w:r>
      <w:r w:rsidR="00BF70D6" w:rsidRPr="00860424">
        <w:t>. The δ</w:t>
      </w:r>
      <w:r w:rsidR="00BF70D6" w:rsidRPr="00860424">
        <w:rPr>
          <w:vertAlign w:val="superscript"/>
        </w:rPr>
        <w:t>18</w:t>
      </w:r>
      <w:r w:rsidR="00BF70D6" w:rsidRPr="00860424">
        <w:t>O</w:t>
      </w:r>
      <w:r w:rsidR="00BF70D6" w:rsidRPr="00860424">
        <w:rPr>
          <w:vertAlign w:val="subscript"/>
        </w:rPr>
        <w:t>P</w:t>
      </w:r>
      <w:r w:rsidR="00BF70D6" w:rsidRPr="00860424">
        <w:t xml:space="preserve"> values reported in the literature are often compared to this theoretical value, as it is considered to be an indication of P cycling through microorganisms </w:t>
      </w:r>
      <w:r w:rsidR="00BF70D6">
        <w:fldChar w:fldCharType="begin" w:fldLock="1"/>
      </w:r>
      <w:r w:rsidR="00CB44EE">
        <w:instrText>ADDIN CSL_CITATION {"citationItems":[{"id":"ITEM-1","itemData":{"DOI":"10.1021/es300311h","ISBN":"0013-936X","ISSN":"0013936X","abstract":"Phosphorus (P) is considered the ultimate limiting nutrient for plants in most natural systems and changes in the distribution of inorganic and organic P forms during soil development have been well documented. In particular, microbial activity has been shown to be an important control on P cycling but its contribution in building up the pool of plant-available P during soil development is still poorly quantified. To determine the importance of different biological processes on P cycling, we analyzed the isotopic composition of oxygen in phosphate (δ 18 O-Pi) from the parent material, soil microorganisms, the available P pool, and from the vegetation along a 150-year soil chronosequence of a glacier forefield. Our results show that at all sites, δ 18 O-Pi of microbial Pi is within the range expected for the temperature-dependent equilibrium between phosphate and water. In addition, the isotopic signature of available Pi is close to the signature of microbial Pi, independently of the contribution of parent material Pi, vegetation Pi or Pi released from organic matter mineralization. Thus, we show that phosphate is cycled through soil microorganisms before being released to the available pool. This isotopic approach demonstrates for the first time in the field and over long time scales, and not only through controlled experiments, the role of the microbial activity in cycling of P in soils. © 2012 American Chemical Society.","author":[{"dropping-particle":"","family":"Tamburini","given":"Federica","non-dropping-particle":"","parse-names":false,"suffix":""},{"dropping-particle":"","family":"Pfahler","given":"Verena","non-dropping-particle":"","parse-names":false,"suffix":""},{"dropping-particle":"","family":"Bünemann","given":"Else K","non-dropping-particle":"","parse-names":false,"suffix":""},{"dropping-particle":"","family":"Guelland","given":"Kathi","non-dropping-particle":"","parse-names":false,"suffix":""},{"dropping-particle":"","family":"Bernasconi","given":"Stefano M","non-dropping-particle":"","parse-names":false,"suffix":""},{"dropping-particle":"","family":"Frossard","given":"Emmanuel","non-dropping-particle":"","parse-names":false,"suffix":""}],"container-title":"Environmental Science &amp; Technology","id":"ITEM-1","issue":"11","issued":{"date-parts":[["2012"]]},"page":"5956-5962","publisher":"American Chemical Society","title":"Oxygen isotopes unravel the role of microorganisms in phosphate cycling in soils","type":"article-journal","volume":"46"},"uris":["http://www.mendeley.com/documents/?uuid=ca634f93-349c-4dff-bc1a-85a17323e9b1"]}],"mendeley":{"formattedCitation":"&lt;sup&gt;23&lt;/sup&gt;","plainTextFormattedCitation":"23","previouslyFormattedCitation":"&lt;sup&gt;23&lt;/sup&gt;"},"properties":{"noteIndex":0},"schema":"https://github.com/citation-style-language/schema/raw/master/csl-citation.json"}</w:instrText>
      </w:r>
      <w:r w:rsidR="00BF70D6">
        <w:fldChar w:fldCharType="separate"/>
      </w:r>
      <w:r w:rsidR="00667D65" w:rsidRPr="00667D65">
        <w:rPr>
          <w:noProof/>
          <w:vertAlign w:val="superscript"/>
        </w:rPr>
        <w:t>23</w:t>
      </w:r>
      <w:r w:rsidR="00BF70D6">
        <w:fldChar w:fldCharType="end"/>
      </w:r>
      <w:r w:rsidR="00BF70D6" w:rsidRPr="00860424">
        <w:t xml:space="preserve">. </w:t>
      </w:r>
    </w:p>
    <w:p w14:paraId="5CEFC371" w14:textId="5140600D" w:rsidR="00DB4EC0" w:rsidRPr="00860424" w:rsidRDefault="008510BE" w:rsidP="00E627AF">
      <w:pPr>
        <w:spacing w:line="360" w:lineRule="auto"/>
      </w:pPr>
      <w:r w:rsidRPr="00860424">
        <w:t xml:space="preserve">We </w:t>
      </w:r>
      <w:r w:rsidR="00422A25">
        <w:t>investigate if</w:t>
      </w:r>
      <w:r w:rsidRPr="00860424">
        <w:t xml:space="preserve"> shifts in </w:t>
      </w:r>
      <w:r w:rsidR="00FA65CB">
        <w:t xml:space="preserve">available P </w:t>
      </w:r>
      <w:r w:rsidRPr="00860424">
        <w:t>δ</w:t>
      </w:r>
      <w:r w:rsidRPr="00860424">
        <w:rPr>
          <w:vertAlign w:val="superscript"/>
        </w:rPr>
        <w:t>18</w:t>
      </w:r>
      <w:r w:rsidRPr="00860424">
        <w:t>O</w:t>
      </w:r>
      <w:r w:rsidRPr="00860424">
        <w:rPr>
          <w:vertAlign w:val="subscript"/>
        </w:rPr>
        <w:t>P</w:t>
      </w:r>
      <w:r w:rsidRPr="00860424">
        <w:t xml:space="preserve"> </w:t>
      </w:r>
      <w:r w:rsidR="00FA65CB">
        <w:t>values in the soil</w:t>
      </w:r>
      <w:r w:rsidR="00422A25">
        <w:t xml:space="preserve"> are associated with changes in soil management strategies, particularly changes in N applications and soil pH.</w:t>
      </w:r>
      <w:r w:rsidR="00FA65CB">
        <w:t xml:space="preserve"> </w:t>
      </w:r>
      <w:r w:rsidR="00422A25">
        <w:t xml:space="preserve">We focus on </w:t>
      </w:r>
      <w:r w:rsidR="00FA65CB">
        <w:t>available P</w:t>
      </w:r>
      <w:r w:rsidR="00422A25">
        <w:t>, because it</w:t>
      </w:r>
      <w:r w:rsidR="00FA65CB">
        <w:t xml:space="preserve"> is rapidly cycled within the soil and thus greatly influenced by processes like the hydrolysis of organic P. Less mobile P pools like the mineral P pool will not be </w:t>
      </w:r>
      <w:r w:rsidR="00422A25">
        <w:t>associated with</w:t>
      </w:r>
      <w:r w:rsidR="00FA65CB">
        <w:t xml:space="preserve"> variations in soil pH.</w:t>
      </w:r>
    </w:p>
    <w:p w14:paraId="08D52996" w14:textId="0D5DCAFF" w:rsidR="00774941" w:rsidRPr="00860424" w:rsidRDefault="00774941" w:rsidP="00E627AF">
      <w:pPr>
        <w:spacing w:line="360" w:lineRule="auto"/>
        <w:rPr>
          <w:b/>
        </w:rPr>
      </w:pPr>
      <w:r w:rsidRPr="00860424">
        <w:rPr>
          <w:b/>
        </w:rPr>
        <w:t>Results</w:t>
      </w:r>
    </w:p>
    <w:p w14:paraId="51E07546" w14:textId="77777777" w:rsidR="000A5EF8" w:rsidRPr="000A5EF8" w:rsidRDefault="0078223D" w:rsidP="00E627AF">
      <w:pPr>
        <w:spacing w:line="360" w:lineRule="auto"/>
        <w:rPr>
          <w:rStyle w:val="Emphasis"/>
          <w:bCs/>
          <w:iCs w:val="0"/>
        </w:rPr>
      </w:pPr>
      <w:r w:rsidRPr="000A5EF8">
        <w:rPr>
          <w:rStyle w:val="Emphasis"/>
          <w:bCs/>
          <w:iCs w:val="0"/>
        </w:rPr>
        <w:t>S</w:t>
      </w:r>
      <w:r w:rsidR="006C3217" w:rsidRPr="000A5EF8">
        <w:rPr>
          <w:rStyle w:val="Emphasis"/>
          <w:bCs/>
          <w:iCs w:val="0"/>
        </w:rPr>
        <w:t>oil characteristics</w:t>
      </w:r>
    </w:p>
    <w:p w14:paraId="74A90ED8" w14:textId="6E34650F" w:rsidR="006C3217" w:rsidRDefault="00C93FAE" w:rsidP="00E627AF">
      <w:pPr>
        <w:spacing w:line="360" w:lineRule="auto"/>
        <w:rPr>
          <w:iCs/>
        </w:rPr>
      </w:pPr>
      <w:r w:rsidRPr="00860424">
        <w:rPr>
          <w:rStyle w:val="Emphasis"/>
          <w:i w:val="0"/>
        </w:rPr>
        <w:t xml:space="preserve">The +L treatments always resulted in a </w:t>
      </w:r>
      <w:r w:rsidR="00340AF0" w:rsidRPr="00860424">
        <w:rPr>
          <w:rStyle w:val="Emphasis"/>
          <w:i w:val="0"/>
        </w:rPr>
        <w:t xml:space="preserve">higher </w:t>
      </w:r>
      <w:r w:rsidRPr="00860424">
        <w:rPr>
          <w:rStyle w:val="Emphasis"/>
          <w:i w:val="0"/>
        </w:rPr>
        <w:t>pH than -L treatments</w:t>
      </w:r>
      <w:r w:rsidR="006C3217" w:rsidRPr="00860424">
        <w:rPr>
          <w:iCs/>
        </w:rPr>
        <w:t xml:space="preserve"> (Table </w:t>
      </w:r>
      <w:r w:rsidR="00580859">
        <w:rPr>
          <w:iCs/>
        </w:rPr>
        <w:t>1</w:t>
      </w:r>
      <w:r w:rsidR="006C3217" w:rsidRPr="00860424">
        <w:rPr>
          <w:iCs/>
        </w:rPr>
        <w:t>)</w:t>
      </w:r>
      <w:r w:rsidR="00422A25">
        <w:rPr>
          <w:iCs/>
        </w:rPr>
        <w:t>, with</w:t>
      </w:r>
      <w:r w:rsidR="006C3217" w:rsidRPr="00860424">
        <w:rPr>
          <w:iCs/>
        </w:rPr>
        <w:t xml:space="preserve"> soil pH</w:t>
      </w:r>
      <w:r w:rsidR="00340AF0" w:rsidRPr="00860424">
        <w:rPr>
          <w:iCs/>
        </w:rPr>
        <w:t xml:space="preserve"> </w:t>
      </w:r>
      <w:r w:rsidR="00422A25">
        <w:rPr>
          <w:iCs/>
        </w:rPr>
        <w:t>values</w:t>
      </w:r>
      <w:r w:rsidR="006C3217" w:rsidRPr="00860424">
        <w:rPr>
          <w:iCs/>
        </w:rPr>
        <w:t xml:space="preserve"> as low as 3.13</w:t>
      </w:r>
      <w:r w:rsidR="00340AF0" w:rsidRPr="00860424">
        <w:rPr>
          <w:iCs/>
        </w:rPr>
        <w:t xml:space="preserve"> (+N</w:t>
      </w:r>
      <w:r w:rsidR="004175DE" w:rsidRPr="00860424">
        <w:rPr>
          <w:iCs/>
        </w:rPr>
        <w:t>+P</w:t>
      </w:r>
      <w:r w:rsidR="00340AF0" w:rsidRPr="00860424">
        <w:rPr>
          <w:iCs/>
        </w:rPr>
        <w:t>-L</w:t>
      </w:r>
      <w:r w:rsidR="007F71C6" w:rsidRPr="00860424">
        <w:rPr>
          <w:iCs/>
        </w:rPr>
        <w:t>,</w:t>
      </w:r>
      <w:r w:rsidR="00340AF0" w:rsidRPr="00860424">
        <w:rPr>
          <w:iCs/>
        </w:rPr>
        <w:t xml:space="preserve"> 10-20cm)</w:t>
      </w:r>
      <w:r w:rsidR="006C3217" w:rsidRPr="00860424">
        <w:rPr>
          <w:iCs/>
        </w:rPr>
        <w:t xml:space="preserve">. Soil pH </w:t>
      </w:r>
      <w:r w:rsidR="00340AF0" w:rsidRPr="00860424">
        <w:rPr>
          <w:iCs/>
        </w:rPr>
        <w:t>did</w:t>
      </w:r>
      <w:r w:rsidR="007F71C6" w:rsidRPr="00860424">
        <w:rPr>
          <w:iCs/>
        </w:rPr>
        <w:t xml:space="preserve"> not </w:t>
      </w:r>
      <w:r w:rsidR="00340AF0" w:rsidRPr="00860424">
        <w:rPr>
          <w:iCs/>
        </w:rPr>
        <w:t xml:space="preserve">vary </w:t>
      </w:r>
      <w:r w:rsidR="006C3217" w:rsidRPr="00860424">
        <w:rPr>
          <w:iCs/>
        </w:rPr>
        <w:t>with depth while</w:t>
      </w:r>
      <w:r w:rsidR="002E4DEE">
        <w:rPr>
          <w:iCs/>
        </w:rPr>
        <w:t xml:space="preserve"> both</w:t>
      </w:r>
      <w:r w:rsidR="006C3217" w:rsidRPr="00860424">
        <w:rPr>
          <w:iCs/>
        </w:rPr>
        <w:t xml:space="preserve"> </w:t>
      </w:r>
      <w:r w:rsidR="00BA3BC9">
        <w:rPr>
          <w:iCs/>
        </w:rPr>
        <w:t>TC</w:t>
      </w:r>
      <w:r w:rsidR="006C3217" w:rsidRPr="00860424">
        <w:rPr>
          <w:iCs/>
        </w:rPr>
        <w:t xml:space="preserve"> and </w:t>
      </w:r>
      <w:r w:rsidR="00BA3BC9">
        <w:rPr>
          <w:iCs/>
        </w:rPr>
        <w:t>TN</w:t>
      </w:r>
      <w:r w:rsidR="00340AF0" w:rsidRPr="00860424">
        <w:rPr>
          <w:iCs/>
        </w:rPr>
        <w:t xml:space="preserve"> concentrations</w:t>
      </w:r>
      <w:r w:rsidR="006C3217" w:rsidRPr="00860424">
        <w:rPr>
          <w:iCs/>
        </w:rPr>
        <w:t xml:space="preserve"> </w:t>
      </w:r>
      <w:r w:rsidR="00340AF0" w:rsidRPr="00860424">
        <w:rPr>
          <w:iCs/>
        </w:rPr>
        <w:t xml:space="preserve">decreased </w:t>
      </w:r>
      <w:r w:rsidR="006C3217" w:rsidRPr="00860424">
        <w:rPr>
          <w:iCs/>
        </w:rPr>
        <w:t xml:space="preserve">with depth. Total C ranged between 1.3 and 10.8% </w:t>
      </w:r>
      <w:r w:rsidR="0078223D" w:rsidRPr="00860424">
        <w:rPr>
          <w:iCs/>
        </w:rPr>
        <w:t>dry weight (</w:t>
      </w:r>
      <w:r w:rsidR="006C3217" w:rsidRPr="00860424">
        <w:rPr>
          <w:iCs/>
        </w:rPr>
        <w:t>DW</w:t>
      </w:r>
      <w:r w:rsidR="0078223D" w:rsidRPr="00860424">
        <w:rPr>
          <w:iCs/>
        </w:rPr>
        <w:t>)</w:t>
      </w:r>
      <w:r w:rsidR="006C3217" w:rsidRPr="00860424">
        <w:rPr>
          <w:iCs/>
        </w:rPr>
        <w:t xml:space="preserve"> and </w:t>
      </w:r>
      <w:r w:rsidR="00BA3BC9">
        <w:rPr>
          <w:iCs/>
        </w:rPr>
        <w:t>TN</w:t>
      </w:r>
      <w:r w:rsidR="006C3217" w:rsidRPr="00860424">
        <w:rPr>
          <w:iCs/>
        </w:rPr>
        <w:t xml:space="preserve"> ranged between 0.14 and 0.85% DW. The highest </w:t>
      </w:r>
      <w:r w:rsidR="00BA3BC9">
        <w:rPr>
          <w:iCs/>
        </w:rPr>
        <w:t>TC</w:t>
      </w:r>
      <w:r w:rsidR="006C3217" w:rsidRPr="00860424">
        <w:rPr>
          <w:iCs/>
        </w:rPr>
        <w:t xml:space="preserve"> and </w:t>
      </w:r>
      <w:r w:rsidR="00BA3BC9">
        <w:rPr>
          <w:iCs/>
        </w:rPr>
        <w:t>T</w:t>
      </w:r>
      <w:r w:rsidR="006C3217" w:rsidRPr="00860424">
        <w:rPr>
          <w:iCs/>
        </w:rPr>
        <w:t xml:space="preserve">N </w:t>
      </w:r>
      <w:r w:rsidR="002E4DEE">
        <w:rPr>
          <w:iCs/>
        </w:rPr>
        <w:lastRenderedPageBreak/>
        <w:t xml:space="preserve">concentrations </w:t>
      </w:r>
      <w:r w:rsidR="00BA3BC9">
        <w:rPr>
          <w:iCs/>
        </w:rPr>
        <w:t>occurred</w:t>
      </w:r>
      <w:r w:rsidR="006C3217" w:rsidRPr="00860424">
        <w:rPr>
          <w:iCs/>
        </w:rPr>
        <w:t xml:space="preserve"> in the uppermost 10</w:t>
      </w:r>
      <w:r w:rsidR="0078223D" w:rsidRPr="00860424">
        <w:rPr>
          <w:iCs/>
        </w:rPr>
        <w:t xml:space="preserve"> </w:t>
      </w:r>
      <w:r w:rsidR="006C3217" w:rsidRPr="00860424">
        <w:rPr>
          <w:iCs/>
        </w:rPr>
        <w:t xml:space="preserve">cm of the soil profile </w:t>
      </w:r>
      <w:r w:rsidR="004D06F1" w:rsidRPr="00860424">
        <w:rPr>
          <w:iCs/>
        </w:rPr>
        <w:t>a</w:t>
      </w:r>
      <w:r w:rsidR="006C3217" w:rsidRPr="00860424">
        <w:rPr>
          <w:iCs/>
        </w:rPr>
        <w:t xml:space="preserve">nd </w:t>
      </w:r>
      <w:r w:rsidR="002E4DEE">
        <w:rPr>
          <w:iCs/>
        </w:rPr>
        <w:t>were</w:t>
      </w:r>
      <w:r w:rsidR="002E4DEE" w:rsidRPr="00860424">
        <w:rPr>
          <w:iCs/>
        </w:rPr>
        <w:t xml:space="preserve"> </w:t>
      </w:r>
      <w:r w:rsidR="006C3217" w:rsidRPr="00860424">
        <w:rPr>
          <w:iCs/>
        </w:rPr>
        <w:t xml:space="preserve">highest in the </w:t>
      </w:r>
      <w:r w:rsidR="004175DE" w:rsidRPr="00860424">
        <w:rPr>
          <w:iCs/>
        </w:rPr>
        <w:t>+N+P</w:t>
      </w:r>
      <w:r w:rsidR="0086470B" w:rsidRPr="00860424">
        <w:rPr>
          <w:iCs/>
        </w:rPr>
        <w:t>-L</w:t>
      </w:r>
      <w:r w:rsidR="006C3217" w:rsidRPr="00860424">
        <w:rPr>
          <w:iCs/>
        </w:rPr>
        <w:t xml:space="preserve"> plot (Table </w:t>
      </w:r>
      <w:r w:rsidR="00580859">
        <w:rPr>
          <w:iCs/>
        </w:rPr>
        <w:t>1</w:t>
      </w:r>
      <w:r w:rsidR="006C3217" w:rsidRPr="00860424">
        <w:rPr>
          <w:iCs/>
        </w:rPr>
        <w:t xml:space="preserve">). </w:t>
      </w:r>
    </w:p>
    <w:p w14:paraId="6A51080C" w14:textId="1A3B0DE5" w:rsidR="006C3217" w:rsidRPr="006807C1" w:rsidRDefault="006807C1" w:rsidP="00E627AF">
      <w:pPr>
        <w:spacing w:line="360" w:lineRule="auto"/>
        <w:rPr>
          <w:rStyle w:val="Emphasis"/>
          <w:i w:val="0"/>
        </w:rPr>
      </w:pPr>
      <w:r>
        <w:rPr>
          <w:iCs/>
        </w:rPr>
        <w:t>Table 1</w:t>
      </w:r>
    </w:p>
    <w:p w14:paraId="7806EF6C" w14:textId="672CB36B" w:rsidR="000A5EF8" w:rsidRPr="000A5EF8" w:rsidRDefault="00B669A0" w:rsidP="00E627AF">
      <w:pPr>
        <w:spacing w:line="360" w:lineRule="auto"/>
        <w:rPr>
          <w:rStyle w:val="Emphasis"/>
          <w:bCs/>
          <w:iCs w:val="0"/>
        </w:rPr>
      </w:pPr>
      <w:r w:rsidRPr="000A5EF8">
        <w:rPr>
          <w:rStyle w:val="Emphasis"/>
          <w:bCs/>
          <w:iCs w:val="0"/>
        </w:rPr>
        <w:t>Phosphorus concentrations</w:t>
      </w:r>
    </w:p>
    <w:p w14:paraId="2C17E915" w14:textId="746DAF9F" w:rsidR="007F529E" w:rsidRDefault="00653901" w:rsidP="00E627AF">
      <w:pPr>
        <w:spacing w:line="360" w:lineRule="auto"/>
      </w:pPr>
      <w:r w:rsidRPr="00860424">
        <w:t xml:space="preserve">The </w:t>
      </w:r>
      <w:r w:rsidR="00E36DFD" w:rsidRPr="00860424">
        <w:t>lime</w:t>
      </w:r>
      <w:r w:rsidR="00104E0E" w:rsidRPr="00860424">
        <w:t xml:space="preserve"> from the sample archive</w:t>
      </w:r>
      <w:r w:rsidR="00E36DFD" w:rsidRPr="00860424">
        <w:t xml:space="preserve"> </w:t>
      </w:r>
      <w:r w:rsidRPr="00860424">
        <w:t>contained 0.5 mg P g</w:t>
      </w:r>
      <w:r w:rsidRPr="00860424">
        <w:rPr>
          <w:vertAlign w:val="superscript"/>
        </w:rPr>
        <w:t>-1</w:t>
      </w:r>
      <w:r w:rsidR="00887830" w:rsidRPr="00860424">
        <w:t>,</w:t>
      </w:r>
      <w:r w:rsidR="00474ED7" w:rsidRPr="00860424">
        <w:t xml:space="preserve"> m</w:t>
      </w:r>
      <w:r w:rsidRPr="00860424">
        <w:t xml:space="preserve">eaning that the +L treatment receives a minimal </w:t>
      </w:r>
      <w:r w:rsidR="009B3359" w:rsidRPr="00860424">
        <w:t>Pi</w:t>
      </w:r>
      <w:r w:rsidRPr="00860424">
        <w:t xml:space="preserve"> application</w:t>
      </w:r>
      <w:r w:rsidR="00383D4E" w:rsidRPr="00860424">
        <w:t xml:space="preserve"> and that the rate in 2015 was </w:t>
      </w:r>
      <w:r w:rsidR="002D1ADD" w:rsidRPr="00860424">
        <w:t>1.75, 1.25, and 0.875</w:t>
      </w:r>
      <w:r w:rsidRPr="00860424">
        <w:t xml:space="preserve"> kg P ha</w:t>
      </w:r>
      <w:r w:rsidRPr="00860424">
        <w:rPr>
          <w:vertAlign w:val="superscript"/>
        </w:rPr>
        <w:t>-1</w:t>
      </w:r>
      <w:r w:rsidR="002D1ADD" w:rsidRPr="00860424">
        <w:t xml:space="preserve"> for the </w:t>
      </w:r>
      <w:r w:rsidR="004175DE" w:rsidRPr="00860424">
        <w:t>+N+P</w:t>
      </w:r>
      <w:r w:rsidR="002D1ADD" w:rsidRPr="00860424">
        <w:t>+L</w:t>
      </w:r>
      <w:r w:rsidR="004175DE" w:rsidRPr="00860424">
        <w:t>,</w:t>
      </w:r>
      <w:r w:rsidR="002D1ADD" w:rsidRPr="00860424">
        <w:t xml:space="preserve"> </w:t>
      </w:r>
      <w:r w:rsidR="004175DE" w:rsidRPr="00860424">
        <w:t>-N+P</w:t>
      </w:r>
      <w:r w:rsidR="002D1ADD" w:rsidRPr="00860424">
        <w:t xml:space="preserve">+L, and </w:t>
      </w:r>
      <w:r w:rsidR="004175DE" w:rsidRPr="00860424">
        <w:t>-N-P</w:t>
      </w:r>
      <w:r w:rsidR="002D1ADD" w:rsidRPr="00860424">
        <w:t>+L treatment, respectively</w:t>
      </w:r>
      <w:r w:rsidRPr="00860424">
        <w:t>.</w:t>
      </w:r>
      <w:r w:rsidR="00383D4E" w:rsidRPr="00860424">
        <w:t xml:space="preserve"> </w:t>
      </w:r>
      <w:r w:rsidR="002E4DEE">
        <w:t>Variation</w:t>
      </w:r>
      <w:r w:rsidR="00422A25">
        <w:t xml:space="preserve"> in P</w:t>
      </w:r>
      <w:r w:rsidR="00D54E9D" w:rsidRPr="00860424">
        <w:t xml:space="preserve"> concentrations in the soil P pools</w:t>
      </w:r>
      <w:r w:rsidR="003F6D18">
        <w:t>, except residual P,</w:t>
      </w:r>
      <w:r w:rsidR="00B669A0" w:rsidRPr="00860424">
        <w:t xml:space="preserve"> were </w:t>
      </w:r>
      <w:r w:rsidR="00422A25">
        <w:t>associated with</w:t>
      </w:r>
      <w:r w:rsidR="00B669A0" w:rsidRPr="00860424">
        <w:t xml:space="preserve"> </w:t>
      </w:r>
      <w:r w:rsidR="002E4DEE">
        <w:t xml:space="preserve">changes of </w:t>
      </w:r>
      <w:r w:rsidR="00B669A0" w:rsidRPr="00860424">
        <w:t>depth</w:t>
      </w:r>
      <w:r w:rsidR="00EF7DAA" w:rsidRPr="00860424">
        <w:t xml:space="preserve"> and treatment (</w:t>
      </w:r>
      <w:r w:rsidR="00FA01A9">
        <w:t xml:space="preserve">Table </w:t>
      </w:r>
      <w:r w:rsidR="00580859">
        <w:t>2</w:t>
      </w:r>
      <w:r w:rsidR="00EF7DAA" w:rsidRPr="00860424">
        <w:t xml:space="preserve">). </w:t>
      </w:r>
      <w:r w:rsidR="00A06D62" w:rsidRPr="00860424">
        <w:t xml:space="preserve">Within each </w:t>
      </w:r>
      <w:r w:rsidR="00D160C6" w:rsidRPr="00860424">
        <w:t>treatment,</w:t>
      </w:r>
      <w:r w:rsidR="00A06D62" w:rsidRPr="00860424">
        <w:t xml:space="preserve"> P </w:t>
      </w:r>
      <w:r w:rsidR="003F6D18">
        <w:t xml:space="preserve">concentrations of the different P pools </w:t>
      </w:r>
      <w:r w:rsidR="0086470B" w:rsidRPr="00860424">
        <w:t>declined</w:t>
      </w:r>
      <w:r w:rsidR="00A06D62" w:rsidRPr="00860424">
        <w:t xml:space="preserve"> with depth</w:t>
      </w:r>
      <w:r w:rsidR="003F6D18">
        <w:t>, with the exception of microbial P in the +N+P treatments and the -N+P-L treatment</w:t>
      </w:r>
      <w:r w:rsidR="00DE3863" w:rsidRPr="00860424">
        <w:t xml:space="preserve"> (Table </w:t>
      </w:r>
      <w:r w:rsidR="00580859">
        <w:t>2</w:t>
      </w:r>
      <w:r w:rsidR="00DE3863" w:rsidRPr="00860424">
        <w:t>)</w:t>
      </w:r>
      <w:r w:rsidR="00A06D62" w:rsidRPr="00860424">
        <w:t xml:space="preserve">. </w:t>
      </w:r>
      <w:r w:rsidR="003F3A89">
        <w:t xml:space="preserve">Except for microbial and residual P, the highest P concentrations were found in the 0-10 cm layer of the +N+P treatments (Table </w:t>
      </w:r>
      <w:r w:rsidR="00580859">
        <w:t>2</w:t>
      </w:r>
      <w:r w:rsidR="003F3A89">
        <w:t>). Microbial P concentration was highest in the -N-P</w:t>
      </w:r>
      <w:r w:rsidR="003F6D18">
        <w:t>-L</w:t>
      </w:r>
      <w:r w:rsidR="003F3A89">
        <w:t xml:space="preserve"> treatment and residual P concentration was highest in the -N+P</w:t>
      </w:r>
      <w:r w:rsidR="005D7F28">
        <w:t xml:space="preserve">+L treatment. </w:t>
      </w:r>
      <w:r w:rsidR="00CF1E4E" w:rsidRPr="00860424">
        <w:t xml:space="preserve">The </w:t>
      </w:r>
      <w:r w:rsidR="00033850" w:rsidRPr="00860424">
        <w:t xml:space="preserve">lowest </w:t>
      </w:r>
      <w:r w:rsidR="002052E5">
        <w:t xml:space="preserve">P </w:t>
      </w:r>
      <w:r w:rsidR="00CF1E4E" w:rsidRPr="00860424">
        <w:t>concentration</w:t>
      </w:r>
      <w:r w:rsidR="003F3A89">
        <w:t>s, except for microbial and residual P, were found in the -N-P treatments</w:t>
      </w:r>
      <w:r w:rsidR="005D7F28">
        <w:t xml:space="preserve">. Microbial P concentrations were lowest in the fertilised treatments and residual P concentration was lowest in the +N+P-L treatment (Table </w:t>
      </w:r>
      <w:r w:rsidR="00580859">
        <w:t>2</w:t>
      </w:r>
      <w:r w:rsidR="005D7F28">
        <w:t xml:space="preserve">). </w:t>
      </w:r>
      <w:r w:rsidR="007F529E">
        <w:t xml:space="preserve"> </w:t>
      </w:r>
    </w:p>
    <w:p w14:paraId="6E525194" w14:textId="2615C449" w:rsidR="00A35DDE" w:rsidRDefault="007F529E" w:rsidP="00E627AF">
      <w:pPr>
        <w:spacing w:line="360" w:lineRule="auto"/>
        <w:sectPr w:rsidR="00A35DDE" w:rsidSect="00D87662">
          <w:pgSz w:w="11906" w:h="16838"/>
          <w:pgMar w:top="1440" w:right="1440" w:bottom="1440" w:left="1440" w:header="708" w:footer="708" w:gutter="0"/>
          <w:lnNumType w:countBy="1" w:restart="continuous"/>
          <w:cols w:space="708"/>
          <w:docGrid w:linePitch="360"/>
        </w:sectPr>
      </w:pPr>
      <w:r>
        <w:t>Table 2</w:t>
      </w:r>
    </w:p>
    <w:p w14:paraId="59488DA5" w14:textId="1E42A5E0" w:rsidR="000A5EF8" w:rsidRPr="000A5EF8" w:rsidRDefault="00A75462" w:rsidP="00E627AF">
      <w:pPr>
        <w:spacing w:line="360" w:lineRule="auto"/>
        <w:rPr>
          <w:bCs/>
          <w:i/>
        </w:rPr>
      </w:pPr>
      <w:r>
        <w:rPr>
          <w:bCs/>
          <w:i/>
        </w:rPr>
        <w:lastRenderedPageBreak/>
        <w:t>Calculated</w:t>
      </w:r>
      <w:r w:rsidR="002F41F7" w:rsidRPr="000A5EF8">
        <w:rPr>
          <w:bCs/>
          <w:i/>
        </w:rPr>
        <w:t xml:space="preserve"> equilibrium values </w:t>
      </w:r>
    </w:p>
    <w:p w14:paraId="34792558" w14:textId="2D58D10A" w:rsidR="002F41F7" w:rsidRPr="00860424" w:rsidRDefault="002F41F7" w:rsidP="00E627AF">
      <w:pPr>
        <w:spacing w:line="360" w:lineRule="auto"/>
        <w:rPr>
          <w:rStyle w:val="Emphasis"/>
          <w:b/>
          <w:i w:val="0"/>
        </w:rPr>
      </w:pPr>
      <w:r w:rsidRPr="00860424">
        <w:t>Soil temperatures ranged from 3.3 to 4.7</w:t>
      </w:r>
      <w:r w:rsidRPr="00860424">
        <w:rPr>
          <w:rFonts w:ascii="Calibri" w:hAnsi="Calibri" w:cs="Calibri"/>
        </w:rPr>
        <w:t>°</w:t>
      </w:r>
      <w:r w:rsidRPr="00860424">
        <w:rPr>
          <w:rFonts w:cs="Times New Roman"/>
        </w:rPr>
        <w:t>C</w:t>
      </w:r>
      <w:r w:rsidRPr="00860424">
        <w:t xml:space="preserve"> in the 0-10 cm layer, 4.4 to 4.9</w:t>
      </w:r>
      <w:r w:rsidRPr="00860424">
        <w:rPr>
          <w:rFonts w:ascii="Calibri" w:hAnsi="Calibri" w:cs="Calibri"/>
        </w:rPr>
        <w:t>°</w:t>
      </w:r>
      <w:r w:rsidRPr="00860424">
        <w:rPr>
          <w:rFonts w:cs="Times New Roman"/>
        </w:rPr>
        <w:t>C</w:t>
      </w:r>
      <w:r w:rsidRPr="00860424">
        <w:t xml:space="preserve"> in the 10-20 cm layer, and 4.8 to 5.1</w:t>
      </w:r>
      <w:r w:rsidRPr="00860424">
        <w:rPr>
          <w:rFonts w:ascii="Calibri" w:hAnsi="Calibri" w:cs="Calibri"/>
        </w:rPr>
        <w:t>°</w:t>
      </w:r>
      <w:r w:rsidRPr="00860424">
        <w:rPr>
          <w:rFonts w:cs="Times New Roman"/>
        </w:rPr>
        <w:t>C</w:t>
      </w:r>
      <w:r w:rsidRPr="00860424">
        <w:t xml:space="preserve"> in the 20-30 cm layer</w:t>
      </w:r>
      <w:r w:rsidR="00FB3F45" w:rsidRPr="00860424">
        <w:t xml:space="preserve"> in the 24 hours prior to soil sampling</w:t>
      </w:r>
      <w:r w:rsidRPr="00860424">
        <w:t xml:space="preserve">. The soil water </w:t>
      </w:r>
      <w:bookmarkStart w:id="3" w:name="_Hlk516129219"/>
      <w:r w:rsidRPr="00860424">
        <w:t>δ</w:t>
      </w:r>
      <w:r w:rsidRPr="00860424">
        <w:rPr>
          <w:vertAlign w:val="superscript"/>
        </w:rPr>
        <w:t>18</w:t>
      </w:r>
      <w:r w:rsidRPr="00860424">
        <w:t>O</w:t>
      </w:r>
      <w:r w:rsidRPr="00860424">
        <w:rPr>
          <w:vertAlign w:val="subscript"/>
        </w:rPr>
        <w:t>H2O</w:t>
      </w:r>
      <w:bookmarkEnd w:id="3"/>
      <w:r w:rsidRPr="00860424">
        <w:t xml:space="preserve"> ranged between -7.4 and -5.3</w:t>
      </w:r>
      <w:r w:rsidRPr="00860424">
        <w:rPr>
          <w:rFonts w:cs="Times New Roman"/>
        </w:rPr>
        <w:t>‰</w:t>
      </w:r>
      <w:r w:rsidRPr="00860424">
        <w:t xml:space="preserve"> (Table </w:t>
      </w:r>
      <w:r w:rsidR="00580859">
        <w:t>3</w:t>
      </w:r>
      <w:r w:rsidRPr="00860424">
        <w:t>) and decreased with depth. The calculated equilibrium values ranged between 18.3 and 20.7</w:t>
      </w:r>
      <w:r w:rsidRPr="00860424">
        <w:rPr>
          <w:rFonts w:cs="Times New Roman"/>
        </w:rPr>
        <w:t>‰ and did not show any marked variation across the treatments.</w:t>
      </w:r>
      <w:r w:rsidRPr="00860424">
        <w:t xml:space="preserve"> </w:t>
      </w:r>
    </w:p>
    <w:p w14:paraId="7F49BE71" w14:textId="2ED6C7AF" w:rsidR="000A5EF8" w:rsidRPr="000A5EF8" w:rsidRDefault="00774941" w:rsidP="00E627AF">
      <w:pPr>
        <w:spacing w:line="360" w:lineRule="auto"/>
        <w:rPr>
          <w:rStyle w:val="Emphasis"/>
          <w:bCs/>
          <w:iCs w:val="0"/>
        </w:rPr>
      </w:pPr>
      <w:r w:rsidRPr="000A5EF8">
        <w:rPr>
          <w:rStyle w:val="Emphasis"/>
          <w:bCs/>
          <w:iCs w:val="0"/>
        </w:rPr>
        <w:t xml:space="preserve">Oxygen isotope values of </w:t>
      </w:r>
      <w:r w:rsidR="00E36DFD" w:rsidRPr="000A5EF8">
        <w:rPr>
          <w:rStyle w:val="Emphasis"/>
          <w:bCs/>
          <w:iCs w:val="0"/>
        </w:rPr>
        <w:t xml:space="preserve">lime, </w:t>
      </w:r>
      <w:r w:rsidR="00EE3701" w:rsidRPr="000A5EF8">
        <w:rPr>
          <w:rStyle w:val="Emphasis"/>
          <w:bCs/>
          <w:iCs w:val="0"/>
        </w:rPr>
        <w:t>vegetation</w:t>
      </w:r>
      <w:r w:rsidR="00E36DFD" w:rsidRPr="000A5EF8">
        <w:rPr>
          <w:rStyle w:val="Emphasis"/>
          <w:bCs/>
          <w:iCs w:val="0"/>
        </w:rPr>
        <w:t>,</w:t>
      </w:r>
      <w:r w:rsidR="00EE3701" w:rsidRPr="000A5EF8">
        <w:rPr>
          <w:rStyle w:val="Emphasis"/>
          <w:bCs/>
          <w:iCs w:val="0"/>
        </w:rPr>
        <w:t xml:space="preserve"> </w:t>
      </w:r>
      <w:r w:rsidR="00131739" w:rsidRPr="000A5EF8">
        <w:rPr>
          <w:rStyle w:val="Emphasis"/>
          <w:bCs/>
          <w:iCs w:val="0"/>
        </w:rPr>
        <w:t xml:space="preserve">and soil </w:t>
      </w:r>
      <w:r w:rsidRPr="000A5EF8">
        <w:rPr>
          <w:rStyle w:val="Emphasis"/>
          <w:bCs/>
          <w:iCs w:val="0"/>
        </w:rPr>
        <w:t>phosphorus pools</w:t>
      </w:r>
    </w:p>
    <w:p w14:paraId="269A63A8" w14:textId="36C56F9B" w:rsidR="004356DB" w:rsidRPr="00860424" w:rsidRDefault="00E36DFD" w:rsidP="00E627AF">
      <w:pPr>
        <w:spacing w:line="360" w:lineRule="auto"/>
        <w:rPr>
          <w:rStyle w:val="Emphasis"/>
          <w:i w:val="0"/>
        </w:rPr>
      </w:pPr>
      <w:r w:rsidRPr="00860424">
        <w:rPr>
          <w:rStyle w:val="Emphasis"/>
          <w:i w:val="0"/>
        </w:rPr>
        <w:t xml:space="preserve">The lime </w:t>
      </w:r>
      <w:r w:rsidR="00104E0E" w:rsidRPr="00860424">
        <w:rPr>
          <w:rStyle w:val="Emphasis"/>
          <w:i w:val="0"/>
        </w:rPr>
        <w:t>from the sample archive of Rothamsted Research had a δ</w:t>
      </w:r>
      <w:r w:rsidR="00104E0E" w:rsidRPr="00860424">
        <w:rPr>
          <w:rStyle w:val="Emphasis"/>
          <w:i w:val="0"/>
          <w:vertAlign w:val="superscript"/>
        </w:rPr>
        <w:t>18</w:t>
      </w:r>
      <w:r w:rsidR="00104E0E" w:rsidRPr="00860424">
        <w:rPr>
          <w:rStyle w:val="Emphasis"/>
          <w:i w:val="0"/>
        </w:rPr>
        <w:t>O</w:t>
      </w:r>
      <w:r w:rsidR="00104E0E" w:rsidRPr="00860424">
        <w:rPr>
          <w:rStyle w:val="Emphasis"/>
          <w:i w:val="0"/>
          <w:vertAlign w:val="subscript"/>
        </w:rPr>
        <w:t>P</w:t>
      </w:r>
      <w:r w:rsidR="00104E0E" w:rsidRPr="00860424">
        <w:rPr>
          <w:rStyle w:val="Emphasis"/>
          <w:i w:val="0"/>
        </w:rPr>
        <w:t xml:space="preserve"> of 14.7</w:t>
      </w:r>
      <w:r w:rsidR="00DF6B00" w:rsidRPr="00860424">
        <w:rPr>
          <w:rStyle w:val="Emphasis"/>
          <w:rFonts w:cs="Times New Roman"/>
          <w:i w:val="0"/>
        </w:rPr>
        <w:t>‰</w:t>
      </w:r>
      <w:r w:rsidR="00104E0E" w:rsidRPr="00860424">
        <w:rPr>
          <w:rStyle w:val="Emphasis"/>
          <w:i w:val="0"/>
        </w:rPr>
        <w:t xml:space="preserve"> (2007) and 18.0</w:t>
      </w:r>
      <w:r w:rsidR="00DF6B00" w:rsidRPr="00860424">
        <w:rPr>
          <w:rStyle w:val="Emphasis"/>
          <w:rFonts w:cs="Times New Roman"/>
          <w:i w:val="0"/>
        </w:rPr>
        <w:t>‰</w:t>
      </w:r>
      <w:r w:rsidR="00104E0E" w:rsidRPr="00860424">
        <w:rPr>
          <w:rStyle w:val="Emphasis"/>
          <w:i w:val="0"/>
        </w:rPr>
        <w:t xml:space="preserve"> (2013).</w:t>
      </w:r>
      <w:r w:rsidRPr="00860424">
        <w:rPr>
          <w:rStyle w:val="Emphasis"/>
          <w:i w:val="0"/>
        </w:rPr>
        <w:t xml:space="preserve"> </w:t>
      </w:r>
      <w:r w:rsidR="003F744D" w:rsidRPr="00860424">
        <w:rPr>
          <w:rStyle w:val="Emphasis"/>
          <w:i w:val="0"/>
        </w:rPr>
        <w:t>The fertiliser δ</w:t>
      </w:r>
      <w:r w:rsidR="003F744D" w:rsidRPr="00860424">
        <w:rPr>
          <w:rStyle w:val="Emphasis"/>
          <w:i w:val="0"/>
          <w:vertAlign w:val="superscript"/>
        </w:rPr>
        <w:t>18</w:t>
      </w:r>
      <w:r w:rsidR="003F744D" w:rsidRPr="00860424">
        <w:rPr>
          <w:rStyle w:val="Emphasis"/>
          <w:i w:val="0"/>
        </w:rPr>
        <w:t>O</w:t>
      </w:r>
      <w:r w:rsidR="003F744D" w:rsidRPr="00860424">
        <w:rPr>
          <w:rStyle w:val="Emphasis"/>
          <w:i w:val="0"/>
          <w:vertAlign w:val="subscript"/>
        </w:rPr>
        <w:t>P</w:t>
      </w:r>
      <w:r w:rsidR="003F744D" w:rsidRPr="00860424">
        <w:rPr>
          <w:rStyle w:val="Emphasis"/>
          <w:i w:val="0"/>
        </w:rPr>
        <w:t xml:space="preserve"> was 20.6</w:t>
      </w:r>
      <w:r w:rsidR="003F744D" w:rsidRPr="00860424">
        <w:rPr>
          <w:rStyle w:val="Emphasis"/>
          <w:rFonts w:cs="Times New Roman"/>
          <w:i w:val="0"/>
        </w:rPr>
        <w:t>‰</w:t>
      </w:r>
      <w:r w:rsidR="003F744D" w:rsidRPr="00860424">
        <w:rPr>
          <w:rStyle w:val="Emphasis"/>
          <w:i w:val="0"/>
        </w:rPr>
        <w:t xml:space="preserve"> (1986) and </w:t>
      </w:r>
      <w:r w:rsidR="00DC0666" w:rsidRPr="00860424">
        <w:rPr>
          <w:rStyle w:val="Emphasis"/>
          <w:i w:val="0"/>
        </w:rPr>
        <w:t>18.6</w:t>
      </w:r>
      <w:r w:rsidR="00DF6B00" w:rsidRPr="00860424">
        <w:rPr>
          <w:rStyle w:val="Emphasis"/>
          <w:rFonts w:cs="Times New Roman"/>
          <w:i w:val="0"/>
        </w:rPr>
        <w:t>‰</w:t>
      </w:r>
      <w:r w:rsidR="003F744D" w:rsidRPr="00860424">
        <w:rPr>
          <w:rStyle w:val="Emphasis"/>
          <w:i w:val="0"/>
        </w:rPr>
        <w:t xml:space="preserve"> (2012). </w:t>
      </w:r>
      <w:r w:rsidR="00131739" w:rsidRPr="00860424">
        <w:rPr>
          <w:rStyle w:val="Emphasis"/>
          <w:i w:val="0"/>
        </w:rPr>
        <w:t xml:space="preserve">The </w:t>
      </w:r>
      <w:r w:rsidR="00F87E1A" w:rsidRPr="00860424">
        <w:rPr>
          <w:rStyle w:val="Emphasis"/>
          <w:i w:val="0"/>
        </w:rPr>
        <w:t xml:space="preserve">TCA P </w:t>
      </w:r>
      <w:r w:rsidR="00131739" w:rsidRPr="00860424">
        <w:rPr>
          <w:rStyle w:val="Emphasis"/>
          <w:i w:val="0"/>
        </w:rPr>
        <w:t>δ</w:t>
      </w:r>
      <w:r w:rsidR="00131739" w:rsidRPr="00860424">
        <w:rPr>
          <w:rStyle w:val="Emphasis"/>
          <w:i w:val="0"/>
          <w:vertAlign w:val="superscript"/>
        </w:rPr>
        <w:t>18</w:t>
      </w:r>
      <w:r w:rsidR="00131739" w:rsidRPr="00860424">
        <w:rPr>
          <w:rStyle w:val="Emphasis"/>
          <w:i w:val="0"/>
        </w:rPr>
        <w:t>O</w:t>
      </w:r>
      <w:r w:rsidR="00131739" w:rsidRPr="00860424">
        <w:rPr>
          <w:rStyle w:val="Emphasis"/>
          <w:i w:val="0"/>
          <w:vertAlign w:val="subscript"/>
        </w:rPr>
        <w:t>P</w:t>
      </w:r>
      <w:r w:rsidR="00131739" w:rsidRPr="00860424">
        <w:rPr>
          <w:rStyle w:val="Emphasis"/>
          <w:i w:val="0"/>
        </w:rPr>
        <w:t xml:space="preserve"> of </w:t>
      </w:r>
      <w:r w:rsidR="006057CC" w:rsidRPr="00860424">
        <w:rPr>
          <w:rStyle w:val="Emphasis"/>
          <w:i w:val="0"/>
        </w:rPr>
        <w:t xml:space="preserve">the </w:t>
      </w:r>
      <w:r w:rsidR="008D6614" w:rsidRPr="00860424">
        <w:rPr>
          <w:rStyle w:val="Emphasis"/>
          <w:i w:val="0"/>
        </w:rPr>
        <w:t>vegetation ranged between 16.3 and 22.9</w:t>
      </w:r>
      <w:r w:rsidR="008D6614" w:rsidRPr="00860424">
        <w:rPr>
          <w:rStyle w:val="Emphasis"/>
          <w:rFonts w:cs="Times New Roman"/>
          <w:i w:val="0"/>
        </w:rPr>
        <w:t>‰</w:t>
      </w:r>
      <w:r w:rsidR="008D6614" w:rsidRPr="00860424">
        <w:rPr>
          <w:rStyle w:val="Emphasis"/>
          <w:i w:val="0"/>
        </w:rPr>
        <w:t xml:space="preserve"> </w:t>
      </w:r>
      <w:r w:rsidR="002E4DEE">
        <w:rPr>
          <w:rStyle w:val="Emphasis"/>
          <w:i w:val="0"/>
        </w:rPr>
        <w:t>but</w:t>
      </w:r>
      <w:r w:rsidR="002E4DEE" w:rsidRPr="00860424">
        <w:rPr>
          <w:rStyle w:val="Emphasis"/>
          <w:i w:val="0"/>
        </w:rPr>
        <w:t xml:space="preserve"> </w:t>
      </w:r>
      <w:r w:rsidR="00131739" w:rsidRPr="00860424">
        <w:rPr>
          <w:rStyle w:val="Emphasis"/>
          <w:i w:val="0"/>
        </w:rPr>
        <w:t xml:space="preserve">was not </w:t>
      </w:r>
      <w:r w:rsidR="00422A25">
        <w:rPr>
          <w:rStyle w:val="Emphasis"/>
          <w:i w:val="0"/>
        </w:rPr>
        <w:t>associated with the</w:t>
      </w:r>
      <w:r w:rsidR="00131739" w:rsidRPr="00860424">
        <w:rPr>
          <w:rStyle w:val="Emphasis"/>
          <w:i w:val="0"/>
        </w:rPr>
        <w:t xml:space="preserve"> application of lime</w:t>
      </w:r>
      <w:r w:rsidR="004356DB" w:rsidRPr="00860424">
        <w:rPr>
          <w:rStyle w:val="Emphasis"/>
          <w:i w:val="0"/>
        </w:rPr>
        <w:t xml:space="preserve"> (</w:t>
      </w:r>
      <w:r w:rsidR="0049216D" w:rsidRPr="00860424">
        <w:rPr>
          <w:rStyle w:val="Emphasis"/>
          <w:i w:val="0"/>
        </w:rPr>
        <w:t xml:space="preserve">+L </w:t>
      </w:r>
      <w:r w:rsidR="0050776B" w:rsidRPr="00860424">
        <w:rPr>
          <w:rStyle w:val="Emphasis"/>
          <w:i w:val="0"/>
        </w:rPr>
        <w:t xml:space="preserve">vs </w:t>
      </w:r>
      <w:r w:rsidR="0049216D" w:rsidRPr="00860424">
        <w:rPr>
          <w:rStyle w:val="Emphasis"/>
          <w:i w:val="0"/>
        </w:rPr>
        <w:t>-L</w:t>
      </w:r>
      <w:r w:rsidR="0050776B" w:rsidRPr="00860424">
        <w:rPr>
          <w:rStyle w:val="Emphasis"/>
          <w:i w:val="0"/>
        </w:rPr>
        <w:t xml:space="preserve">: </w:t>
      </w:r>
      <w:r w:rsidR="008D6614" w:rsidRPr="00860424">
        <w:rPr>
          <w:rStyle w:val="Emphasis"/>
          <w:i w:val="0"/>
        </w:rPr>
        <w:t>2</w:t>
      </w:r>
      <w:r w:rsidR="0050776B" w:rsidRPr="00860424">
        <w:rPr>
          <w:rStyle w:val="Emphasis"/>
          <w:i w:val="0"/>
        </w:rPr>
        <w:t>2.9</w:t>
      </w:r>
      <w:r w:rsidR="004356DB" w:rsidRPr="00860424">
        <w:rPr>
          <w:rStyle w:val="Emphasis"/>
          <w:i w:val="0"/>
        </w:rPr>
        <w:t xml:space="preserve"> vs </w:t>
      </w:r>
      <w:r w:rsidR="0050776B" w:rsidRPr="00860424">
        <w:rPr>
          <w:rStyle w:val="Emphasis"/>
          <w:i w:val="0"/>
        </w:rPr>
        <w:t>22.3</w:t>
      </w:r>
      <w:r w:rsidR="00EE3701" w:rsidRPr="00860424">
        <w:rPr>
          <w:rStyle w:val="Emphasis"/>
          <w:rFonts w:cs="Times New Roman"/>
          <w:i w:val="0"/>
        </w:rPr>
        <w:t xml:space="preserve">‰ </w:t>
      </w:r>
      <w:r w:rsidR="0050776B" w:rsidRPr="00860424">
        <w:rPr>
          <w:rStyle w:val="Emphasis"/>
          <w:i w:val="0"/>
        </w:rPr>
        <w:t>(-N</w:t>
      </w:r>
      <w:r w:rsidR="00B05CCE" w:rsidRPr="00860424">
        <w:rPr>
          <w:rStyle w:val="Emphasis"/>
          <w:i w:val="0"/>
        </w:rPr>
        <w:t>+P)</w:t>
      </w:r>
      <w:r w:rsidR="0050776B" w:rsidRPr="00860424">
        <w:rPr>
          <w:rStyle w:val="Emphasis"/>
          <w:i w:val="0"/>
        </w:rPr>
        <w:t>, 22.3 vs 21.2</w:t>
      </w:r>
      <w:r w:rsidR="00EE3701" w:rsidRPr="00860424">
        <w:rPr>
          <w:rStyle w:val="Emphasis"/>
          <w:rFonts w:cs="Times New Roman"/>
          <w:i w:val="0"/>
        </w:rPr>
        <w:t>‰</w:t>
      </w:r>
      <w:r w:rsidR="00EE3701" w:rsidRPr="00860424">
        <w:rPr>
          <w:rStyle w:val="Emphasis"/>
          <w:i w:val="0"/>
        </w:rPr>
        <w:t xml:space="preserve"> </w:t>
      </w:r>
      <w:r w:rsidR="0050776B" w:rsidRPr="00860424">
        <w:rPr>
          <w:rStyle w:val="Emphasis"/>
          <w:i w:val="0"/>
        </w:rPr>
        <w:t>(+N</w:t>
      </w:r>
      <w:r w:rsidR="00B05CCE" w:rsidRPr="00860424">
        <w:rPr>
          <w:rStyle w:val="Emphasis"/>
          <w:i w:val="0"/>
        </w:rPr>
        <w:t>+P</w:t>
      </w:r>
      <w:r w:rsidR="0050776B" w:rsidRPr="00860424">
        <w:rPr>
          <w:rStyle w:val="Emphasis"/>
          <w:i w:val="0"/>
        </w:rPr>
        <w:t>), and 16.3 vs 16.4</w:t>
      </w:r>
      <w:r w:rsidR="00EE3701" w:rsidRPr="00860424">
        <w:rPr>
          <w:rStyle w:val="Emphasis"/>
          <w:rFonts w:cs="Times New Roman"/>
          <w:i w:val="0"/>
        </w:rPr>
        <w:t>‰</w:t>
      </w:r>
      <w:r w:rsidR="00EE3701" w:rsidRPr="00860424">
        <w:rPr>
          <w:rStyle w:val="Emphasis"/>
          <w:i w:val="0"/>
        </w:rPr>
        <w:t xml:space="preserve"> </w:t>
      </w:r>
      <w:r w:rsidR="0050776B" w:rsidRPr="00860424">
        <w:rPr>
          <w:rStyle w:val="Emphasis"/>
          <w:i w:val="0"/>
        </w:rPr>
        <w:t>(</w:t>
      </w:r>
      <w:r w:rsidR="00B05CCE" w:rsidRPr="00860424">
        <w:rPr>
          <w:rStyle w:val="Emphasis"/>
          <w:i w:val="0"/>
        </w:rPr>
        <w:t>-N-P</w:t>
      </w:r>
      <w:r w:rsidR="0050776B" w:rsidRPr="002E4DEE">
        <w:rPr>
          <w:rStyle w:val="Emphasis"/>
          <w:i w:val="0"/>
        </w:rPr>
        <w:t>)</w:t>
      </w:r>
      <w:r w:rsidR="004356DB" w:rsidRPr="002E4DEE">
        <w:rPr>
          <w:rStyle w:val="Emphasis"/>
          <w:i w:val="0"/>
        </w:rPr>
        <w:t>)</w:t>
      </w:r>
      <w:r w:rsidR="00131739" w:rsidRPr="002E4DEE">
        <w:rPr>
          <w:rStyle w:val="Emphasis"/>
          <w:i w:val="0"/>
        </w:rPr>
        <w:t xml:space="preserve">. </w:t>
      </w:r>
      <w:r w:rsidR="005006FC">
        <w:rPr>
          <w:rStyle w:val="Emphasis"/>
          <w:i w:val="0"/>
        </w:rPr>
        <w:t xml:space="preserve">Similarly, the TCA P </w:t>
      </w:r>
      <w:r w:rsidR="005006FC" w:rsidRPr="005006FC">
        <w:rPr>
          <w:rStyle w:val="Emphasis"/>
          <w:rFonts w:cs="Times New Roman"/>
          <w:i w:val="0"/>
        </w:rPr>
        <w:t>δ</w:t>
      </w:r>
      <w:r w:rsidR="005006FC" w:rsidRPr="005006FC">
        <w:rPr>
          <w:rStyle w:val="Emphasis"/>
          <w:rFonts w:cs="Times New Roman"/>
          <w:i w:val="0"/>
          <w:vertAlign w:val="superscript"/>
        </w:rPr>
        <w:t>18</w:t>
      </w:r>
      <w:r w:rsidR="005006FC" w:rsidRPr="005006FC">
        <w:rPr>
          <w:rStyle w:val="Emphasis"/>
          <w:rFonts w:cs="Times New Roman"/>
          <w:i w:val="0"/>
        </w:rPr>
        <w:t>O</w:t>
      </w:r>
      <w:r w:rsidR="005006FC" w:rsidRPr="005006FC">
        <w:rPr>
          <w:rStyle w:val="Emphasis"/>
          <w:rFonts w:cs="Times New Roman"/>
          <w:i w:val="0"/>
          <w:vertAlign w:val="subscript"/>
        </w:rPr>
        <w:t>P</w:t>
      </w:r>
      <w:r w:rsidR="005006FC">
        <w:rPr>
          <w:rStyle w:val="Emphasis"/>
          <w:i w:val="0"/>
        </w:rPr>
        <w:t xml:space="preserve"> was not associated with the application of N fertiliser (</w:t>
      </w:r>
      <w:r w:rsidR="00131739" w:rsidRPr="002E4DEE">
        <w:rPr>
          <w:rStyle w:val="Emphasis"/>
          <w:i w:val="0"/>
        </w:rPr>
        <w:t>-N</w:t>
      </w:r>
      <w:r w:rsidR="00B05CCE" w:rsidRPr="002E4DEE">
        <w:rPr>
          <w:rStyle w:val="Emphasis"/>
          <w:i w:val="0"/>
        </w:rPr>
        <w:t>+P</w:t>
      </w:r>
      <w:r w:rsidR="00131739" w:rsidRPr="002E4DEE">
        <w:rPr>
          <w:rStyle w:val="Emphasis"/>
          <w:i w:val="0"/>
        </w:rPr>
        <w:t xml:space="preserve"> </w:t>
      </w:r>
      <w:r w:rsidR="005006FC">
        <w:rPr>
          <w:rStyle w:val="Emphasis"/>
          <w:i w:val="0"/>
        </w:rPr>
        <w:t>vs</w:t>
      </w:r>
      <w:r w:rsidR="005006FC" w:rsidRPr="002E4DEE">
        <w:rPr>
          <w:rStyle w:val="Emphasis"/>
          <w:i w:val="0"/>
        </w:rPr>
        <w:t xml:space="preserve"> </w:t>
      </w:r>
      <w:r w:rsidR="00131739" w:rsidRPr="002E4DEE">
        <w:rPr>
          <w:rStyle w:val="Emphasis"/>
          <w:i w:val="0"/>
        </w:rPr>
        <w:t>+N</w:t>
      </w:r>
      <w:r w:rsidR="00B05CCE" w:rsidRPr="002E4DEE">
        <w:rPr>
          <w:rStyle w:val="Emphasis"/>
          <w:i w:val="0"/>
        </w:rPr>
        <w:t>+P</w:t>
      </w:r>
      <w:r w:rsidR="00131739" w:rsidRPr="002E4DEE">
        <w:rPr>
          <w:rStyle w:val="Emphasis"/>
          <w:i w:val="0"/>
        </w:rPr>
        <w:t xml:space="preserve"> treatment</w:t>
      </w:r>
      <w:r w:rsidR="000D282B">
        <w:rPr>
          <w:rStyle w:val="Emphasis"/>
          <w:i w:val="0"/>
        </w:rPr>
        <w:t xml:space="preserve">; </w:t>
      </w:r>
      <w:r w:rsidR="00786F1F" w:rsidRPr="002E4DEE">
        <w:rPr>
          <w:rStyle w:val="Emphasis"/>
          <w:i w:val="0"/>
        </w:rPr>
        <w:t>mean</w:t>
      </w:r>
      <w:r w:rsidR="0050776B" w:rsidRPr="002E4DEE">
        <w:rPr>
          <w:rStyle w:val="Emphasis"/>
          <w:i w:val="0"/>
        </w:rPr>
        <w:t xml:space="preserve">: </w:t>
      </w:r>
      <w:r w:rsidR="00E22C05" w:rsidRPr="00611E7C">
        <w:rPr>
          <w:rStyle w:val="Emphasis"/>
          <w:i w:val="0"/>
        </w:rPr>
        <w:t>22.6 vs 21.8</w:t>
      </w:r>
      <w:r w:rsidR="00E22C05" w:rsidRPr="00611E7C">
        <w:rPr>
          <w:rStyle w:val="Emphasis"/>
          <w:rFonts w:cs="Times New Roman"/>
          <w:i w:val="0"/>
        </w:rPr>
        <w:t>‰</w:t>
      </w:r>
      <w:r w:rsidR="00E22C05" w:rsidRPr="00611E7C">
        <w:rPr>
          <w:rStyle w:val="Emphasis"/>
          <w:i w:val="0"/>
        </w:rPr>
        <w:t xml:space="preserve">), </w:t>
      </w:r>
      <w:r w:rsidR="004356DB" w:rsidRPr="00611E7C">
        <w:rPr>
          <w:rStyle w:val="Emphasis"/>
          <w:i w:val="0"/>
        </w:rPr>
        <w:t>howev</w:t>
      </w:r>
      <w:r w:rsidR="004356DB" w:rsidRPr="00860424">
        <w:rPr>
          <w:rStyle w:val="Emphasis"/>
          <w:i w:val="0"/>
        </w:rPr>
        <w:t xml:space="preserve">er the </w:t>
      </w:r>
      <w:r w:rsidR="0050776B" w:rsidRPr="00860424">
        <w:rPr>
          <w:rStyle w:val="Emphasis"/>
          <w:i w:val="0"/>
        </w:rPr>
        <w:t>δ</w:t>
      </w:r>
      <w:r w:rsidR="0050776B" w:rsidRPr="00860424">
        <w:rPr>
          <w:rStyle w:val="Emphasis"/>
          <w:i w:val="0"/>
          <w:vertAlign w:val="superscript"/>
        </w:rPr>
        <w:t>18</w:t>
      </w:r>
      <w:r w:rsidR="0050776B" w:rsidRPr="00860424">
        <w:rPr>
          <w:rStyle w:val="Emphasis"/>
          <w:i w:val="0"/>
        </w:rPr>
        <w:t>O</w:t>
      </w:r>
      <w:r w:rsidR="0050776B" w:rsidRPr="00860424">
        <w:rPr>
          <w:rStyle w:val="Emphasis"/>
          <w:i w:val="0"/>
          <w:vertAlign w:val="subscript"/>
        </w:rPr>
        <w:t>P</w:t>
      </w:r>
      <w:r w:rsidR="004356DB" w:rsidRPr="00860424">
        <w:rPr>
          <w:rStyle w:val="Emphasis"/>
          <w:i w:val="0"/>
        </w:rPr>
        <w:t xml:space="preserve"> in the vegetation was </w:t>
      </w:r>
      <w:r w:rsidR="00E22C05" w:rsidRPr="00860424">
        <w:rPr>
          <w:rStyle w:val="Emphasis"/>
          <w:i w:val="0"/>
        </w:rPr>
        <w:t xml:space="preserve">lower in the </w:t>
      </w:r>
      <w:r w:rsidR="00B05CCE" w:rsidRPr="00860424">
        <w:rPr>
          <w:rStyle w:val="Emphasis"/>
          <w:i w:val="0"/>
        </w:rPr>
        <w:t xml:space="preserve">-N-P treatment </w:t>
      </w:r>
      <w:r w:rsidR="00E22C05" w:rsidRPr="00860424">
        <w:rPr>
          <w:rStyle w:val="Emphasis"/>
          <w:i w:val="0"/>
        </w:rPr>
        <w:t>(</w:t>
      </w:r>
      <w:r w:rsidR="00786F1F" w:rsidRPr="00860424">
        <w:rPr>
          <w:rStyle w:val="Emphasis"/>
          <w:i w:val="0"/>
        </w:rPr>
        <w:t xml:space="preserve">mean: </w:t>
      </w:r>
      <w:r w:rsidR="00E22C05" w:rsidRPr="00860424">
        <w:rPr>
          <w:rStyle w:val="Emphasis"/>
          <w:i w:val="0"/>
        </w:rPr>
        <w:t>16.3</w:t>
      </w:r>
      <w:r w:rsidR="00E22C05" w:rsidRPr="00860424">
        <w:rPr>
          <w:rStyle w:val="Emphasis"/>
          <w:rFonts w:cs="Times New Roman"/>
          <w:i w:val="0"/>
        </w:rPr>
        <w:t>‰</w:t>
      </w:r>
      <w:r w:rsidR="00E22C05" w:rsidRPr="00860424">
        <w:rPr>
          <w:rStyle w:val="Emphasis"/>
          <w:i w:val="0"/>
        </w:rPr>
        <w:t>).</w:t>
      </w:r>
      <w:r w:rsidR="00131739" w:rsidRPr="00860424">
        <w:rPr>
          <w:rStyle w:val="Emphasis"/>
          <w:i w:val="0"/>
        </w:rPr>
        <w:t xml:space="preserve"> </w:t>
      </w:r>
    </w:p>
    <w:p w14:paraId="0BEDF0D6" w14:textId="4F57625A" w:rsidR="0026533F" w:rsidRPr="00611E7C" w:rsidRDefault="001815E2" w:rsidP="00E627AF">
      <w:pPr>
        <w:spacing w:line="360" w:lineRule="auto"/>
      </w:pPr>
      <w:r w:rsidRPr="00860424">
        <w:t>The</w:t>
      </w:r>
      <w:r w:rsidR="00997E15" w:rsidRPr="00860424">
        <w:t xml:space="preserve"> soil P</w:t>
      </w:r>
      <w:r w:rsidRPr="00860424">
        <w:t xml:space="preserve"> </w:t>
      </w:r>
      <w:r w:rsidR="00E80106" w:rsidRPr="00860424">
        <w:t>δ</w:t>
      </w:r>
      <w:r w:rsidR="00E80106" w:rsidRPr="00860424">
        <w:rPr>
          <w:vertAlign w:val="superscript"/>
        </w:rPr>
        <w:t>18</w:t>
      </w:r>
      <w:r w:rsidR="00E80106" w:rsidRPr="00860424">
        <w:t>O</w:t>
      </w:r>
      <w:r w:rsidR="00E80106" w:rsidRPr="00860424">
        <w:rPr>
          <w:vertAlign w:val="subscript"/>
        </w:rPr>
        <w:t>P</w:t>
      </w:r>
      <w:r w:rsidR="00E80106" w:rsidRPr="00860424">
        <w:t xml:space="preserve"> </w:t>
      </w:r>
      <w:r w:rsidRPr="00860424">
        <w:t xml:space="preserve">values are presented in Table </w:t>
      </w:r>
      <w:r w:rsidR="00580859">
        <w:t>3</w:t>
      </w:r>
      <w:r w:rsidRPr="00860424">
        <w:t>.</w:t>
      </w:r>
      <w:r w:rsidR="00E800CF" w:rsidRPr="00860424">
        <w:t xml:space="preserve"> </w:t>
      </w:r>
      <w:r w:rsidR="00DF6B00" w:rsidRPr="00860424">
        <w:t xml:space="preserve">Resin and HCl P concentrations of the </w:t>
      </w:r>
      <w:r w:rsidR="00B05CCE" w:rsidRPr="00860424">
        <w:t>-N-P-L and -N-P+L</w:t>
      </w:r>
      <w:r w:rsidR="00DF6B00" w:rsidRPr="00860424">
        <w:t xml:space="preserve"> treatment</w:t>
      </w:r>
      <w:r w:rsidR="00B05CCE" w:rsidRPr="00860424">
        <w:t>s</w:t>
      </w:r>
      <w:r w:rsidR="00DF6B00" w:rsidRPr="00860424">
        <w:t xml:space="preserve"> were too low for the determination of </w:t>
      </w:r>
      <w:r w:rsidR="00DF6B00" w:rsidRPr="00860424">
        <w:rPr>
          <w:rFonts w:cs="Times New Roman"/>
        </w:rPr>
        <w:t>δ</w:t>
      </w:r>
      <w:r w:rsidR="00DF6B00" w:rsidRPr="00860424">
        <w:rPr>
          <w:rFonts w:cs="Times New Roman"/>
          <w:vertAlign w:val="superscript"/>
        </w:rPr>
        <w:t>18</w:t>
      </w:r>
      <w:r w:rsidR="00DF6B00" w:rsidRPr="00860424">
        <w:rPr>
          <w:rFonts w:cs="Times New Roman"/>
        </w:rPr>
        <w:t>O</w:t>
      </w:r>
      <w:r w:rsidR="00DF6B00" w:rsidRPr="00860424">
        <w:rPr>
          <w:rFonts w:cs="Times New Roman"/>
          <w:vertAlign w:val="subscript"/>
        </w:rPr>
        <w:t>P</w:t>
      </w:r>
      <w:r w:rsidR="00DF6B00" w:rsidRPr="00860424">
        <w:t xml:space="preserve"> values. </w:t>
      </w:r>
      <w:r w:rsidR="0052305C" w:rsidRPr="00860424">
        <w:rPr>
          <w:rFonts w:cs="Times New Roman"/>
        </w:rPr>
        <w:t>The hexanol P δ</w:t>
      </w:r>
      <w:r w:rsidR="0052305C" w:rsidRPr="00860424">
        <w:rPr>
          <w:rFonts w:cs="Times New Roman"/>
          <w:vertAlign w:val="superscript"/>
        </w:rPr>
        <w:t>18</w:t>
      </w:r>
      <w:r w:rsidR="0052305C" w:rsidRPr="00860424">
        <w:rPr>
          <w:rFonts w:cs="Times New Roman"/>
        </w:rPr>
        <w:t>O</w:t>
      </w:r>
      <w:r w:rsidR="0052305C" w:rsidRPr="00860424">
        <w:rPr>
          <w:rFonts w:cs="Times New Roman"/>
          <w:vertAlign w:val="subscript"/>
        </w:rPr>
        <w:t>P</w:t>
      </w:r>
      <w:r w:rsidR="0052305C" w:rsidRPr="00860424">
        <w:rPr>
          <w:rFonts w:cs="Times New Roman"/>
        </w:rPr>
        <w:t xml:space="preserve"> values of the </w:t>
      </w:r>
      <w:r w:rsidR="00997E15" w:rsidRPr="00860424">
        <w:rPr>
          <w:rFonts w:cs="Times New Roman"/>
        </w:rPr>
        <w:t xml:space="preserve">-N-P </w:t>
      </w:r>
      <w:r w:rsidR="00B45C48" w:rsidRPr="00860424">
        <w:rPr>
          <w:rFonts w:cs="Times New Roman"/>
        </w:rPr>
        <w:t>treatment</w:t>
      </w:r>
      <w:r w:rsidR="00997E15" w:rsidRPr="00860424">
        <w:rPr>
          <w:rFonts w:cs="Times New Roman"/>
        </w:rPr>
        <w:t>s</w:t>
      </w:r>
      <w:r w:rsidR="00B45C48" w:rsidRPr="00860424">
        <w:rPr>
          <w:rFonts w:cs="Times New Roman"/>
        </w:rPr>
        <w:t xml:space="preserve"> </w:t>
      </w:r>
      <w:r w:rsidR="0052305C" w:rsidRPr="00860424">
        <w:rPr>
          <w:rFonts w:cs="Times New Roman"/>
        </w:rPr>
        <w:t xml:space="preserve">were </w:t>
      </w:r>
      <w:r w:rsidR="00035263" w:rsidRPr="00860424">
        <w:rPr>
          <w:rFonts w:cs="Times New Roman"/>
        </w:rPr>
        <w:t>less than</w:t>
      </w:r>
      <w:r w:rsidR="0052305C" w:rsidRPr="00860424">
        <w:rPr>
          <w:rFonts w:cs="Times New Roman"/>
        </w:rPr>
        <w:t xml:space="preserve"> the </w:t>
      </w:r>
      <w:r w:rsidR="00302C30" w:rsidRPr="00860424">
        <w:rPr>
          <w:rFonts w:cs="Times New Roman"/>
        </w:rPr>
        <w:t>fertili</w:t>
      </w:r>
      <w:r w:rsidR="0086470B" w:rsidRPr="00860424">
        <w:rPr>
          <w:rFonts w:cs="Times New Roman"/>
        </w:rPr>
        <w:t>s</w:t>
      </w:r>
      <w:r w:rsidR="00302C30" w:rsidRPr="00860424">
        <w:rPr>
          <w:rFonts w:cs="Times New Roman"/>
        </w:rPr>
        <w:t xml:space="preserve">ed </w:t>
      </w:r>
      <w:r w:rsidR="0052305C" w:rsidRPr="00860424">
        <w:rPr>
          <w:rFonts w:cs="Times New Roman"/>
        </w:rPr>
        <w:t>treatments (13.0</w:t>
      </w:r>
      <w:r w:rsidR="00B45C48" w:rsidRPr="00860424">
        <w:rPr>
          <w:rFonts w:cs="Times New Roman"/>
        </w:rPr>
        <w:t xml:space="preserve"> to </w:t>
      </w:r>
      <w:r w:rsidR="0052305C" w:rsidRPr="00860424">
        <w:rPr>
          <w:rFonts w:cs="Times New Roman"/>
        </w:rPr>
        <w:t>15.4‰</w:t>
      </w:r>
      <w:r w:rsidR="00D154D2" w:rsidRPr="00860424">
        <w:t xml:space="preserve"> </w:t>
      </w:r>
      <w:r w:rsidR="0052305C" w:rsidRPr="00860424">
        <w:t>vs 17.6</w:t>
      </w:r>
      <w:r w:rsidR="00B45C48" w:rsidRPr="00860424">
        <w:t xml:space="preserve"> to </w:t>
      </w:r>
      <w:r w:rsidR="0052305C" w:rsidRPr="00860424">
        <w:t>23.6</w:t>
      </w:r>
      <w:r w:rsidR="0052305C" w:rsidRPr="00860424">
        <w:rPr>
          <w:rFonts w:cs="Times New Roman"/>
        </w:rPr>
        <w:t xml:space="preserve">‰). </w:t>
      </w:r>
      <w:r w:rsidR="00580859">
        <w:t>T</w:t>
      </w:r>
      <w:r w:rsidR="0052305C" w:rsidRPr="00860424">
        <w:t>he resin and hexanol P δ</w:t>
      </w:r>
      <w:r w:rsidR="0052305C" w:rsidRPr="00860424">
        <w:rPr>
          <w:vertAlign w:val="superscript"/>
        </w:rPr>
        <w:t>18</w:t>
      </w:r>
      <w:r w:rsidR="0052305C" w:rsidRPr="00860424">
        <w:t>O</w:t>
      </w:r>
      <w:r w:rsidR="0052305C" w:rsidRPr="00860424">
        <w:rPr>
          <w:vertAlign w:val="subscript"/>
        </w:rPr>
        <w:t>P</w:t>
      </w:r>
      <w:r w:rsidR="00611E7C">
        <w:t xml:space="preserve">, </w:t>
      </w:r>
      <w:r w:rsidR="0052305C" w:rsidRPr="00860424">
        <w:t>along with the concentrations of resin, microbial and hexanol P</w:t>
      </w:r>
      <w:r w:rsidR="00611E7C">
        <w:t>,</w:t>
      </w:r>
      <w:r w:rsidR="0052305C" w:rsidRPr="00860424">
        <w:t xml:space="preserve"> </w:t>
      </w:r>
      <w:r w:rsidR="00302C30" w:rsidRPr="00860424">
        <w:t xml:space="preserve">were </w:t>
      </w:r>
      <w:r w:rsidR="0052305C" w:rsidRPr="00860424">
        <w:t xml:space="preserve">used to determine microbial </w:t>
      </w:r>
      <w:r w:rsidR="00302C30" w:rsidRPr="00860424">
        <w:t xml:space="preserve">P </w:t>
      </w:r>
      <w:r w:rsidR="0052305C" w:rsidRPr="00860424">
        <w:t>δ</w:t>
      </w:r>
      <w:r w:rsidR="0052305C" w:rsidRPr="00860424">
        <w:rPr>
          <w:vertAlign w:val="superscript"/>
        </w:rPr>
        <w:t>18</w:t>
      </w:r>
      <w:r w:rsidR="0052305C" w:rsidRPr="00860424">
        <w:t>O</w:t>
      </w:r>
      <w:r w:rsidR="0052305C" w:rsidRPr="00860424">
        <w:rPr>
          <w:vertAlign w:val="subscript"/>
        </w:rPr>
        <w:t>P</w:t>
      </w:r>
      <w:r w:rsidR="0052305C" w:rsidRPr="00860424">
        <w:t xml:space="preserve"> values</w:t>
      </w:r>
      <w:r w:rsidR="008D0847" w:rsidRPr="00860424">
        <w:t>.</w:t>
      </w:r>
      <w:r w:rsidR="00302C30" w:rsidRPr="00860424">
        <w:t xml:space="preserve"> </w:t>
      </w:r>
      <w:r w:rsidR="008D0847" w:rsidRPr="00860424">
        <w:t>H</w:t>
      </w:r>
      <w:r w:rsidR="00302C30" w:rsidRPr="00860424">
        <w:t>owever,</w:t>
      </w:r>
      <w:r w:rsidR="0052305C" w:rsidRPr="00860424">
        <w:t xml:space="preserve"> </w:t>
      </w:r>
      <w:r w:rsidR="00302C30" w:rsidRPr="00860424">
        <w:t xml:space="preserve">for </w:t>
      </w:r>
      <w:r w:rsidR="0052305C" w:rsidRPr="00860424">
        <w:t xml:space="preserve">our data this </w:t>
      </w:r>
      <w:r w:rsidR="003849E3" w:rsidRPr="00860424">
        <w:t>approach is not straightforward. This is because the microbial P concentration has been calculated from a function of the resin P and the hexanol P (the latter always containing the former) and corrected for sorption onto the soil. For our soils either microbial P concentrations were almost negligible (</w:t>
      </w:r>
      <w:r w:rsidR="00035263" w:rsidRPr="00860424">
        <w:t>fertili</w:t>
      </w:r>
      <w:r w:rsidR="00B166D2" w:rsidRPr="00860424">
        <w:t>s</w:t>
      </w:r>
      <w:r w:rsidR="00035263" w:rsidRPr="00860424">
        <w:t xml:space="preserve">ed </w:t>
      </w:r>
      <w:r w:rsidR="003849E3" w:rsidRPr="00860424">
        <w:t>treatments) or resin P concentrations were negligible (</w:t>
      </w:r>
      <w:r w:rsidR="000E1EF9" w:rsidRPr="00860424">
        <w:t>-N-P-L and -N-P+L</w:t>
      </w:r>
      <w:r w:rsidR="00302C30" w:rsidRPr="00860424">
        <w:t xml:space="preserve"> treatment</w:t>
      </w:r>
      <w:r w:rsidR="000E1EF9" w:rsidRPr="00860424">
        <w:t>s</w:t>
      </w:r>
      <w:r w:rsidR="003849E3" w:rsidRPr="00860424">
        <w:t>). Thus, correcting the hexanol P δ</w:t>
      </w:r>
      <w:r w:rsidR="003849E3" w:rsidRPr="00860424">
        <w:rPr>
          <w:vertAlign w:val="superscript"/>
        </w:rPr>
        <w:t>18</w:t>
      </w:r>
      <w:r w:rsidR="003849E3" w:rsidRPr="00860424">
        <w:t>O</w:t>
      </w:r>
      <w:r w:rsidR="003849E3" w:rsidRPr="00860424">
        <w:rPr>
          <w:vertAlign w:val="subscript"/>
        </w:rPr>
        <w:t>P</w:t>
      </w:r>
      <w:r w:rsidR="003849E3" w:rsidRPr="00860424">
        <w:t xml:space="preserve"> </w:t>
      </w:r>
      <w:r w:rsidR="00250342" w:rsidRPr="00860424">
        <w:t xml:space="preserve">values </w:t>
      </w:r>
      <w:r w:rsidR="00FA195E" w:rsidRPr="00860424">
        <w:t>could</w:t>
      </w:r>
      <w:r w:rsidR="0063739A" w:rsidRPr="00860424">
        <w:t xml:space="preserve"> </w:t>
      </w:r>
      <w:r w:rsidR="00250342" w:rsidRPr="00860424">
        <w:t xml:space="preserve">lead to </w:t>
      </w:r>
      <w:r w:rsidR="00BB3CCE" w:rsidRPr="00860424">
        <w:t xml:space="preserve">misleading </w:t>
      </w:r>
      <w:r w:rsidR="00250342" w:rsidRPr="00860424">
        <w:t xml:space="preserve">results. </w:t>
      </w:r>
    </w:p>
    <w:p w14:paraId="1DEE86A4" w14:textId="6664F6C0" w:rsidR="00396623" w:rsidRPr="007F529E" w:rsidRDefault="0026533F" w:rsidP="00E627AF">
      <w:pPr>
        <w:spacing w:line="360" w:lineRule="auto"/>
        <w:rPr>
          <w:rStyle w:val="Emphasis"/>
          <w:rFonts w:eastAsia="Calibri" w:cs="Times New Roman"/>
          <w:i w:val="0"/>
          <w:iCs w:val="0"/>
        </w:rPr>
      </w:pPr>
      <w:r w:rsidRPr="00860424">
        <w:rPr>
          <w:rFonts w:eastAsia="Calibri" w:cs="Times New Roman"/>
        </w:rPr>
        <w:t xml:space="preserve">For example, the </w:t>
      </w:r>
      <w:r w:rsidR="00C628C9" w:rsidRPr="00860424">
        <w:rPr>
          <w:rFonts w:eastAsia="Calibri" w:cs="Times New Roman"/>
        </w:rPr>
        <w:t xml:space="preserve">resin and hexanol P </w:t>
      </w:r>
      <w:r w:rsidRPr="00860424">
        <w:t>δ</w:t>
      </w:r>
      <w:r w:rsidRPr="00860424">
        <w:rPr>
          <w:vertAlign w:val="superscript"/>
        </w:rPr>
        <w:t>18</w:t>
      </w:r>
      <w:r w:rsidRPr="00860424">
        <w:t>O</w:t>
      </w:r>
      <w:r w:rsidRPr="00860424">
        <w:rPr>
          <w:vertAlign w:val="subscript"/>
        </w:rPr>
        <w:t>P</w:t>
      </w:r>
      <w:r w:rsidRPr="00860424">
        <w:rPr>
          <w:rFonts w:eastAsia="Calibri" w:cs="Times New Roman"/>
        </w:rPr>
        <w:t xml:space="preserve"> </w:t>
      </w:r>
      <w:r w:rsidR="00C628C9" w:rsidRPr="00860424">
        <w:rPr>
          <w:rFonts w:eastAsia="Calibri" w:cs="Times New Roman"/>
        </w:rPr>
        <w:t>values</w:t>
      </w:r>
      <w:r w:rsidRPr="00860424">
        <w:rPr>
          <w:rFonts w:eastAsia="Calibri" w:cs="Times New Roman"/>
        </w:rPr>
        <w:t xml:space="preserve"> in the 10-20</w:t>
      </w:r>
      <w:r w:rsidR="00AB0730" w:rsidRPr="00860424">
        <w:rPr>
          <w:rFonts w:eastAsia="Calibri" w:cs="Times New Roman"/>
        </w:rPr>
        <w:t xml:space="preserve"> </w:t>
      </w:r>
      <w:r w:rsidRPr="00860424">
        <w:rPr>
          <w:rFonts w:eastAsia="Calibri" w:cs="Times New Roman"/>
        </w:rPr>
        <w:t>cm layer of the -N</w:t>
      </w:r>
      <w:r w:rsidR="000E1EF9" w:rsidRPr="00860424">
        <w:rPr>
          <w:rFonts w:eastAsia="Calibri" w:cs="Times New Roman"/>
        </w:rPr>
        <w:t>+P</w:t>
      </w:r>
      <w:r w:rsidR="00B45C48" w:rsidRPr="00860424">
        <w:rPr>
          <w:rFonts w:eastAsia="Calibri" w:cs="Times New Roman"/>
        </w:rPr>
        <w:t>+L treatment</w:t>
      </w:r>
      <w:r w:rsidRPr="00860424">
        <w:rPr>
          <w:rFonts w:eastAsia="Calibri" w:cs="Times New Roman"/>
        </w:rPr>
        <w:t xml:space="preserve"> were very similar (20.3 vs 19.5‰). However, </w:t>
      </w:r>
      <w:r w:rsidR="000E1EF9" w:rsidRPr="00860424">
        <w:rPr>
          <w:rFonts w:eastAsia="Calibri" w:cs="Times New Roman"/>
        </w:rPr>
        <w:t>the calculated microbial P δ</w:t>
      </w:r>
      <w:r w:rsidR="000E1EF9" w:rsidRPr="00860424">
        <w:rPr>
          <w:rFonts w:eastAsia="Calibri" w:cs="Times New Roman"/>
          <w:vertAlign w:val="superscript"/>
        </w:rPr>
        <w:t>18</w:t>
      </w:r>
      <w:r w:rsidR="000E1EF9" w:rsidRPr="00860424">
        <w:rPr>
          <w:rFonts w:eastAsia="Calibri" w:cs="Times New Roman"/>
        </w:rPr>
        <w:t>O</w:t>
      </w:r>
      <w:r w:rsidR="000E1EF9" w:rsidRPr="00860424">
        <w:rPr>
          <w:rFonts w:eastAsia="Calibri" w:cs="Times New Roman"/>
          <w:vertAlign w:val="subscript"/>
        </w:rPr>
        <w:t>P</w:t>
      </w:r>
      <w:r w:rsidR="000E1EF9" w:rsidRPr="00860424">
        <w:rPr>
          <w:rFonts w:eastAsia="Calibri" w:cs="Times New Roman"/>
        </w:rPr>
        <w:t xml:space="preserve"> value</w:t>
      </w:r>
      <w:r w:rsidR="007D1C2C">
        <w:rPr>
          <w:rFonts w:eastAsia="Calibri" w:cs="Times New Roman"/>
        </w:rPr>
        <w:t xml:space="preserve">, using resin and hexanol </w:t>
      </w:r>
      <w:r w:rsidR="007D1C2C" w:rsidRPr="007D1C2C">
        <w:rPr>
          <w:rFonts w:eastAsia="Calibri" w:cs="Times New Roman"/>
        </w:rPr>
        <w:t>δ</w:t>
      </w:r>
      <w:r w:rsidR="007D1C2C" w:rsidRPr="007D1C2C">
        <w:rPr>
          <w:rFonts w:eastAsia="Calibri" w:cs="Times New Roman"/>
          <w:vertAlign w:val="superscript"/>
        </w:rPr>
        <w:t>18</w:t>
      </w:r>
      <w:r w:rsidR="007D1C2C" w:rsidRPr="007D1C2C">
        <w:rPr>
          <w:rFonts w:eastAsia="Calibri" w:cs="Times New Roman"/>
        </w:rPr>
        <w:t>O</w:t>
      </w:r>
      <w:r w:rsidR="007D1C2C" w:rsidRPr="007D1C2C">
        <w:rPr>
          <w:rFonts w:eastAsia="Calibri" w:cs="Times New Roman"/>
          <w:vertAlign w:val="subscript"/>
        </w:rPr>
        <w:t>P</w:t>
      </w:r>
      <w:r w:rsidR="007D1C2C">
        <w:rPr>
          <w:rFonts w:eastAsia="Calibri" w:cs="Times New Roman"/>
        </w:rPr>
        <w:t xml:space="preserve"> values,</w:t>
      </w:r>
      <w:r w:rsidR="000E1EF9" w:rsidRPr="00860424">
        <w:rPr>
          <w:rFonts w:eastAsia="Calibri" w:cs="Times New Roman"/>
        </w:rPr>
        <w:t xml:space="preserve"> would be</w:t>
      </w:r>
      <w:r w:rsidRPr="00860424">
        <w:rPr>
          <w:rFonts w:eastAsia="Calibri" w:cs="Times New Roman"/>
        </w:rPr>
        <w:t xml:space="preserve"> 16.3‰. Given that the 0.8‰ difference </w:t>
      </w:r>
      <w:r w:rsidR="007D1C2C">
        <w:rPr>
          <w:rFonts w:eastAsia="Calibri" w:cs="Times New Roman"/>
        </w:rPr>
        <w:t xml:space="preserve">between resin and hexanol </w:t>
      </w:r>
      <w:r w:rsidR="007D1C2C" w:rsidRPr="007D1C2C">
        <w:rPr>
          <w:rFonts w:eastAsia="Calibri" w:cs="Times New Roman"/>
        </w:rPr>
        <w:t>δ</w:t>
      </w:r>
      <w:r w:rsidR="007D1C2C" w:rsidRPr="007D1C2C">
        <w:rPr>
          <w:rFonts w:eastAsia="Calibri" w:cs="Times New Roman"/>
          <w:vertAlign w:val="superscript"/>
        </w:rPr>
        <w:t>18</w:t>
      </w:r>
      <w:r w:rsidR="007D1C2C" w:rsidRPr="007D1C2C">
        <w:rPr>
          <w:rFonts w:eastAsia="Calibri" w:cs="Times New Roman"/>
        </w:rPr>
        <w:t>O</w:t>
      </w:r>
      <w:r w:rsidR="007D1C2C" w:rsidRPr="007D1C2C">
        <w:rPr>
          <w:rFonts w:eastAsia="Calibri" w:cs="Times New Roman"/>
          <w:vertAlign w:val="subscript"/>
        </w:rPr>
        <w:t>P</w:t>
      </w:r>
      <w:r w:rsidR="007D1C2C">
        <w:rPr>
          <w:rFonts w:eastAsia="Calibri" w:cs="Times New Roman"/>
        </w:rPr>
        <w:t xml:space="preserve"> values </w:t>
      </w:r>
      <w:r w:rsidRPr="00860424">
        <w:rPr>
          <w:rFonts w:eastAsia="Calibri" w:cs="Times New Roman"/>
        </w:rPr>
        <w:t xml:space="preserve">could largely be accounted for by </w:t>
      </w:r>
      <w:r w:rsidR="00035263" w:rsidRPr="00860424">
        <w:rPr>
          <w:rFonts w:eastAsia="Calibri" w:cs="Times New Roman"/>
        </w:rPr>
        <w:t xml:space="preserve">experimental </w:t>
      </w:r>
      <w:r w:rsidRPr="00860424">
        <w:rPr>
          <w:rFonts w:eastAsia="Calibri" w:cs="Times New Roman"/>
        </w:rPr>
        <w:t xml:space="preserve">noise we cannot be certain </w:t>
      </w:r>
      <w:r w:rsidR="007D1C2C">
        <w:rPr>
          <w:rFonts w:eastAsia="Calibri" w:cs="Times New Roman"/>
        </w:rPr>
        <w:t>that</w:t>
      </w:r>
      <w:r w:rsidRPr="00860424">
        <w:rPr>
          <w:rFonts w:eastAsia="Calibri" w:cs="Times New Roman"/>
        </w:rPr>
        <w:t xml:space="preserve"> the calculated microbial </w:t>
      </w:r>
      <w:r w:rsidR="00C628C9" w:rsidRPr="00860424">
        <w:rPr>
          <w:rFonts w:eastAsia="Calibri" w:cs="Times New Roman"/>
        </w:rPr>
        <w:t xml:space="preserve">P </w:t>
      </w:r>
      <w:r w:rsidRPr="00860424">
        <w:t>δ</w:t>
      </w:r>
      <w:r w:rsidRPr="00860424">
        <w:rPr>
          <w:vertAlign w:val="superscript"/>
        </w:rPr>
        <w:t>18</w:t>
      </w:r>
      <w:r w:rsidRPr="00860424">
        <w:t>O</w:t>
      </w:r>
      <w:r w:rsidRPr="00860424">
        <w:rPr>
          <w:vertAlign w:val="subscript"/>
        </w:rPr>
        <w:t>P</w:t>
      </w:r>
      <w:r w:rsidR="007D1C2C">
        <w:rPr>
          <w:vertAlign w:val="subscript"/>
        </w:rPr>
        <w:t xml:space="preserve"> </w:t>
      </w:r>
      <w:r w:rsidR="007D1C2C">
        <w:rPr>
          <w:rFonts w:eastAsia="Calibri" w:cs="Times New Roman"/>
        </w:rPr>
        <w:t>is correct</w:t>
      </w:r>
      <w:r w:rsidRPr="00860424">
        <w:rPr>
          <w:rFonts w:eastAsia="Calibri" w:cs="Times New Roman"/>
        </w:rPr>
        <w:t xml:space="preserve">. </w:t>
      </w:r>
      <w:r w:rsidR="00C628C9" w:rsidRPr="00860424">
        <w:rPr>
          <w:rFonts w:eastAsia="Calibri" w:cs="Times New Roman"/>
        </w:rPr>
        <w:t>G</w:t>
      </w:r>
      <w:r w:rsidRPr="00860424">
        <w:rPr>
          <w:rFonts w:eastAsia="Calibri" w:cs="Times New Roman"/>
        </w:rPr>
        <w:t xml:space="preserve">iven this uncertainty, and that the contribution of microbial P is negligible within the </w:t>
      </w:r>
      <w:r w:rsidR="00035263" w:rsidRPr="00860424">
        <w:rPr>
          <w:rFonts w:eastAsia="Calibri" w:cs="Times New Roman"/>
        </w:rPr>
        <w:t>fertili</w:t>
      </w:r>
      <w:r w:rsidR="00B166D2" w:rsidRPr="00860424">
        <w:rPr>
          <w:rFonts w:eastAsia="Calibri" w:cs="Times New Roman"/>
        </w:rPr>
        <w:t>s</w:t>
      </w:r>
      <w:r w:rsidR="00035263" w:rsidRPr="00860424">
        <w:rPr>
          <w:rFonts w:eastAsia="Calibri" w:cs="Times New Roman"/>
        </w:rPr>
        <w:t>ed</w:t>
      </w:r>
      <w:r w:rsidRPr="00860424">
        <w:rPr>
          <w:rFonts w:eastAsia="Calibri" w:cs="Times New Roman"/>
        </w:rPr>
        <w:t xml:space="preserve"> treatments, we d</w:t>
      </w:r>
      <w:r w:rsidR="00B166D2" w:rsidRPr="00860424">
        <w:rPr>
          <w:rFonts w:eastAsia="Calibri" w:cs="Times New Roman"/>
        </w:rPr>
        <w:t>id</w:t>
      </w:r>
      <w:r w:rsidRPr="00860424">
        <w:rPr>
          <w:rFonts w:eastAsia="Calibri" w:cs="Times New Roman"/>
        </w:rPr>
        <w:t xml:space="preserve"> </w:t>
      </w:r>
      <w:r w:rsidRPr="00860424">
        <w:rPr>
          <w:rFonts w:eastAsia="Calibri" w:cs="Times New Roman"/>
        </w:rPr>
        <w:lastRenderedPageBreak/>
        <w:t xml:space="preserve">not attempt to calculate microbial P </w:t>
      </w:r>
      <w:r w:rsidRPr="00860424">
        <w:t>δ</w:t>
      </w:r>
      <w:r w:rsidRPr="00860424">
        <w:rPr>
          <w:vertAlign w:val="superscript"/>
        </w:rPr>
        <w:t>18</w:t>
      </w:r>
      <w:r w:rsidRPr="00860424">
        <w:t>O</w:t>
      </w:r>
      <w:r w:rsidRPr="00860424">
        <w:rPr>
          <w:vertAlign w:val="subscript"/>
        </w:rPr>
        <w:t>P</w:t>
      </w:r>
      <w:r w:rsidRPr="00860424">
        <w:rPr>
          <w:rFonts w:eastAsia="Calibri" w:cs="Times New Roman"/>
        </w:rPr>
        <w:t xml:space="preserve"> from the hexanol</w:t>
      </w:r>
      <w:r w:rsidR="00C628C9" w:rsidRPr="00860424">
        <w:rPr>
          <w:rFonts w:eastAsia="Calibri" w:cs="Times New Roman"/>
        </w:rPr>
        <w:t xml:space="preserve"> P</w:t>
      </w:r>
      <w:r w:rsidRPr="00860424">
        <w:rPr>
          <w:rFonts w:eastAsia="Calibri" w:cs="Times New Roman"/>
        </w:rPr>
        <w:t xml:space="preserve"> </w:t>
      </w:r>
      <w:r w:rsidRPr="00860424">
        <w:t>δ</w:t>
      </w:r>
      <w:r w:rsidRPr="00860424">
        <w:rPr>
          <w:vertAlign w:val="superscript"/>
        </w:rPr>
        <w:t>18</w:t>
      </w:r>
      <w:r w:rsidRPr="00860424">
        <w:t>O</w:t>
      </w:r>
      <w:r w:rsidRPr="00860424">
        <w:rPr>
          <w:vertAlign w:val="subscript"/>
        </w:rPr>
        <w:t>P</w:t>
      </w:r>
      <w:r w:rsidRPr="00860424">
        <w:rPr>
          <w:rFonts w:eastAsia="Calibri" w:cs="Times New Roman"/>
        </w:rPr>
        <w:t xml:space="preserve">. A similar issue </w:t>
      </w:r>
      <w:r w:rsidR="00363DA7" w:rsidRPr="00860424">
        <w:rPr>
          <w:rFonts w:eastAsia="Calibri" w:cs="Times New Roman"/>
        </w:rPr>
        <w:t>occurred</w:t>
      </w:r>
      <w:r w:rsidRPr="00860424">
        <w:rPr>
          <w:rFonts w:eastAsia="Calibri" w:cs="Times New Roman"/>
        </w:rPr>
        <w:t xml:space="preserve"> in </w:t>
      </w:r>
      <w:r w:rsidR="00C628C9" w:rsidRPr="00860424">
        <w:rPr>
          <w:rFonts w:eastAsia="Calibri" w:cs="Times New Roman"/>
        </w:rPr>
        <w:t xml:space="preserve">the </w:t>
      </w:r>
      <w:r w:rsidR="000E1EF9" w:rsidRPr="00860424">
        <w:rPr>
          <w:rFonts w:eastAsia="Calibri" w:cs="Times New Roman"/>
        </w:rPr>
        <w:t>-N-P</w:t>
      </w:r>
      <w:r w:rsidRPr="00860424">
        <w:rPr>
          <w:rFonts w:eastAsia="Calibri" w:cs="Times New Roman"/>
        </w:rPr>
        <w:t xml:space="preserve"> treatment</w:t>
      </w:r>
      <w:r w:rsidR="000E1EF9" w:rsidRPr="00860424">
        <w:rPr>
          <w:rFonts w:eastAsia="Calibri" w:cs="Times New Roman"/>
        </w:rPr>
        <w:t>s</w:t>
      </w:r>
      <w:r w:rsidRPr="00860424">
        <w:rPr>
          <w:rFonts w:eastAsia="Calibri" w:cs="Times New Roman"/>
        </w:rPr>
        <w:t xml:space="preserve">, whereby only </w:t>
      </w:r>
      <w:r w:rsidR="004D0A56" w:rsidRPr="00860424">
        <w:rPr>
          <w:rFonts w:eastAsia="Calibri" w:cs="Times New Roman"/>
        </w:rPr>
        <w:t xml:space="preserve">low </w:t>
      </w:r>
      <w:r w:rsidRPr="00860424">
        <w:rPr>
          <w:rFonts w:eastAsia="Calibri" w:cs="Times New Roman"/>
        </w:rPr>
        <w:t xml:space="preserve">concentrations of resin P </w:t>
      </w:r>
      <w:r w:rsidR="00B166D2" w:rsidRPr="00860424">
        <w:rPr>
          <w:rFonts w:eastAsia="Calibri" w:cs="Times New Roman"/>
        </w:rPr>
        <w:t>were</w:t>
      </w:r>
      <w:r w:rsidRPr="00860424">
        <w:rPr>
          <w:rFonts w:eastAsia="Calibri" w:cs="Times New Roman"/>
        </w:rPr>
        <w:t xml:space="preserve"> measured as opposed to </w:t>
      </w:r>
      <w:r w:rsidR="004D0A56" w:rsidRPr="00860424">
        <w:rPr>
          <w:rFonts w:eastAsia="Calibri" w:cs="Times New Roman"/>
        </w:rPr>
        <w:t xml:space="preserve">higher </w:t>
      </w:r>
      <w:r w:rsidRPr="00860424">
        <w:rPr>
          <w:rFonts w:eastAsia="Calibri" w:cs="Times New Roman"/>
        </w:rPr>
        <w:t>concentration</w:t>
      </w:r>
      <w:r w:rsidR="00035263" w:rsidRPr="00860424">
        <w:rPr>
          <w:rFonts w:eastAsia="Calibri" w:cs="Times New Roman"/>
        </w:rPr>
        <w:t>s</w:t>
      </w:r>
      <w:r w:rsidRPr="00860424">
        <w:rPr>
          <w:rFonts w:eastAsia="Calibri" w:cs="Times New Roman"/>
        </w:rPr>
        <w:t xml:space="preserve"> in the hexanol extraction. Rather than adjust the </w:t>
      </w:r>
      <w:r w:rsidR="00C628C9" w:rsidRPr="00860424">
        <w:rPr>
          <w:rFonts w:eastAsia="Calibri" w:cs="Times New Roman"/>
        </w:rPr>
        <w:t xml:space="preserve">hexanol P </w:t>
      </w:r>
      <w:r w:rsidRPr="00860424">
        <w:t>δ</w:t>
      </w:r>
      <w:r w:rsidRPr="00860424">
        <w:rPr>
          <w:vertAlign w:val="superscript"/>
        </w:rPr>
        <w:t>18</w:t>
      </w:r>
      <w:r w:rsidRPr="00860424">
        <w:t>O</w:t>
      </w:r>
      <w:r w:rsidRPr="00860424">
        <w:rPr>
          <w:vertAlign w:val="subscript"/>
        </w:rPr>
        <w:t>P</w:t>
      </w:r>
      <w:r w:rsidRPr="00860424">
        <w:rPr>
          <w:rFonts w:eastAsia="Calibri" w:cs="Times New Roman"/>
        </w:rPr>
        <w:t xml:space="preserve"> values, which would cause uncertainties, we </w:t>
      </w:r>
      <w:r w:rsidR="004D0A56" w:rsidRPr="00860424">
        <w:rPr>
          <w:rFonts w:eastAsia="Calibri" w:cs="Times New Roman"/>
        </w:rPr>
        <w:t xml:space="preserve">assumed </w:t>
      </w:r>
      <w:r w:rsidR="007D1C2C">
        <w:rPr>
          <w:rFonts w:eastAsia="Calibri" w:cs="Times New Roman"/>
        </w:rPr>
        <w:t xml:space="preserve">that </w:t>
      </w:r>
      <w:r w:rsidR="004D0A56" w:rsidRPr="00860424">
        <w:rPr>
          <w:rFonts w:eastAsia="Calibri" w:cs="Times New Roman"/>
        </w:rPr>
        <w:t>the</w:t>
      </w:r>
      <w:r w:rsidRPr="00860424">
        <w:rPr>
          <w:rFonts w:eastAsia="Calibri" w:cs="Times New Roman"/>
        </w:rPr>
        <w:t xml:space="preserve"> hexanol </w:t>
      </w:r>
      <w:r w:rsidR="00C628C9" w:rsidRPr="00860424">
        <w:rPr>
          <w:rFonts w:eastAsia="Calibri" w:cs="Times New Roman"/>
        </w:rPr>
        <w:t xml:space="preserve">P </w:t>
      </w:r>
      <w:r w:rsidRPr="00860424">
        <w:t>δ</w:t>
      </w:r>
      <w:r w:rsidRPr="00860424">
        <w:rPr>
          <w:vertAlign w:val="superscript"/>
        </w:rPr>
        <w:t>18</w:t>
      </w:r>
      <w:r w:rsidRPr="00860424">
        <w:t>O</w:t>
      </w:r>
      <w:r w:rsidRPr="00860424">
        <w:rPr>
          <w:vertAlign w:val="subscript"/>
        </w:rPr>
        <w:t>P</w:t>
      </w:r>
      <w:r w:rsidRPr="00860424">
        <w:rPr>
          <w:rFonts w:eastAsia="Calibri" w:cs="Times New Roman"/>
        </w:rPr>
        <w:t xml:space="preserve"> data </w:t>
      </w:r>
      <w:r w:rsidR="001C63A7" w:rsidRPr="00860424">
        <w:rPr>
          <w:rFonts w:eastAsia="Calibri" w:cs="Times New Roman"/>
        </w:rPr>
        <w:t>approximated</w:t>
      </w:r>
      <w:r w:rsidRPr="00860424">
        <w:rPr>
          <w:rFonts w:eastAsia="Calibri" w:cs="Times New Roman"/>
        </w:rPr>
        <w:t xml:space="preserve"> the microbial P δ</w:t>
      </w:r>
      <w:r w:rsidRPr="00860424">
        <w:rPr>
          <w:rFonts w:eastAsia="Calibri" w:cs="Times New Roman"/>
          <w:vertAlign w:val="superscript"/>
        </w:rPr>
        <w:t>18</w:t>
      </w:r>
      <w:r w:rsidRPr="00860424">
        <w:rPr>
          <w:rFonts w:eastAsia="Calibri" w:cs="Times New Roman"/>
        </w:rPr>
        <w:t>O</w:t>
      </w:r>
      <w:r w:rsidRPr="00860424">
        <w:rPr>
          <w:rFonts w:eastAsia="Calibri" w:cs="Times New Roman"/>
          <w:vertAlign w:val="subscript"/>
        </w:rPr>
        <w:t>P</w:t>
      </w:r>
      <w:r w:rsidRPr="00860424">
        <w:rPr>
          <w:rFonts w:eastAsia="Calibri" w:cs="Times New Roman"/>
        </w:rPr>
        <w:t xml:space="preserve"> in the </w:t>
      </w:r>
      <w:r w:rsidR="000E1EF9" w:rsidRPr="00860424">
        <w:rPr>
          <w:rFonts w:eastAsia="Calibri" w:cs="Times New Roman"/>
        </w:rPr>
        <w:t xml:space="preserve">-N-P treatments. </w:t>
      </w:r>
      <w:r w:rsidRPr="00860424">
        <w:rPr>
          <w:rFonts w:eastAsia="Calibri" w:cs="Times New Roman"/>
        </w:rPr>
        <w:t xml:space="preserve">Therefore, we </w:t>
      </w:r>
      <w:r w:rsidR="00B166D2" w:rsidRPr="00860424">
        <w:rPr>
          <w:rFonts w:eastAsia="Calibri" w:cs="Times New Roman"/>
        </w:rPr>
        <w:t xml:space="preserve">will </w:t>
      </w:r>
      <w:r w:rsidRPr="00860424">
        <w:rPr>
          <w:rFonts w:eastAsia="Calibri" w:cs="Times New Roman"/>
        </w:rPr>
        <w:t xml:space="preserve">only discuss the resin P </w:t>
      </w:r>
      <w:r w:rsidRPr="00860424">
        <w:t>δ</w:t>
      </w:r>
      <w:r w:rsidRPr="00860424">
        <w:rPr>
          <w:vertAlign w:val="superscript"/>
        </w:rPr>
        <w:t>18</w:t>
      </w:r>
      <w:r w:rsidRPr="00860424">
        <w:t>O</w:t>
      </w:r>
      <w:r w:rsidRPr="00860424">
        <w:rPr>
          <w:vertAlign w:val="subscript"/>
        </w:rPr>
        <w:t>P</w:t>
      </w:r>
      <w:r w:rsidRPr="00860424">
        <w:rPr>
          <w:rFonts w:eastAsia="Calibri" w:cs="Times New Roman"/>
        </w:rPr>
        <w:t xml:space="preserve"> from the fertili</w:t>
      </w:r>
      <w:r w:rsidR="00B166D2" w:rsidRPr="00860424">
        <w:rPr>
          <w:rFonts w:eastAsia="Calibri" w:cs="Times New Roman"/>
        </w:rPr>
        <w:t>s</w:t>
      </w:r>
      <w:r w:rsidRPr="00860424">
        <w:rPr>
          <w:rFonts w:eastAsia="Calibri" w:cs="Times New Roman"/>
        </w:rPr>
        <w:t xml:space="preserve">ed treatments and the hexanol P </w:t>
      </w:r>
      <w:r w:rsidRPr="00860424">
        <w:t>δ</w:t>
      </w:r>
      <w:r w:rsidRPr="00860424">
        <w:rPr>
          <w:vertAlign w:val="superscript"/>
        </w:rPr>
        <w:t>18</w:t>
      </w:r>
      <w:r w:rsidRPr="00860424">
        <w:t>O</w:t>
      </w:r>
      <w:r w:rsidRPr="00860424">
        <w:rPr>
          <w:vertAlign w:val="subscript"/>
        </w:rPr>
        <w:t>P</w:t>
      </w:r>
      <w:r w:rsidRPr="00860424">
        <w:rPr>
          <w:rFonts w:eastAsia="Calibri" w:cs="Times New Roman"/>
        </w:rPr>
        <w:t xml:space="preserve"> from the </w:t>
      </w:r>
      <w:r w:rsidR="000E1EF9" w:rsidRPr="00860424">
        <w:rPr>
          <w:rFonts w:eastAsia="Calibri" w:cs="Times New Roman"/>
        </w:rPr>
        <w:t>-N-P</w:t>
      </w:r>
      <w:r w:rsidRPr="00860424">
        <w:rPr>
          <w:rFonts w:eastAsia="Calibri" w:cs="Times New Roman"/>
        </w:rPr>
        <w:t xml:space="preserve"> treatment</w:t>
      </w:r>
      <w:r w:rsidR="000E1EF9" w:rsidRPr="00860424">
        <w:rPr>
          <w:rFonts w:eastAsia="Calibri" w:cs="Times New Roman"/>
        </w:rPr>
        <w:t>s</w:t>
      </w:r>
      <w:r w:rsidR="004D0A56" w:rsidRPr="00860424">
        <w:rPr>
          <w:rFonts w:eastAsia="Calibri" w:cs="Times New Roman"/>
        </w:rPr>
        <w:t xml:space="preserve">, acknowledging the caveats above. </w:t>
      </w:r>
    </w:p>
    <w:p w14:paraId="5A457B4F" w14:textId="1F70DBEA" w:rsidR="007F529E" w:rsidRDefault="007F529E" w:rsidP="00E627AF">
      <w:pPr>
        <w:spacing w:line="360" w:lineRule="auto"/>
        <w:rPr>
          <w:rStyle w:val="Emphasis"/>
          <w:rFonts w:cs="Times New Roman"/>
          <w:i w:val="0"/>
        </w:rPr>
      </w:pPr>
      <w:r>
        <w:rPr>
          <w:rStyle w:val="Emphasis"/>
          <w:rFonts w:cs="Times New Roman"/>
          <w:i w:val="0"/>
        </w:rPr>
        <w:t>Table 3</w:t>
      </w:r>
    </w:p>
    <w:p w14:paraId="26B915C2" w14:textId="076119C5" w:rsidR="007C2ECE" w:rsidRPr="00860424" w:rsidRDefault="00611E7C" w:rsidP="00E627AF">
      <w:pPr>
        <w:spacing w:line="360" w:lineRule="auto"/>
      </w:pPr>
      <w:r>
        <w:t>Variations in r</w:t>
      </w:r>
      <w:r w:rsidR="00DF6B00" w:rsidRPr="00860424">
        <w:t xml:space="preserve">esin, hexanol, and </w:t>
      </w:r>
      <w:proofErr w:type="spellStart"/>
      <w:r w:rsidR="00DF6B00" w:rsidRPr="00860424">
        <w:t>HCl</w:t>
      </w:r>
      <w:proofErr w:type="spellEnd"/>
      <w:r w:rsidR="00DF6B00" w:rsidRPr="00860424">
        <w:t xml:space="preserve"> P</w:t>
      </w:r>
      <w:r w:rsidR="00353645" w:rsidRPr="00860424">
        <w:t xml:space="preserve"> </w:t>
      </w:r>
      <w:r w:rsidR="00E80106" w:rsidRPr="00860424">
        <w:t>δ</w:t>
      </w:r>
      <w:r w:rsidR="00E80106" w:rsidRPr="00860424">
        <w:rPr>
          <w:vertAlign w:val="superscript"/>
        </w:rPr>
        <w:t>18</w:t>
      </w:r>
      <w:r w:rsidR="00E80106" w:rsidRPr="00860424">
        <w:t>O</w:t>
      </w:r>
      <w:r w:rsidR="00E80106" w:rsidRPr="00860424">
        <w:rPr>
          <w:vertAlign w:val="subscript"/>
        </w:rPr>
        <w:t>P</w:t>
      </w:r>
      <w:r w:rsidR="00E80106" w:rsidRPr="00860424">
        <w:t xml:space="preserve"> </w:t>
      </w:r>
      <w:r w:rsidR="00422A25">
        <w:t>were not associated with</w:t>
      </w:r>
      <w:r w:rsidR="00353645" w:rsidRPr="00860424">
        <w:t xml:space="preserve"> </w:t>
      </w:r>
      <w:r>
        <w:t xml:space="preserve">changes in </w:t>
      </w:r>
      <w:r w:rsidR="00353645" w:rsidRPr="00860424">
        <w:t>depth within treatments</w:t>
      </w:r>
      <w:r w:rsidR="0034528B">
        <w:t xml:space="preserve">, regardless of the </w:t>
      </w:r>
      <w:r w:rsidR="00422A25">
        <w:t xml:space="preserve">changes </w:t>
      </w:r>
      <w:r w:rsidR="0034528B">
        <w:t>in P concentrations with depth</w:t>
      </w:r>
      <w:r w:rsidR="00353645" w:rsidRPr="00860424">
        <w:t xml:space="preserve">. </w:t>
      </w:r>
      <w:r w:rsidR="00B53D74" w:rsidRPr="00860424">
        <w:t>In</w:t>
      </w:r>
      <w:r w:rsidR="00276385" w:rsidRPr="00860424">
        <w:t xml:space="preserve"> </w:t>
      </w:r>
      <w:r w:rsidR="00B53D74" w:rsidRPr="00860424">
        <w:t xml:space="preserve">the </w:t>
      </w:r>
      <w:r w:rsidR="007C4238" w:rsidRPr="00860424">
        <w:t>fertili</w:t>
      </w:r>
      <w:r w:rsidR="00B166D2" w:rsidRPr="00860424">
        <w:t>s</w:t>
      </w:r>
      <w:r w:rsidR="007C4238" w:rsidRPr="00860424">
        <w:t>ed</w:t>
      </w:r>
      <w:r w:rsidR="00B53D74" w:rsidRPr="00860424">
        <w:t xml:space="preserve"> treatment</w:t>
      </w:r>
      <w:r w:rsidR="007C4238" w:rsidRPr="00860424">
        <w:t>s</w:t>
      </w:r>
      <w:r w:rsidR="00B53D74" w:rsidRPr="00860424">
        <w:t xml:space="preserve">, </w:t>
      </w:r>
      <w:r w:rsidR="00B40C8E" w:rsidRPr="00860424">
        <w:t>resin P</w:t>
      </w:r>
      <w:r w:rsidR="00774941" w:rsidRPr="00860424">
        <w:t xml:space="preserve"> </w:t>
      </w:r>
      <w:r w:rsidR="0083358D" w:rsidRPr="00860424">
        <w:t>δ</w:t>
      </w:r>
      <w:r w:rsidR="0083358D" w:rsidRPr="00860424">
        <w:rPr>
          <w:vertAlign w:val="superscript"/>
        </w:rPr>
        <w:t>18</w:t>
      </w:r>
      <w:r w:rsidR="0083358D" w:rsidRPr="00860424">
        <w:t>O</w:t>
      </w:r>
      <w:r w:rsidR="0083358D" w:rsidRPr="00860424">
        <w:rPr>
          <w:vertAlign w:val="subscript"/>
        </w:rPr>
        <w:t>P</w:t>
      </w:r>
      <w:r w:rsidR="0083358D" w:rsidRPr="00860424">
        <w:t xml:space="preserve"> </w:t>
      </w:r>
      <w:r w:rsidR="00E65372" w:rsidRPr="00860424">
        <w:t xml:space="preserve">was </w:t>
      </w:r>
      <w:r w:rsidR="004D0A56" w:rsidRPr="00860424">
        <w:t xml:space="preserve">higher </w:t>
      </w:r>
      <w:r w:rsidR="00E65372" w:rsidRPr="00860424">
        <w:t xml:space="preserve">in the -L </w:t>
      </w:r>
      <w:r w:rsidR="00330ADA" w:rsidRPr="00860424">
        <w:t>treatments</w:t>
      </w:r>
      <w:r w:rsidR="00422A25">
        <w:t>.</w:t>
      </w:r>
      <w:r w:rsidR="00647888">
        <w:t xml:space="preserve"> </w:t>
      </w:r>
      <w:r w:rsidR="00422A25">
        <w:t>This</w:t>
      </w:r>
      <w:r w:rsidR="00647888">
        <w:t xml:space="preserve"> was not observed for</w:t>
      </w:r>
      <w:r w:rsidR="00693B5F" w:rsidRPr="00860424">
        <w:t xml:space="preserve"> </w:t>
      </w:r>
      <w:r w:rsidR="004444BB" w:rsidRPr="00860424">
        <w:t xml:space="preserve">the </w:t>
      </w:r>
      <w:r w:rsidR="00564353">
        <w:t>hexanol</w:t>
      </w:r>
      <w:r w:rsidR="00353645" w:rsidRPr="00860424">
        <w:t xml:space="preserve"> P</w:t>
      </w:r>
      <w:r w:rsidR="00B40C8E" w:rsidRPr="00860424">
        <w:t xml:space="preserve"> δ</w:t>
      </w:r>
      <w:r w:rsidR="00B40C8E" w:rsidRPr="00860424">
        <w:rPr>
          <w:vertAlign w:val="superscript"/>
        </w:rPr>
        <w:t>18</w:t>
      </w:r>
      <w:r w:rsidR="00B40C8E" w:rsidRPr="00860424">
        <w:t>O</w:t>
      </w:r>
      <w:r w:rsidR="00B40C8E" w:rsidRPr="00860424">
        <w:rPr>
          <w:vertAlign w:val="subscript"/>
        </w:rPr>
        <w:t>P</w:t>
      </w:r>
      <w:r w:rsidR="00B40C8E" w:rsidRPr="00860424">
        <w:t xml:space="preserve"> </w:t>
      </w:r>
      <w:r w:rsidR="00353645" w:rsidRPr="00860424">
        <w:t>with</w:t>
      </w:r>
      <w:r w:rsidR="00B40C8E" w:rsidRPr="00860424">
        <w:t xml:space="preserve">in the </w:t>
      </w:r>
      <w:r w:rsidR="00997E15" w:rsidRPr="00860424">
        <w:t xml:space="preserve">-N-P </w:t>
      </w:r>
      <w:r w:rsidR="00B40C8E" w:rsidRPr="00860424">
        <w:t>treatment</w:t>
      </w:r>
      <w:r w:rsidR="00997E15" w:rsidRPr="00860424">
        <w:t>s</w:t>
      </w:r>
      <w:r w:rsidR="00B40C8E" w:rsidRPr="00860424">
        <w:t xml:space="preserve">, but </w:t>
      </w:r>
      <w:r w:rsidR="00647888">
        <w:t xml:space="preserve">hexanol P </w:t>
      </w:r>
      <w:r w:rsidR="00647888" w:rsidRPr="008F3C99">
        <w:rPr>
          <w:rFonts w:cs="Times New Roman"/>
        </w:rPr>
        <w:t>δ</w:t>
      </w:r>
      <w:r w:rsidR="00647888" w:rsidRPr="008F3C99">
        <w:rPr>
          <w:rFonts w:cs="Times New Roman"/>
          <w:vertAlign w:val="superscript"/>
        </w:rPr>
        <w:t>18</w:t>
      </w:r>
      <w:r w:rsidR="00647888" w:rsidRPr="008F3C99">
        <w:rPr>
          <w:rFonts w:cs="Times New Roman"/>
        </w:rPr>
        <w:t>O</w:t>
      </w:r>
      <w:r w:rsidR="00647888" w:rsidRPr="008F3C99">
        <w:rPr>
          <w:rFonts w:cs="Times New Roman"/>
          <w:vertAlign w:val="subscript"/>
        </w:rPr>
        <w:t>P</w:t>
      </w:r>
      <w:r w:rsidR="00647888">
        <w:t xml:space="preserve"> </w:t>
      </w:r>
      <w:r w:rsidR="00B40C8E" w:rsidRPr="00860424">
        <w:t>was at least 5</w:t>
      </w:r>
      <w:r w:rsidR="00B40C8E" w:rsidRPr="00860424">
        <w:rPr>
          <w:rFonts w:cs="Times New Roman"/>
        </w:rPr>
        <w:t>‰</w:t>
      </w:r>
      <w:r w:rsidR="00B40C8E" w:rsidRPr="00860424">
        <w:t xml:space="preserve"> </w:t>
      </w:r>
      <w:r w:rsidR="004D0A56" w:rsidRPr="00860424">
        <w:t xml:space="preserve">lower </w:t>
      </w:r>
      <w:r w:rsidR="00B40C8E" w:rsidRPr="00860424">
        <w:t>than resin P δ</w:t>
      </w:r>
      <w:r w:rsidR="00B40C8E" w:rsidRPr="00860424">
        <w:rPr>
          <w:vertAlign w:val="superscript"/>
        </w:rPr>
        <w:t>18</w:t>
      </w:r>
      <w:r w:rsidR="00B40C8E" w:rsidRPr="00860424">
        <w:t>O</w:t>
      </w:r>
      <w:r w:rsidR="00B40C8E" w:rsidRPr="00860424">
        <w:rPr>
          <w:vertAlign w:val="subscript"/>
        </w:rPr>
        <w:t>P</w:t>
      </w:r>
      <w:r w:rsidR="00B40C8E" w:rsidRPr="00860424">
        <w:t xml:space="preserve"> in the </w:t>
      </w:r>
      <w:r w:rsidR="00334CE0" w:rsidRPr="00860424">
        <w:t xml:space="preserve">fertilised </w:t>
      </w:r>
      <w:r w:rsidR="00B40C8E" w:rsidRPr="00860424">
        <w:t>treatment</w:t>
      </w:r>
      <w:r w:rsidR="00E65372" w:rsidRPr="00860424">
        <w:t>s</w:t>
      </w:r>
      <w:r w:rsidR="0034528B">
        <w:t xml:space="preserve"> (Table </w:t>
      </w:r>
      <w:r w:rsidR="00580859">
        <w:t>3</w:t>
      </w:r>
      <w:r w:rsidR="0034528B">
        <w:t>)</w:t>
      </w:r>
      <w:r w:rsidR="00B40C8E" w:rsidRPr="00860424">
        <w:t xml:space="preserve">. </w:t>
      </w:r>
      <w:r w:rsidR="00396623" w:rsidRPr="00860424">
        <w:t xml:space="preserve">The </w:t>
      </w:r>
      <w:r w:rsidR="009F45F0" w:rsidRPr="00860424">
        <w:t xml:space="preserve">HCl P </w:t>
      </w:r>
      <w:r w:rsidR="00396623" w:rsidRPr="00860424">
        <w:t>δ</w:t>
      </w:r>
      <w:r w:rsidR="00396623" w:rsidRPr="00860424">
        <w:rPr>
          <w:vertAlign w:val="superscript"/>
        </w:rPr>
        <w:t>18</w:t>
      </w:r>
      <w:r w:rsidR="00396623" w:rsidRPr="00860424">
        <w:t>O</w:t>
      </w:r>
      <w:r w:rsidR="00396623" w:rsidRPr="00860424">
        <w:rPr>
          <w:vertAlign w:val="subscript"/>
        </w:rPr>
        <w:t>P</w:t>
      </w:r>
      <w:r w:rsidR="00396623" w:rsidRPr="00860424">
        <w:t xml:space="preserve"> ranged between 18.5 and 23.9</w:t>
      </w:r>
      <w:r w:rsidR="00396623" w:rsidRPr="00860424">
        <w:rPr>
          <w:rFonts w:cs="Times New Roman"/>
        </w:rPr>
        <w:t>‰</w:t>
      </w:r>
      <w:r w:rsidR="00396623" w:rsidRPr="00860424">
        <w:t xml:space="preserve"> and showed a similar trend </w:t>
      </w:r>
      <w:r w:rsidR="00317E9D" w:rsidRPr="00860424">
        <w:t xml:space="preserve">to </w:t>
      </w:r>
      <w:r w:rsidR="00396623" w:rsidRPr="00860424">
        <w:t xml:space="preserve">the </w:t>
      </w:r>
      <w:r w:rsidR="00B40C8E" w:rsidRPr="00860424">
        <w:t xml:space="preserve">resin P </w:t>
      </w:r>
      <w:r w:rsidR="00396623" w:rsidRPr="00860424">
        <w:t>δ</w:t>
      </w:r>
      <w:r w:rsidR="00396623" w:rsidRPr="00860424">
        <w:rPr>
          <w:vertAlign w:val="superscript"/>
        </w:rPr>
        <w:t>18</w:t>
      </w:r>
      <w:r w:rsidR="00396623" w:rsidRPr="00860424">
        <w:t>O</w:t>
      </w:r>
      <w:r w:rsidR="00396623" w:rsidRPr="00860424">
        <w:rPr>
          <w:vertAlign w:val="subscript"/>
        </w:rPr>
        <w:t>P</w:t>
      </w:r>
      <w:r w:rsidR="00396623" w:rsidRPr="00860424">
        <w:t xml:space="preserve"> (δ</w:t>
      </w:r>
      <w:r w:rsidR="00396623" w:rsidRPr="00860424">
        <w:rPr>
          <w:vertAlign w:val="superscript"/>
        </w:rPr>
        <w:t>18</w:t>
      </w:r>
      <w:r w:rsidR="00396623" w:rsidRPr="00860424">
        <w:t>O</w:t>
      </w:r>
      <w:r w:rsidR="00396623" w:rsidRPr="00860424">
        <w:rPr>
          <w:vertAlign w:val="subscript"/>
        </w:rPr>
        <w:t>P</w:t>
      </w:r>
      <w:r w:rsidR="00396623" w:rsidRPr="00860424">
        <w:t xml:space="preserve"> values in the </w:t>
      </w:r>
      <w:r w:rsidR="00E65372" w:rsidRPr="00860424">
        <w:t xml:space="preserve">+L </w:t>
      </w:r>
      <w:r w:rsidR="00965AEA" w:rsidRPr="00860424">
        <w:t>treatments</w:t>
      </w:r>
      <w:r w:rsidR="00396623" w:rsidRPr="00860424">
        <w:t xml:space="preserve"> </w:t>
      </w:r>
      <w:r w:rsidR="00E65372" w:rsidRPr="00860424">
        <w:t>less than</w:t>
      </w:r>
      <w:r w:rsidR="00396623" w:rsidRPr="00860424">
        <w:t xml:space="preserve"> </w:t>
      </w:r>
      <w:r>
        <w:t xml:space="preserve">those in </w:t>
      </w:r>
      <w:r w:rsidR="00396623" w:rsidRPr="00860424">
        <w:t xml:space="preserve">the </w:t>
      </w:r>
      <w:r w:rsidR="00E65372" w:rsidRPr="00860424">
        <w:t xml:space="preserve">-L </w:t>
      </w:r>
      <w:r w:rsidR="00965AEA" w:rsidRPr="00860424">
        <w:t>treatments</w:t>
      </w:r>
      <w:r w:rsidR="00396623" w:rsidRPr="00860424">
        <w:t xml:space="preserve">). </w:t>
      </w:r>
      <w:r w:rsidR="00317E9D" w:rsidRPr="00860424">
        <w:t>For the 0-10</w:t>
      </w:r>
      <w:r w:rsidR="00E65372" w:rsidRPr="00860424">
        <w:t xml:space="preserve"> </w:t>
      </w:r>
      <w:r w:rsidR="00317E9D" w:rsidRPr="00860424">
        <w:t xml:space="preserve">cm soil samples </w:t>
      </w:r>
      <w:r w:rsidR="00E65372" w:rsidRPr="00860424">
        <w:t>in the fertili</w:t>
      </w:r>
      <w:r w:rsidR="00B166D2" w:rsidRPr="00860424">
        <w:t>s</w:t>
      </w:r>
      <w:r w:rsidR="00E65372" w:rsidRPr="00860424">
        <w:t xml:space="preserve">ed treatments, </w:t>
      </w:r>
      <w:r w:rsidR="00317E9D" w:rsidRPr="00860424">
        <w:t>where t</w:t>
      </w:r>
      <w:r w:rsidR="00396623" w:rsidRPr="00860424">
        <w:t xml:space="preserve">he </w:t>
      </w:r>
      <w:r w:rsidR="00997E15" w:rsidRPr="00860424">
        <w:t>NaOH-EDTA Pi</w:t>
      </w:r>
      <w:r w:rsidR="00B40C8E" w:rsidRPr="00860424">
        <w:t xml:space="preserve"> </w:t>
      </w:r>
      <w:r w:rsidR="00396623" w:rsidRPr="00860424">
        <w:t>δ</w:t>
      </w:r>
      <w:r w:rsidR="00396623" w:rsidRPr="00860424">
        <w:rPr>
          <w:vertAlign w:val="superscript"/>
        </w:rPr>
        <w:t>18</w:t>
      </w:r>
      <w:r w:rsidR="00396623" w:rsidRPr="00860424">
        <w:t>O</w:t>
      </w:r>
      <w:r w:rsidR="00396623" w:rsidRPr="00860424">
        <w:rPr>
          <w:vertAlign w:val="subscript"/>
        </w:rPr>
        <w:t>P</w:t>
      </w:r>
      <w:r w:rsidR="00396623" w:rsidRPr="00860424">
        <w:t xml:space="preserve"> </w:t>
      </w:r>
      <w:r w:rsidR="00317E9D" w:rsidRPr="00860424">
        <w:t xml:space="preserve">was measured, values </w:t>
      </w:r>
      <w:r w:rsidR="00396623" w:rsidRPr="00860424">
        <w:t>ranged between 15.2 and 20.7</w:t>
      </w:r>
      <w:r w:rsidR="00396623" w:rsidRPr="00860424">
        <w:rPr>
          <w:rFonts w:cs="Times New Roman"/>
        </w:rPr>
        <w:t>‰</w:t>
      </w:r>
      <w:r w:rsidR="00396623" w:rsidRPr="00860424">
        <w:t xml:space="preserve">. </w:t>
      </w:r>
      <w:r w:rsidR="00317E9D" w:rsidRPr="00860424">
        <w:t xml:space="preserve">The </w:t>
      </w:r>
      <w:r w:rsidR="00997E15" w:rsidRPr="00860424">
        <w:t>NaOH-EDTA Pi</w:t>
      </w:r>
      <w:r w:rsidR="00331CA9" w:rsidRPr="00860424">
        <w:t xml:space="preserve"> δ</w:t>
      </w:r>
      <w:r w:rsidR="00331CA9" w:rsidRPr="00860424">
        <w:rPr>
          <w:vertAlign w:val="superscript"/>
        </w:rPr>
        <w:t>18</w:t>
      </w:r>
      <w:r w:rsidR="00331CA9" w:rsidRPr="00860424">
        <w:t>O</w:t>
      </w:r>
      <w:r w:rsidR="00331CA9" w:rsidRPr="00860424">
        <w:rPr>
          <w:vertAlign w:val="subscript"/>
        </w:rPr>
        <w:t>P</w:t>
      </w:r>
      <w:r w:rsidR="00331CA9" w:rsidRPr="00860424">
        <w:t xml:space="preserve"> </w:t>
      </w:r>
      <w:r w:rsidR="00317E9D" w:rsidRPr="00860424">
        <w:t xml:space="preserve">were very similar in the </w:t>
      </w:r>
      <w:r w:rsidR="00E853B3" w:rsidRPr="00860424">
        <w:t>-L fertili</w:t>
      </w:r>
      <w:r w:rsidR="00B166D2" w:rsidRPr="00860424">
        <w:t>s</w:t>
      </w:r>
      <w:r w:rsidR="00E853B3" w:rsidRPr="00860424">
        <w:t>ed</w:t>
      </w:r>
      <w:r w:rsidR="00317E9D" w:rsidRPr="00860424">
        <w:t xml:space="preserve"> treatments </w:t>
      </w:r>
      <w:r w:rsidR="00396623" w:rsidRPr="00860424">
        <w:t xml:space="preserve">but differed </w:t>
      </w:r>
      <w:r w:rsidR="00E853B3" w:rsidRPr="00860424">
        <w:t xml:space="preserve">between </w:t>
      </w:r>
      <w:r w:rsidR="00396623" w:rsidRPr="00860424">
        <w:t xml:space="preserve">the </w:t>
      </w:r>
      <w:r w:rsidR="00E853B3" w:rsidRPr="00860424">
        <w:t>+L treatments</w:t>
      </w:r>
      <w:r w:rsidR="00396623" w:rsidRPr="00860424">
        <w:t xml:space="preserve">, with the </w:t>
      </w:r>
      <w:r w:rsidR="00997E15" w:rsidRPr="00860424">
        <w:t xml:space="preserve">NaOH-EDTA Pi </w:t>
      </w:r>
      <w:r w:rsidR="00396623" w:rsidRPr="00860424">
        <w:t>δ</w:t>
      </w:r>
      <w:r w:rsidR="00396623" w:rsidRPr="00860424">
        <w:rPr>
          <w:vertAlign w:val="superscript"/>
        </w:rPr>
        <w:t>18</w:t>
      </w:r>
      <w:r w:rsidR="00396623" w:rsidRPr="00860424">
        <w:t>O</w:t>
      </w:r>
      <w:r w:rsidR="00396623" w:rsidRPr="00860424">
        <w:rPr>
          <w:vertAlign w:val="subscript"/>
        </w:rPr>
        <w:t>P</w:t>
      </w:r>
      <w:r w:rsidR="00396623" w:rsidRPr="00860424">
        <w:t xml:space="preserve"> in the -N</w:t>
      </w:r>
      <w:r w:rsidR="00997E15" w:rsidRPr="00860424">
        <w:t>+P</w:t>
      </w:r>
      <w:r w:rsidR="00396623" w:rsidRPr="00860424">
        <w:t xml:space="preserve"> treatment being around 5‰ lower than in the +N</w:t>
      </w:r>
      <w:r w:rsidR="00997E15" w:rsidRPr="00860424">
        <w:t>+P</w:t>
      </w:r>
      <w:r w:rsidR="00396623" w:rsidRPr="00860424">
        <w:t xml:space="preserve"> treatment. </w:t>
      </w:r>
      <w:r w:rsidR="00E853B3" w:rsidRPr="00860424">
        <w:t xml:space="preserve">The </w:t>
      </w:r>
      <w:r w:rsidR="00997E15" w:rsidRPr="00860424">
        <w:t>NaOH-EDTA Pi</w:t>
      </w:r>
      <w:r w:rsidR="00E853B3" w:rsidRPr="00860424">
        <w:t xml:space="preserve"> </w:t>
      </w:r>
      <w:r w:rsidR="00330ADA" w:rsidRPr="00860424">
        <w:t>δ</w:t>
      </w:r>
      <w:r w:rsidR="00330ADA" w:rsidRPr="00860424">
        <w:rPr>
          <w:vertAlign w:val="superscript"/>
        </w:rPr>
        <w:t>18</w:t>
      </w:r>
      <w:r w:rsidR="00330ADA" w:rsidRPr="00860424">
        <w:t>O</w:t>
      </w:r>
      <w:r w:rsidR="00330ADA" w:rsidRPr="00860424">
        <w:rPr>
          <w:vertAlign w:val="subscript"/>
        </w:rPr>
        <w:t>P</w:t>
      </w:r>
      <w:r w:rsidR="00E853B3" w:rsidRPr="00860424">
        <w:t xml:space="preserve"> </w:t>
      </w:r>
      <w:r w:rsidR="00B166D2" w:rsidRPr="00860424">
        <w:t>were</w:t>
      </w:r>
      <w:r w:rsidR="00E853B3" w:rsidRPr="00860424">
        <w:t xml:space="preserve"> different from the corresponding </w:t>
      </w:r>
      <w:r w:rsidR="00B166D2" w:rsidRPr="00860424">
        <w:t xml:space="preserve">resin and HCl P </w:t>
      </w:r>
      <w:r w:rsidR="00330ADA" w:rsidRPr="00860424">
        <w:t>δ</w:t>
      </w:r>
      <w:r w:rsidR="00330ADA" w:rsidRPr="00860424">
        <w:rPr>
          <w:vertAlign w:val="superscript"/>
        </w:rPr>
        <w:t>18</w:t>
      </w:r>
      <w:r w:rsidR="00330ADA" w:rsidRPr="00860424">
        <w:t>O</w:t>
      </w:r>
      <w:r w:rsidR="00330ADA" w:rsidRPr="00860424">
        <w:rPr>
          <w:vertAlign w:val="subscript"/>
        </w:rPr>
        <w:t>P</w:t>
      </w:r>
      <w:r w:rsidR="00E853B3" w:rsidRPr="00860424">
        <w:t xml:space="preserve">, however while they </w:t>
      </w:r>
      <w:r w:rsidR="00B166D2" w:rsidRPr="00860424">
        <w:t xml:space="preserve">were </w:t>
      </w:r>
      <w:r w:rsidR="00E853B3" w:rsidRPr="00860424">
        <w:t xml:space="preserve">noticeably </w:t>
      </w:r>
      <w:r w:rsidR="004D0A56" w:rsidRPr="00860424">
        <w:t xml:space="preserve">lower </w:t>
      </w:r>
      <w:r w:rsidR="00E853B3" w:rsidRPr="00860424">
        <w:t>in most cases (up to -6.5</w:t>
      </w:r>
      <w:r w:rsidR="00E853B3" w:rsidRPr="00860424">
        <w:rPr>
          <w:rFonts w:cs="Times New Roman"/>
        </w:rPr>
        <w:t>‰</w:t>
      </w:r>
      <w:r w:rsidR="00E853B3" w:rsidRPr="00860424">
        <w:t xml:space="preserve">) the </w:t>
      </w:r>
      <w:r w:rsidR="00330ADA" w:rsidRPr="00860424">
        <w:t>δ</w:t>
      </w:r>
      <w:r w:rsidR="00330ADA" w:rsidRPr="00860424">
        <w:rPr>
          <w:vertAlign w:val="superscript"/>
        </w:rPr>
        <w:t>18</w:t>
      </w:r>
      <w:r w:rsidR="00330ADA" w:rsidRPr="00860424">
        <w:t>O</w:t>
      </w:r>
      <w:r w:rsidR="00330ADA" w:rsidRPr="00860424">
        <w:rPr>
          <w:vertAlign w:val="subscript"/>
        </w:rPr>
        <w:t>P</w:t>
      </w:r>
      <w:r w:rsidR="00E853B3" w:rsidRPr="00860424">
        <w:t xml:space="preserve"> value </w:t>
      </w:r>
      <w:r w:rsidR="00B166D2" w:rsidRPr="00860424">
        <w:t xml:space="preserve">was </w:t>
      </w:r>
      <w:r w:rsidR="004D0A56" w:rsidRPr="00860424">
        <w:t xml:space="preserve">higher </w:t>
      </w:r>
      <w:r w:rsidR="00E853B3" w:rsidRPr="00860424">
        <w:t xml:space="preserve">(up to </w:t>
      </w:r>
      <w:r w:rsidR="00330ADA" w:rsidRPr="00860424">
        <w:t>2.2</w:t>
      </w:r>
      <w:r w:rsidR="00330ADA" w:rsidRPr="00860424">
        <w:rPr>
          <w:rFonts w:cs="Times New Roman"/>
        </w:rPr>
        <w:t>‰</w:t>
      </w:r>
      <w:r w:rsidR="00330ADA" w:rsidRPr="00860424">
        <w:t xml:space="preserve">) </w:t>
      </w:r>
      <w:r w:rsidR="00E853B3" w:rsidRPr="00860424">
        <w:t>in the +N</w:t>
      </w:r>
      <w:r w:rsidR="00997E15" w:rsidRPr="00860424">
        <w:t>+P</w:t>
      </w:r>
      <w:r w:rsidR="00E853B3" w:rsidRPr="00860424">
        <w:t>+L treatment</w:t>
      </w:r>
      <w:r w:rsidR="00330ADA" w:rsidRPr="00860424">
        <w:t xml:space="preserve"> (Table </w:t>
      </w:r>
      <w:r w:rsidR="00580859">
        <w:t>3</w:t>
      </w:r>
      <w:r w:rsidR="00330ADA" w:rsidRPr="00860424">
        <w:t>)</w:t>
      </w:r>
      <w:r w:rsidR="00E853B3" w:rsidRPr="00860424">
        <w:t xml:space="preserve">. </w:t>
      </w:r>
    </w:p>
    <w:p w14:paraId="78A5B1E8" w14:textId="505DC4AA" w:rsidR="00266B1E" w:rsidRPr="00860424" w:rsidRDefault="00266B1E" w:rsidP="00E627AF">
      <w:pPr>
        <w:spacing w:line="360" w:lineRule="auto"/>
        <w:rPr>
          <w:b/>
        </w:rPr>
      </w:pPr>
      <w:r w:rsidRPr="00860424">
        <w:rPr>
          <w:b/>
        </w:rPr>
        <w:t>Discussion</w:t>
      </w:r>
    </w:p>
    <w:p w14:paraId="60BDA087" w14:textId="33265F5A" w:rsidR="00232FBA" w:rsidRDefault="00B166D2" w:rsidP="00E627AF">
      <w:pPr>
        <w:spacing w:line="360" w:lineRule="auto"/>
      </w:pPr>
      <w:bookmarkStart w:id="4" w:name="_Hlk516143708"/>
      <w:r w:rsidRPr="00860424">
        <w:t>The relative proportions and distribution</w:t>
      </w:r>
      <w:r w:rsidR="0034528B">
        <w:t xml:space="preserve"> </w:t>
      </w:r>
      <w:r w:rsidR="0034528B" w:rsidRPr="00860424">
        <w:t>of the soil P pools</w:t>
      </w:r>
      <w:r w:rsidRPr="00860424">
        <w:t xml:space="preserve"> within the soil profile were typical of those reported elsewhere </w:t>
      </w:r>
      <w:r w:rsidR="00F922AB">
        <w:fldChar w:fldCharType="begin" w:fldLock="1"/>
      </w:r>
      <w:r w:rsidR="00741C1A">
        <w:instrText>ADDIN CSL_CITATION {"citationItems":[{"id":"ITEM-1","itemData":{"DOI":"10.1016/S0016-7061(99)00093-2","ISBN":"0016-7061","ISSN":"00167061","abstract":"Soil phosphorus in different depths or horizons of two Inceptisols and four Spodosols was fractionated using the Hedley, Stewart and Chauhan method. The soils were sampled at altitudes between 2000 and 2400 m in the Eastern Pyrenees (France). The total phosphorus content varied considerably between soils and between horizons in the soils. The total phosphorus content ranged from 700 to 1100 μg g−1 in the Inceptisols, and from 216 to 955 μg g−1 in the Spodosol horizons. At all depths in Inceptisols, the NaOH-Po form (range 330–665 μg g−1) represented over 45% of the sum of the phosphorus fractions. In the Spodosols, the concentrations were generally lower (between 72 and 125 μg g−1 in the eluvial horizons and between 115 and 290 μg g−1 in the illuvial horizons). Moreover, there was a correlation between organic phosphorus extracted by NaOH and extractable aluminum. The partial correlation with %C when Al concentration was considered as constant was highly significant. Eluviation processes occurred with migration of soluble aluminum leading to eluvial and illuvial horizons with marked differences in their phosphorus contents.","author":[{"dropping-particle":"","family":"Cassagne","given":"N","non-dropping-particle":"","parse-names":false,"suffix":""},{"dropping-particle":"","family":"Remaury","given":"M","non-dropping-particle":"","parse-names":false,"suffix":""},{"dropping-particle":"","family":"Gauquelin","given":"T","non-dropping-particle":"","parse-names":false,"suffix":""},{"dropping-particle":"","family":"Fabre","given":"A","non-dropping-particle":"","parse-names":false,"suffix":""}],"container-title":"Geoderma","id":"ITEM-1","issue":"1-2","issued":{"date-parts":[["2000","3"]]},"page":"161-172","title":"Forms and profile distribution of soil phosphorus in alpine Inceptisols and Spodosols (Pyrenees, France)","type":"article-journal","volume":"95"},"uris":["http://www.mendeley.com/documents/?uuid=173e2bfe-79b0-4aa6-965c-563bacde0d96"]},{"id":"ITEM-2","itemData":{"DOI":"10.2134/jeq2013.10.0424","ISBN":"0047-2425","ISSN":"0047-2425","abstract":"Conservation tillage practices have become increasingly common in recent years to reduce soil erosion, improve water conservation, and increase soil organic matter. Research suggests that conservation tillage can stratify soil test phosphorus (P), but little is known about the effects on soil organic P. This study was conducted to assess the long-term effects of tillage practices (notill [NT] and mouldboard plowing) and P fertilization (0 and 35 kg P ha -1 ) on the distribution of P species in the soil profile. Soil samples from a long-term corn-soybean rotation experiment in Québec, Canada, were collected from three depths (0-5, 5-10, and 10-20 cm). These samples were analyzed for total P (TP), total C (TC), total N (TN), pH, and Mehlich-3 P (PM3); P forms were characterized with solution phosphorus-31 nuclear magnetic resonance spectroscopy ( 31 P-NMR). Results showed a stratification of TP, TC, TN, pH, PM3, and Mehlich-3-extractable aluminum and magnesium under NT management. The PM3 and orthophosphate concentrations were greater at the soil surface (0-5 cm) of the NT-P 35 (soil treatment with 35 kg P ha -1 ) treatment. Organic P forms (orthophosphate monoesters, especially scyllo-IP 6' , and nucleotides) had accumulated in the deep layer of NT treatment possibly due to preferential movement. We found evidence that the NT system and P fertilization changed the distribution of P forms along the soil profile, potentially increasing soluble inorganic P loss in surface runoff and organic P in drainage and decreasing bioavailability of inorganic and organic P in deeper soil layers. © American Society of Agronomy, Crop Science Society of America, and Soil Science Society of America.","author":[{"dropping-particle":"","family":"Abdi","given":"Dalel","non-dropping-particle":"","parse-names":false,"suffix":""},{"dropping-particle":"","family":"Cade-Menun","given":"Barbara J.","non-dropping-particle":"","parse-names":false,"suffix":""},{"dropping-particle":"","family":"Ziadi","given":"Noura","non-dropping-particle":"","parse-names":false,"suffix":""},{"dropping-particle":"","family":"Parent","given":"Léon-Étienne","non-dropping-particle":"","parse-names":false,"suffix":""}],"container-title":"Journal of Environment Quality","id":"ITEM-2","issue":"4","issued":{"date-parts":[["2014"]]},"page":"1431","title":"Long-term impact of tillage practices and phosphorus fertilization on soil phosphorus forms as determined by P nuclear magnetic resonance spectroscopy","type":"article-journal","volume":"43"},"uris":["http://www.mendeley.com/documents/?uuid=9cec2eb7-6289-47d7-a57d-2c49a438cc03"]},{"id":"ITEM-3","itemData":{"DOI":"10.1016/j.agee.2013.11.022","ISBN":"0167-8809","ISSN":"01678809","abstract":"We compared inorganic and organic P fractions to a soil depth of 92 cm in two long-term Classical Experiments at Rothamsted Research in the U.K. The predominant soil-forming factor that differentiated the sites was vegetation type. The Broadbalk plots feature annual wheat and have been in continuous production since 1843, while the Park Grass plots feature perennial grassland vegetation that has been hayed every year since 1856. To evaluate the long-term effects of annual versus perennial vegetation on soil P forms, we carried out Hedley P fractionations and microbial biomass-P fumigation-extraction analyses on soils from fertilized and unfertilized treatments of both experiments. In both P-fertilized and unfertilized soils we found an inverse relationship between pool sizes of actively cycling Po (0.5 M bicarbonate + 0.1 M NaOH fractions) and recalcitrant Pi (hot conc. HCl + final digest fractions) with Po dominant in the perennial hay meadow and recalcitrant Pi dominant in the annual wheat. Microbial biomass-P in the surface horizons of fertilized and unfertilized perennial hay meadow was an order of magnitude greater than in annual wheat. To investigate how P fractions changed through time we conducted Hedley P fractionations on archived soils sampled from Broadbalk wheat in 1893, and Park Grass hay meadow in 1876. Since 1893, unfertilized Broadbalk soils experienced almost no change in P fractions in the surface 23 cm, but substantial depletion in labile and recalcitrant Pi and Po in deeper strata. The Park Grass perennial vegetation showed greater depletion of surface soil fractions over time. When fertilized for over 100 years, almost all P fractions in the surface 23 cm were enriched in both crop types, but below 70 cm, only the active Po pool in Park Grass showed a substantial increase under fertilization. Even when fertilized, low available or occluded Pi fractions in both annual and perennial systems were substantially depleted below 70 cm. Our findings suggest that herbaceous perennials maintain a greater proportion of native or fertilizer-P in relatively available organic forms compared to annual wheat. By reducing the fraction of P held in recalcitrant forms, P fertilizer requirements could be reduced","author":[{"dropping-particle":"","family":"Crews","given":"Timothy E","non-dropping-particle":"","parse-names":false,"suffix":""},{"dropping-particle":"","family":"Brookes","given":"Philip C","non-dropping-particle":"","parse-names":false,"suffix":""}],"container-title":"Agriculture, Ecosystems &amp; Environment","id":"ITEM-3","issued":{"date-parts":[["2014","2"]]},"page":"168-181","title":"Changes in soil phosphorus forms through time in perennial versus annual agroecosystems","type":"article-journal","volume":"184"},"uris":["http://www.mendeley.com/documents/?uuid=a82e41fa-bcc9-434b-a7a2-c8132ef8c2ad"]}],"mendeley":{"formattedCitation":"&lt;sup&gt;24–26&lt;/sup&gt;","plainTextFormattedCitation":"24–26","previouslyFormattedCitation":"&lt;sup&gt;24–26&lt;/sup&gt;"},"properties":{"noteIndex":0},"schema":"https://github.com/citation-style-language/schema/raw/master/csl-citation.json"}</w:instrText>
      </w:r>
      <w:r w:rsidR="00F922AB">
        <w:fldChar w:fldCharType="separate"/>
      </w:r>
      <w:r w:rsidR="00CB44EE" w:rsidRPr="00CB44EE">
        <w:rPr>
          <w:noProof/>
          <w:vertAlign w:val="superscript"/>
        </w:rPr>
        <w:t>24–26</w:t>
      </w:r>
      <w:r w:rsidR="00F922AB">
        <w:fldChar w:fldCharType="end"/>
      </w:r>
      <w:r w:rsidR="00580748" w:rsidRPr="00860424">
        <w:t>.</w:t>
      </w:r>
      <w:r w:rsidRPr="00860424">
        <w:t xml:space="preserve"> </w:t>
      </w:r>
      <w:r w:rsidR="009A4560" w:rsidRPr="00860424">
        <w:t>In most cases all measured P pools decreased in concentration with depth</w:t>
      </w:r>
      <w:r w:rsidR="005F4381">
        <w:t>. This</w:t>
      </w:r>
      <w:r w:rsidR="009A4560" w:rsidRPr="00860424">
        <w:t xml:space="preserve"> reflect</w:t>
      </w:r>
      <w:r w:rsidR="005F4381">
        <w:t>s</w:t>
      </w:r>
      <w:r w:rsidR="009A4560" w:rsidRPr="00860424">
        <w:t xml:space="preserve"> the accumulation of P in the upper layer</w:t>
      </w:r>
      <w:r w:rsidR="00421081">
        <w:t xml:space="preserve"> in soils</w:t>
      </w:r>
      <w:r w:rsidR="009A4560" w:rsidRPr="00860424">
        <w:t>, through the adsorption of fertilizer to soil particles and through the accumulation of organic matter</w:t>
      </w:r>
      <w:r w:rsidR="005F4381">
        <w:t>, and the low mobility of P</w:t>
      </w:r>
      <w:r w:rsidR="009A4560" w:rsidRPr="00860424">
        <w:t xml:space="preserve"> </w:t>
      </w:r>
      <w:r w:rsidR="00F922AB">
        <w:fldChar w:fldCharType="begin" w:fldLock="1"/>
      </w:r>
      <w:r w:rsidR="00741C1A">
        <w:instrText>ADDIN CSL_CITATION {"citationItems":[{"id":"ITEM-1","itemData":{"DOI":"10.1023/A:1010760720215","ISSN":"01682563","abstract":"To understand the importance of plants in structuring the vertical distributions of soil nutrients, we explored nutrient distributions in the top meter of soil for more than 10,000 profiles across a range of ecological conditions. Hypothesizing that vertical nutrient distributions are dominated by plant cycling relative to leaching, weathering dissolution, and atmospheric deposition, we examined three predictions: (1) that the nutrients that are most limiting for plants would have the shallowest average distributions across ecosystems, (2) that the vertical distribution of a limiting nutrient would be shallower as the nutrient became more scarce, and (3) that along a gradient of soil types with increasing weathering-leaching intensity, limiting nutrients would be relatively more abundant due to preferential cycling by plants. Globally, the ranking of vertical distributions among nutrients was shallowest to deepest in the following order: P  &gt;  K  &gt;  Ca  &gt;  Mg  &gt;  Na = Cl = SO 4 . Nutrients strongly cycled by plants, such as P and K, were more concentrated in the topsoil (upper 20 cm) than were nutrients usually less limiting for plants such as Na and Cl. The topsoil concentrations of all nutrients except Na were higher in the soil profiles where the elements were more scarce. Along a gradient of weathering-leaching intensity (Aridisols to Mollisols to Ultisols), total base saturation decreased but the relative contribution of exchangeable K + to base saturation increased. These patterns are difficult to explain without considering the upward transport of nutrients by plant uptake and cycling. Shallower distributions for P and K, together with negative associations between abundance and topsoil accumulation, support the idea that plant cycling exerts a dominant control on the vertical distribution of the most limiting elements for plants (those required in high amounts in relation to soil supply). Plant characteristics like tissue stoichiometry, biomass cycling rates, above- and belowground allocation, root distributions, and maximum rooting depth may all play an important role in shaping nutrient profiles. Such vertical patterns yield insight into the patterns and processes of nutrient cycling through time.","author":[{"dropping-particle":"","family":"Jobbágy","given":"Esteban G.","non-dropping-particle":"","parse-names":false,"suffix":""},{"dropping-particle":"","family":"Jackson","given":"Robert B.","non-dropping-particle":"","parse-names":false,"suffix":""}],"container-title":"Biogeochemistry","id":"ITEM-1","issue":"1","issued":{"date-parts":[["2001"]]},"page":"51-77","title":"The distribution of soil nutrients with depth: Global patterns and the imprint of plants","type":"article-journal","volume":"53"},"uris":["http://www.mendeley.com/documents/?uuid=0f194a02-5c1f-4e6c-9b62-5e1691505d0c"]}],"mendeley":{"formattedCitation":"&lt;sup&gt;27&lt;/sup&gt;","plainTextFormattedCitation":"27","previouslyFormattedCitation":"&lt;sup&gt;27&lt;/sup&gt;"},"properties":{"noteIndex":0},"schema":"https://github.com/citation-style-language/schema/raw/master/csl-citation.json"}</w:instrText>
      </w:r>
      <w:r w:rsidR="00F922AB">
        <w:fldChar w:fldCharType="separate"/>
      </w:r>
      <w:r w:rsidR="00CB44EE" w:rsidRPr="00CB44EE">
        <w:rPr>
          <w:noProof/>
          <w:vertAlign w:val="superscript"/>
        </w:rPr>
        <w:t>27</w:t>
      </w:r>
      <w:r w:rsidR="00F922AB">
        <w:fldChar w:fldCharType="end"/>
      </w:r>
      <w:r w:rsidR="009A4560" w:rsidRPr="00860424">
        <w:t xml:space="preserve">. </w:t>
      </w:r>
      <w:r w:rsidR="00074B0A" w:rsidRPr="00860424">
        <w:t xml:space="preserve">Applying N fertiliser </w:t>
      </w:r>
      <w:r w:rsidR="00647888">
        <w:t xml:space="preserve">was associated with </w:t>
      </w:r>
      <w:r w:rsidR="0034528B">
        <w:t xml:space="preserve">a </w:t>
      </w:r>
      <w:r w:rsidR="00421081">
        <w:t>small</w:t>
      </w:r>
      <w:r w:rsidR="00074B0A" w:rsidRPr="00860424">
        <w:t xml:space="preserve"> decrease </w:t>
      </w:r>
      <w:r w:rsidR="0034528B">
        <w:t xml:space="preserve">in </w:t>
      </w:r>
      <w:r w:rsidR="00074B0A" w:rsidRPr="00860424">
        <w:t xml:space="preserve">P concentrations as observed elsewhere </w:t>
      </w:r>
      <w:r w:rsidR="00F922AB">
        <w:fldChar w:fldCharType="begin" w:fldLock="1"/>
      </w:r>
      <w:r w:rsidR="00741C1A">
        <w:instrText>ADDIN CSL_CITATION {"citationItems":[{"id":"ITEM-1","itemData":{"DOI":"10.1111/ejss.12516","ISBN":"13510754","author":[{"dropping-particle":"","family":"Bauke","given":"S L","non-dropping-particle":"","parse-names":false,"suffix":""},{"dropping-particle":"","family":"Sperber","given":"C","non-dropping-particle":"von","parse-names":false,"suffix":""},{"dropping-particle":"","family":"Tamburini","given":"Federica","non-dropping-particle":"","parse-names":false,"suffix":""},{"dropping-particle":"","family":"Gocke","given":"M I","non-dropping-particle":"","parse-names":false,"suffix":""},{"dropping-particle":"","family":"Honermeier","given":"B","non-dropping-particle":"","parse-names":false,"suffix":""},{"dropping-particle":"","family":"Schweitzer","given":"K","non-dropping-particle":"","parse-names":false,"suffix":""},{"dropping-particle":"","family":"Baumecker","given":"M","non-dropping-particle":"","parse-names":false,"suffix":""},{"dropping-particle":"","family":"Don","given":"A","non-dropping-particle":"","parse-names":false,"suffix":""},{"dropping-particle":"","family":"Sandhage-Hofmann","given":"A","non-dropping-particle":"","parse-names":false,"suffix":""},{"dropping-particle":"","family":"Amelung","given":"W","non-dropping-particle":"","parse-names":false,"suffix":""}],"chapter-number":"103","container-title":"European Journal of Soil Science","id":"ITEM-1","issue":"1","issued":{"date-parts":[["2018"]]},"page":"103-112","title":"Subsoil phosphorus is affected by fertilization regime in long-term agricultural experimental trials","type":"article-journal","volume":"69"},"uris":["http://www.mendeley.com/documents/?uuid=47dd9646-8b51-412a-b499-493bc9ba7ad1"]}],"mendeley":{"formattedCitation":"&lt;sup&gt;28&lt;/sup&gt;","plainTextFormattedCitation":"28","previouslyFormattedCitation":"&lt;sup&gt;28&lt;/sup&gt;"},"properties":{"noteIndex":0},"schema":"https://github.com/citation-style-language/schema/raw/master/csl-citation.json"}</w:instrText>
      </w:r>
      <w:r w:rsidR="00F922AB">
        <w:fldChar w:fldCharType="separate"/>
      </w:r>
      <w:r w:rsidR="00CB44EE" w:rsidRPr="00CB44EE">
        <w:rPr>
          <w:noProof/>
          <w:vertAlign w:val="superscript"/>
        </w:rPr>
        <w:t>28</w:t>
      </w:r>
      <w:r w:rsidR="00F922AB">
        <w:fldChar w:fldCharType="end"/>
      </w:r>
      <w:r w:rsidR="00232FBA" w:rsidRPr="00232FBA">
        <w:t>.</w:t>
      </w:r>
      <w:r w:rsidR="00074B0A" w:rsidRPr="00860424">
        <w:t xml:space="preserve"> The exception was the 0-10 cm layer of the </w:t>
      </w:r>
      <w:r w:rsidR="00997E15" w:rsidRPr="00860424">
        <w:t>+N+P-L</w:t>
      </w:r>
      <w:r w:rsidR="00074B0A" w:rsidRPr="00860424">
        <w:t xml:space="preserve"> treatment. In this treatment, a mat of partially decomposed plant material </w:t>
      </w:r>
      <w:r w:rsidR="00421081">
        <w:t xml:space="preserve">had </w:t>
      </w:r>
      <w:r w:rsidR="00074B0A" w:rsidRPr="00860424">
        <w:t>developed</w:t>
      </w:r>
      <w:r w:rsidR="000243A6">
        <w:t>, probably</w:t>
      </w:r>
      <w:r w:rsidR="00074B0A" w:rsidRPr="00860424">
        <w:t xml:space="preserve"> </w:t>
      </w:r>
      <w:r w:rsidR="00D3311D">
        <w:t xml:space="preserve">resulting from the effect of </w:t>
      </w:r>
      <w:r w:rsidR="00C3337E">
        <w:t xml:space="preserve">the very low </w:t>
      </w:r>
      <w:r w:rsidR="00D3311D">
        <w:t xml:space="preserve">soil pH on microbial activity </w:t>
      </w:r>
      <w:r w:rsidR="00D3311D">
        <w:lastRenderedPageBreak/>
        <w:t xml:space="preserve">and thus carbon cycling </w:t>
      </w:r>
      <w:r w:rsidR="00D3311D">
        <w:fldChar w:fldCharType="begin" w:fldLock="1"/>
      </w:r>
      <w:r w:rsidR="00741C1A">
        <w:instrText>ADDIN CSL_CITATION {"citationItems":[{"id":"ITEM-1","itemData":{"DOI":"10.1016/j.soilbio.2005.08.006","ISSN":"00380717","abstract":"Soil pH is often hypothesized to be a major factor regulating organic matter turnover and inorganic nitrogen production in agricultural soils. The aim of this study was to critically test the relationship between soil pH and rates of C and N cycling, and dissolved organic nitrogen (DON), in two long-term field experiments in which pH had been manipulated (Rothamsted silty clay loam, pH 3.5–6.8; Woburn sandy loam, pH 3.4–6.3). While alteration of pH for 37 years significantly affected crop production, it had no significant effect on total soil C and N or indigenous mineral N levels. This implies that at steady state, increased organic matter inputs to the soil are balanced by increased outputs of CO2. This is supported by the positive correlation between both plant productivity and intrinsic microbial respiration with soil pH. In addition, soil microbial biomass C and N, and nitrification were also significantly positively correlated with soil pH. Measurements of respiration following addition of urea and amino acids showed a significant decline in CO2 evolution with increasing soil acidity, whilst glucose mineralization showed no response to pH. In conclusion, it appears that changes in soil pH significantly affect soil microbial activity and the rate of soil C and N cycling. The evidence suggests that this response is partially indirect, being primarily linked to pH induced changes in net primary production and the availability of substrates. In addition, enhanced soil acidity may also act directly on the functioning of the microbial community itself.","author":[{"dropping-particle":"","family":"Kemmitt","given":"S","non-dropping-particle":"","parse-names":false,"suffix":""},{"dropping-particle":"","family":"Wright","given":"D","non-dropping-particle":"","parse-names":false,"suffix":""},{"dropping-particle":"","family":"Goulding","given":"K","non-dropping-particle":"","parse-names":false,"suffix":""},{"dropping-particle":"","family":"Jones","given":"D","non-dropping-particle":"","parse-names":false,"suffix":""}],"container-title":"Soil Biology and Biochemistry","id":"ITEM-1","issue":"5","issued":{"date-parts":[["2006","5"]]},"page":"898-911","title":"pH regulation of carbon and nitrogen dynamics in two agricultural soils","type":"article-journal","volume":"38"},"uris":["http://www.mendeley.com/documents/?uuid=34c91459-834a-4fe4-a99d-31b46cdd87f0"]}],"mendeley":{"formattedCitation":"&lt;sup&gt;29&lt;/sup&gt;","plainTextFormattedCitation":"29","previouslyFormattedCitation":"&lt;sup&gt;29&lt;/sup&gt;"},"properties":{"noteIndex":0},"schema":"https://github.com/citation-style-language/schema/raw/master/csl-citation.json"}</w:instrText>
      </w:r>
      <w:r w:rsidR="00D3311D">
        <w:fldChar w:fldCharType="separate"/>
      </w:r>
      <w:r w:rsidR="00CB44EE" w:rsidRPr="00CB44EE">
        <w:rPr>
          <w:noProof/>
          <w:vertAlign w:val="superscript"/>
        </w:rPr>
        <w:t>29</w:t>
      </w:r>
      <w:r w:rsidR="00D3311D">
        <w:fldChar w:fldCharType="end"/>
      </w:r>
      <w:r w:rsidR="00074B0A" w:rsidRPr="00860424">
        <w:t xml:space="preserve">. This organic matter rich layer was removed from the soil sample, but </w:t>
      </w:r>
      <w:r w:rsidR="00421081">
        <w:t>probably influenced</w:t>
      </w:r>
      <w:r w:rsidR="00074B0A" w:rsidRPr="00860424">
        <w:t xml:space="preserve"> P concentrations as indicated by our results</w:t>
      </w:r>
      <w:r w:rsidR="00232FBA">
        <w:t xml:space="preserve"> (Table </w:t>
      </w:r>
      <w:r w:rsidR="00580859">
        <w:t>2</w:t>
      </w:r>
      <w:r w:rsidR="00232FBA">
        <w:t>)</w:t>
      </w:r>
      <w:r w:rsidR="00074B0A" w:rsidRPr="00860424">
        <w:t xml:space="preserve">. </w:t>
      </w:r>
    </w:p>
    <w:p w14:paraId="71676548" w14:textId="02BD14F2" w:rsidR="00780128" w:rsidRPr="001A6926" w:rsidRDefault="00647888" w:rsidP="00E627AF">
      <w:pPr>
        <w:spacing w:line="360" w:lineRule="auto"/>
      </w:pPr>
      <w:r>
        <w:t>Higher</w:t>
      </w:r>
      <w:r w:rsidR="00074B0A" w:rsidRPr="00860424">
        <w:t xml:space="preserve"> </w:t>
      </w:r>
      <w:proofErr w:type="spellStart"/>
      <w:r w:rsidR="00997E15" w:rsidRPr="00860424">
        <w:t>NaOH</w:t>
      </w:r>
      <w:proofErr w:type="spellEnd"/>
      <w:r w:rsidR="00997E15" w:rsidRPr="00860424">
        <w:t>-EDTA Pi</w:t>
      </w:r>
      <w:r w:rsidR="00074B0A" w:rsidRPr="00860424">
        <w:t xml:space="preserve"> and </w:t>
      </w:r>
      <w:proofErr w:type="spellStart"/>
      <w:r w:rsidR="00997E15" w:rsidRPr="00860424">
        <w:t>NaOH</w:t>
      </w:r>
      <w:proofErr w:type="spellEnd"/>
      <w:r w:rsidR="00997E15" w:rsidRPr="00860424">
        <w:t xml:space="preserve">-EDTA </w:t>
      </w:r>
      <w:proofErr w:type="spellStart"/>
      <w:r w:rsidR="00074B0A" w:rsidRPr="00860424">
        <w:t>P</w:t>
      </w:r>
      <w:r w:rsidR="00074B0A" w:rsidRPr="00860424">
        <w:rPr>
          <w:vertAlign w:val="subscript"/>
        </w:rPr>
        <w:t>org</w:t>
      </w:r>
      <w:proofErr w:type="spellEnd"/>
      <w:r w:rsidR="005F4381">
        <w:rPr>
          <w:vertAlign w:val="subscript"/>
        </w:rPr>
        <w:t>,</w:t>
      </w:r>
      <w:r w:rsidR="00074B0A" w:rsidRPr="00860424">
        <w:t xml:space="preserve"> </w:t>
      </w:r>
      <w:r>
        <w:t xml:space="preserve">concentrations were associated with the application of fertiliser </w:t>
      </w:r>
      <w:r w:rsidR="00074B0A" w:rsidRPr="00860424">
        <w:t xml:space="preserve">and in general the </w:t>
      </w:r>
      <w:r w:rsidR="00997E15" w:rsidRPr="00860424">
        <w:t xml:space="preserve">NaOH-EDTA Pi </w:t>
      </w:r>
      <w:r w:rsidR="00074B0A" w:rsidRPr="00860424">
        <w:t>pool was greater than</w:t>
      </w:r>
      <w:r w:rsidR="00611E7C">
        <w:t xml:space="preserve"> the</w:t>
      </w:r>
      <w:r w:rsidR="00997E15" w:rsidRPr="00860424">
        <w:t xml:space="preserve"> </w:t>
      </w:r>
      <w:proofErr w:type="spellStart"/>
      <w:r w:rsidR="00997E15" w:rsidRPr="00860424">
        <w:t>NaOH</w:t>
      </w:r>
      <w:proofErr w:type="spellEnd"/>
      <w:r w:rsidR="00997E15" w:rsidRPr="00860424">
        <w:t>-EDTA</w:t>
      </w:r>
      <w:r w:rsidR="00074B0A" w:rsidRPr="00860424">
        <w:t xml:space="preserve"> </w:t>
      </w:r>
      <w:proofErr w:type="spellStart"/>
      <w:r w:rsidR="00074B0A" w:rsidRPr="00860424">
        <w:t>P</w:t>
      </w:r>
      <w:r w:rsidR="00074B0A" w:rsidRPr="00860424">
        <w:rPr>
          <w:vertAlign w:val="subscript"/>
        </w:rPr>
        <w:t>org</w:t>
      </w:r>
      <w:proofErr w:type="spellEnd"/>
      <w:r w:rsidR="00074B0A" w:rsidRPr="00860424">
        <w:t xml:space="preserve"> </w:t>
      </w:r>
      <w:r w:rsidR="00611E7C">
        <w:t xml:space="preserve">pool </w:t>
      </w:r>
      <w:r w:rsidR="00074B0A" w:rsidRPr="00860424">
        <w:t xml:space="preserve">within the fertilised treatments. This reflects the increased input of P to </w:t>
      </w:r>
      <w:r w:rsidR="00421081">
        <w:t>these</w:t>
      </w:r>
      <w:r w:rsidR="00421081" w:rsidRPr="00860424">
        <w:t xml:space="preserve"> </w:t>
      </w:r>
      <w:r w:rsidR="00074B0A" w:rsidRPr="00860424">
        <w:t>system</w:t>
      </w:r>
      <w:r w:rsidR="00421081">
        <w:t>s</w:t>
      </w:r>
      <w:r w:rsidR="005F4381">
        <w:t>,</w:t>
      </w:r>
      <w:r w:rsidR="00074B0A" w:rsidRPr="00860424">
        <w:t xml:space="preserve"> which is more readily stored as </w:t>
      </w:r>
      <w:r w:rsidR="00997E15" w:rsidRPr="00860424">
        <w:t xml:space="preserve">NaOH-EDTA Pi </w:t>
      </w:r>
      <w:r w:rsidR="00074B0A" w:rsidRPr="00860424">
        <w:t xml:space="preserve">than HCl P, as also indicated by the positive correlation between total P and </w:t>
      </w:r>
      <w:r w:rsidR="00997E15" w:rsidRPr="00860424">
        <w:t>NaOH-EDTA Pi</w:t>
      </w:r>
      <w:r w:rsidR="00074B0A" w:rsidRPr="00860424">
        <w:t xml:space="preserve"> (R</w:t>
      </w:r>
      <w:r w:rsidR="00074B0A" w:rsidRPr="00860424">
        <w:rPr>
          <w:vertAlign w:val="superscript"/>
        </w:rPr>
        <w:t>2</w:t>
      </w:r>
      <w:r w:rsidR="00074B0A" w:rsidRPr="00860424">
        <w:t xml:space="preserve"> = 0.96; data not shown). </w:t>
      </w:r>
      <w:r w:rsidR="00BD4208">
        <w:t>Changes in r</w:t>
      </w:r>
      <w:r w:rsidR="009A4560" w:rsidRPr="00860424">
        <w:t>esin and microbial P</w:t>
      </w:r>
      <w:r>
        <w:t xml:space="preserve"> </w:t>
      </w:r>
      <w:r w:rsidR="00611E7C">
        <w:t xml:space="preserve">concentrations </w:t>
      </w:r>
      <w:r>
        <w:t xml:space="preserve">as well as </w:t>
      </w:r>
      <w:proofErr w:type="spellStart"/>
      <w:r w:rsidRPr="00860424">
        <w:t>NaOH</w:t>
      </w:r>
      <w:proofErr w:type="spellEnd"/>
      <w:r w:rsidRPr="00860424">
        <w:t xml:space="preserve">-EDTA </w:t>
      </w:r>
      <w:proofErr w:type="spellStart"/>
      <w:r w:rsidRPr="00860424">
        <w:t>P</w:t>
      </w:r>
      <w:r w:rsidRPr="00860424">
        <w:rPr>
          <w:vertAlign w:val="subscript"/>
        </w:rPr>
        <w:t>org</w:t>
      </w:r>
      <w:proofErr w:type="spellEnd"/>
      <w:r w:rsidRPr="00860424">
        <w:t xml:space="preserve"> </w:t>
      </w:r>
      <w:r w:rsidR="009A4560" w:rsidRPr="00860424">
        <w:t>concentrations</w:t>
      </w:r>
      <w:r>
        <w:t xml:space="preserve"> were only slightly associated with the application of lime</w:t>
      </w:r>
      <w:r w:rsidR="009A4560" w:rsidRPr="00860424">
        <w:t xml:space="preserve">, but </w:t>
      </w:r>
      <w:r w:rsidR="00BD4208">
        <w:t>this</w:t>
      </w:r>
      <w:r w:rsidR="00BD4208" w:rsidRPr="00860424">
        <w:t xml:space="preserve"> </w:t>
      </w:r>
      <w:r w:rsidR="00BD4208">
        <w:t xml:space="preserve">did </w:t>
      </w:r>
      <w:r w:rsidR="009A4560" w:rsidRPr="00860424">
        <w:t xml:space="preserve">result in higher </w:t>
      </w:r>
      <w:r w:rsidR="00997E15" w:rsidRPr="00860424">
        <w:t>NaOH-EDTA Pi</w:t>
      </w:r>
      <w:r w:rsidR="009A4560" w:rsidRPr="00860424">
        <w:t xml:space="preserve"> concentrations in the +L treatments mainly in the upper 10cm. This is somewhat surprising as liming increased organic P mineralisation in previous studies </w:t>
      </w:r>
      <w:r w:rsidR="00F922AB">
        <w:fldChar w:fldCharType="begin" w:fldLock="1"/>
      </w:r>
      <w:r w:rsidR="00741C1A">
        <w:instrText>ADDIN CSL_CITATION {"citationItems":[{"id":"ITEM-1","itemData":{"DOI":"10.4141/cjss63-012","ISBN":"0008-4271","ISSN":"0008-4271","author":[{"dropping-particle":"","family":"Halstead","given":"R. L.","non-dropping-particle":"","parse-names":false,"suffix":""},{"dropping-particle":"","family":"Lapensee","given":"J. M.","non-dropping-particle":"","parse-names":false,"suffix":""},{"dropping-particle":"","family":"Ivarson","given":"K. C.","non-dropping-particle":"","parse-names":false,"suffix":""}],"container-title":"Canadian Journal of Soil Science","id":"ITEM-1","issue":"1","issued":{"date-parts":[["1963","1"]]},"page":"97-106","publisher":"NRC Research Press","title":"Mineralization of soil organic phosphorus with particular reference to the effect of lime","type":"article-journal","volume":"43"},"uris":["http://www.mendeley.com/documents/?uuid=8b526bd2-f207-4439-928b-d78c38f0e66c"]},{"id":"ITEM-2","itemData":{"DOI":"10.1016/0038-0717(91)90054-N","ISSN":"00380717","abstract":"Ca(OH)2 was added under laboratory conditions to an acid soil rich in organic matter and with variable charge surfaces, and the effects on phosphatase activity and extractable P fractions were studied. During 39 days of initial incubation at room temperature (until the various limed soil samples reached the desired pH values of pH 5.5, 6.0 or 6.5), there were decreases in phosphatase activity and bicarbonate-extractable Po that were greater the greater the dose of lime; during 9 weeks of subsequent incubation at 28°C, net P mineralization that was uncorrelated with phosphatase activity occurred in all samples. In the samples limed to pH 6.5, mineralization of organic P, especially HCO-3 Po and NaOH Po, was significantly greater than in less heavily limed and unlimed samples. © 1991.","author":[{"dropping-particle":"","family":"Trasar-Cepeda","given":"Ma.C.","non-dropping-particle":"","parse-names":false,"suffix":""},{"dropping-particle":"","family":"Carballas","given":"T.","non-dropping-particle":"","parse-names":false,"suffix":""},{"dropping-particle":"","family":"Gil-Sotres","given":"F.","non-dropping-particle":"","parse-names":false,"suffix":""},{"dropping-particle":"","family":"Blas","given":"E.","non-dropping-particle":"de","parse-names":false,"suffix":""}],"container-title":"Soil Biology and Biochemistry","id":"ITEM-2","issue":"3","issued":{"date-parts":[["1991","1"]]},"page":"209-215","title":"Liming and the phosphatase activity and mineralization of phosphorus in an andic soil","title-short":"Trasar-Cepeda, Carballas et al. 1991 – Liming and","type":"article-journal","volume":"23"},"uris":["http://www.mendeley.com/documents/?uuid=94f66f0f-417a-4867-b663-4dd9f386180f"]}],"mendeley":{"formattedCitation":"&lt;sup&gt;30,31&lt;/sup&gt;","plainTextFormattedCitation":"30,31","previouslyFormattedCitation":"&lt;sup&gt;30,31&lt;/sup&gt;"},"properties":{"noteIndex":0},"schema":"https://github.com/citation-style-language/schema/raw/master/csl-citation.json"}</w:instrText>
      </w:r>
      <w:r w:rsidR="00F922AB">
        <w:fldChar w:fldCharType="separate"/>
      </w:r>
      <w:r w:rsidR="00CB44EE" w:rsidRPr="00CB44EE">
        <w:rPr>
          <w:noProof/>
          <w:vertAlign w:val="superscript"/>
        </w:rPr>
        <w:t>30,31</w:t>
      </w:r>
      <w:r w:rsidR="00F922AB">
        <w:fldChar w:fldCharType="end"/>
      </w:r>
      <w:r w:rsidR="009A4560" w:rsidRPr="00860424">
        <w:t xml:space="preserve">, </w:t>
      </w:r>
      <w:r w:rsidR="005F4381">
        <w:t>although</w:t>
      </w:r>
      <w:r w:rsidR="005F4381" w:rsidRPr="00860424">
        <w:t xml:space="preserve"> </w:t>
      </w:r>
      <w:r w:rsidR="009A4560" w:rsidRPr="00860424">
        <w:t>more recent stud</w:t>
      </w:r>
      <w:r w:rsidR="00555774">
        <w:t>ies</w:t>
      </w:r>
      <w:r w:rsidR="009A4560" w:rsidRPr="00860424">
        <w:t xml:space="preserve"> </w:t>
      </w:r>
      <w:r w:rsidR="005F4381">
        <w:t xml:space="preserve">also </w:t>
      </w:r>
      <w:r w:rsidR="009A4560" w:rsidRPr="00860424">
        <w:t xml:space="preserve">found no </w:t>
      </w:r>
      <w:r w:rsidR="00555774">
        <w:t xml:space="preserve">or little </w:t>
      </w:r>
      <w:r w:rsidR="009A4560" w:rsidRPr="00860424">
        <w:t xml:space="preserve">effect of liming on organic P concentrations </w:t>
      </w:r>
      <w:r w:rsidR="00F922AB">
        <w:fldChar w:fldCharType="begin" w:fldLock="1"/>
      </w:r>
      <w:r w:rsidR="00741C1A">
        <w:instrText>ADDIN CSL_CITATION {"citationItems":[{"id":"ITEM-1","itemData":{"DOI":"10.1016/j.geoderma.2017.11.019","ISBN":"0016-7061","ISSN":"00167061","abstract":"Published laboratory studies suggest minimum solubility of soil phosphorus (P) in the pH range traditionally considered as the target for lime applications on agricultural land. However, the potential significance of these results for the timescale relevant in practical agriculture remains to demonstrate. We revisited four long-term (50–76years) agricultural lime experiments located on Quaternary deposits with topsoil texture ranging from silt loam to silty clay and initial pH between 5.0 and 6.0. Crop uptake data and desorption experiments in the laboratory indicated that liming enhanced the solubility of P added with fertiliser in the decades following the application of lime. An empirical mass-balance model demonstrated that changes in acetate-lactate extractable P (‘P-AL’), previously shown to be related to reactive phosphate adsorbed on soil mineral surfaces, was proportional to field P balances (fertiliser P – harvested P) and inversely proportional to the net proton load to the soil. Extraction data suggest that liming enhanced the incorporation of silica in non-crystalline sesquioxides, which in turn inhibited the conversion of fertiliser P into less extractable forms by migration of P to inside the oxides. Liming induced a lowering of the C/N ratio in one of the experiments, suggesting stimulated decomposition of soil organic matter. However, lime applications did not lead to a decline in the pool of soil organic P, as measured by the combustion method. Mass-balance considerations showed that changes in organic-matter input due to liming were unlikely to result in observable changes in the pool of soil organic P.","author":[{"dropping-particle":"","family":"Simonsson","given":"Magnus","non-dropping-particle":"","parse-names":false,"suffix":""},{"dropping-particle":"","family":"Östlund","given":"Anna","non-dropping-particle":"","parse-names":false,"suffix":""},{"dropping-particle":"","family":"Renfjäll","given":"Lina","non-dropping-particle":"","parse-names":false,"suffix":""},{"dropping-particle":"","family":"Sigtryggsson","given":"Christian","non-dropping-particle":"","parse-names":false,"suffix":""},{"dropping-particle":"","family":"Börjesson","given":"Gunnar","non-dropping-particle":"","parse-names":false,"suffix":""},{"dropping-particle":"","family":"Kätterer","given":"Thomas","non-dropping-particle":"","parse-names":false,"suffix":""}],"container-title":"Geoderma","id":"ITEM-1","issued":{"date-parts":[["2018","4"]]},"page":"208-219","title":"Pools and solubility of soil phosphorus as affected by liming in long-term agricultural field experiments","type":"article-journal","volume":"315"},"uris":["http://www.mendeley.com/documents/?uuid=0fd763a4-7643-4745-b6fa-a3c42448cd5e"]},{"id":"ITEM-2","itemData":{"DOI":"10.1111/ejss.12026","ISBN":"13510754","author":[{"dropping-particle":"","family":"Turner","given":"B L","non-dropping-particle":"","parse-names":false,"suffix":""},{"dropping-particle":"","family":"Blackwell","given":"M S A","non-dropping-particle":"","parse-names":false,"suffix":""}],"container-title":"European Journal of Soil Science","id":"ITEM-2","issue":"2","issued":{"date-parts":[["2013"]]},"page":"249-259","title":"Isolating the influence of pH on the amounts and forms of soil organic phosphorus","type":"article-journal","volume":"64"},"uris":["http://www.mendeley.com/documents/?uuid=414cfa06-7921-4fd7-be3b-5d8ba821a4da"]}],"mendeley":{"formattedCitation":"&lt;sup&gt;12,32&lt;/sup&gt;","plainTextFormattedCitation":"12,32","previouslyFormattedCitation":"&lt;sup&gt;12,32&lt;/sup&gt;"},"properties":{"noteIndex":0},"schema":"https://github.com/citation-style-language/schema/raw/master/csl-citation.json"}</w:instrText>
      </w:r>
      <w:r w:rsidR="00F922AB">
        <w:fldChar w:fldCharType="separate"/>
      </w:r>
      <w:r w:rsidR="00CB44EE" w:rsidRPr="00CB44EE">
        <w:rPr>
          <w:noProof/>
          <w:vertAlign w:val="superscript"/>
        </w:rPr>
        <w:t>12,32</w:t>
      </w:r>
      <w:r w:rsidR="00F922AB">
        <w:fldChar w:fldCharType="end"/>
      </w:r>
      <w:r w:rsidR="009A4560" w:rsidRPr="00860424">
        <w:t>. The +L treatments always had slightly higher HCl P concentrations compared to the -L treatments, which could be the result of the small Pi impurities in the lime. A concentration of  0.5 mg P g</w:t>
      </w:r>
      <w:r w:rsidR="009A4560" w:rsidRPr="00860424">
        <w:rPr>
          <w:vertAlign w:val="superscript"/>
        </w:rPr>
        <w:t>-1</w:t>
      </w:r>
      <w:r w:rsidR="009A4560" w:rsidRPr="00860424">
        <w:t xml:space="preserve"> lime, as found in the samples we analysed, is not unusual </w:t>
      </w:r>
      <w:r w:rsidR="00F922AB">
        <w:fldChar w:fldCharType="begin" w:fldLock="1"/>
      </w:r>
      <w:r w:rsidR="00741C1A">
        <w:instrText>ADDIN CSL_CITATION {"citationItems":[{"id":"ITEM-1","itemData":{"DOI":"10.1017/S0021859600059074","ISBN":"1469-5146","ISSN":"0021-8596","abstract":"Ninety-four British liming materials were examined. The contents of Ca, Mg, K, P, S, Sr, B, Fe, Mn, Zn, Cu, Co, Mo, Ni, Cd and Na in the acid-soluble fraction, and Mn, Cu, Co, Mo, Ni, Sr, Ti, Cr, Ga, Pb, Sn, V, Y, Zr and Ba in the acid-insoluble fraction were determined by chemical and spectrographic analysis. Water soluble nitrate was also determined.","author":[{"dropping-particle":"","family":"Chater","given":"Margaret","non-dropping-particle":"","parse-names":false,"suffix":""},{"dropping-particle":"","family":"Williams","given":"R. J. B.","non-dropping-particle":"","parse-names":false,"suffix":""}],"container-title":"The Journal of Agricultural Science","id":"ITEM-1","issue":"2","issued":{"date-parts":[["1974","4","27"]]},"page":"193-205","title":"The chemical composition of British agricultural liming materials","type":"article-journal","volume":"82"},"uris":["http://www.mendeley.com/documents/?uuid=215cb1cc-9d80-4d45-b9b9-bbbc3d0b9fa3"]}],"mendeley":{"formattedCitation":"&lt;sup&gt;33&lt;/sup&gt;","plainTextFormattedCitation":"33","previouslyFormattedCitation":"&lt;sup&gt;33&lt;/sup&gt;"},"properties":{"noteIndex":0},"schema":"https://github.com/citation-style-language/schema/raw/master/csl-citation.json"}</w:instrText>
      </w:r>
      <w:r w:rsidR="00F922AB">
        <w:fldChar w:fldCharType="separate"/>
      </w:r>
      <w:r w:rsidR="00CB44EE" w:rsidRPr="00CB44EE">
        <w:rPr>
          <w:noProof/>
          <w:vertAlign w:val="superscript"/>
        </w:rPr>
        <w:t>33</w:t>
      </w:r>
      <w:r w:rsidR="00F922AB">
        <w:fldChar w:fldCharType="end"/>
      </w:r>
      <w:r w:rsidR="009A4560" w:rsidRPr="00860424">
        <w:t xml:space="preserve">. The </w:t>
      </w:r>
      <w:r w:rsidR="00831935">
        <w:t>lower</w:t>
      </w:r>
      <w:r w:rsidR="00831935" w:rsidRPr="00860424">
        <w:t xml:space="preserve"> </w:t>
      </w:r>
      <w:r w:rsidR="009A4560" w:rsidRPr="00860424">
        <w:t xml:space="preserve">HCl P concentrations in the </w:t>
      </w:r>
      <w:r w:rsidR="00831935">
        <w:t>-</w:t>
      </w:r>
      <w:r w:rsidR="009A4560" w:rsidRPr="00860424">
        <w:t>L treatments might also result from the increased solubility of HCl</w:t>
      </w:r>
      <w:r w:rsidR="005A2622">
        <w:t xml:space="preserve"> P, i.e. mineral P</w:t>
      </w:r>
      <w:r w:rsidR="000472FB" w:rsidRPr="000472FB">
        <w:t xml:space="preserve"> </w:t>
      </w:r>
      <w:r w:rsidR="000472FB">
        <w:t>mainly</w:t>
      </w:r>
      <w:r w:rsidR="005A2622">
        <w:t>,</w:t>
      </w:r>
      <w:r w:rsidR="009A4560" w:rsidRPr="00860424">
        <w:t xml:space="preserve"> with decreasing pH</w:t>
      </w:r>
      <w:r w:rsidR="000218AC" w:rsidRPr="00860424">
        <w:t>.</w:t>
      </w:r>
      <w:bookmarkEnd w:id="4"/>
      <w:r w:rsidR="00A777A9">
        <w:rPr>
          <w:b/>
        </w:rPr>
        <w:t xml:space="preserve"> </w:t>
      </w:r>
      <w:r w:rsidR="00076D58" w:rsidRPr="00860424">
        <w:t xml:space="preserve">Decomposition of plant material leads to the release of </w:t>
      </w:r>
      <w:r w:rsidR="0063697C" w:rsidRPr="00860424">
        <w:t>Pi</w:t>
      </w:r>
      <w:r w:rsidR="00076D58" w:rsidRPr="00860424">
        <w:t xml:space="preserve"> (represented by TCA P in our study) to the soil. Plant TCA P can have distinct δ</w:t>
      </w:r>
      <w:r w:rsidR="00076D58" w:rsidRPr="00860424">
        <w:rPr>
          <w:vertAlign w:val="superscript"/>
        </w:rPr>
        <w:t>18</w:t>
      </w:r>
      <w:r w:rsidR="00076D58" w:rsidRPr="00860424">
        <w:t>O</w:t>
      </w:r>
      <w:r w:rsidR="00076D58" w:rsidRPr="00860424">
        <w:rPr>
          <w:vertAlign w:val="subscript"/>
        </w:rPr>
        <w:t>P</w:t>
      </w:r>
      <w:r w:rsidR="00076D58" w:rsidRPr="00860424">
        <w:t xml:space="preserve"> values </w:t>
      </w:r>
      <w:r w:rsidR="008E7648" w:rsidRPr="00860424">
        <w:t xml:space="preserve">compared to soil P pools </w:t>
      </w:r>
      <w:r w:rsidR="00076D58" w:rsidRPr="00860424">
        <w:t>and leave an imprint on the δ</w:t>
      </w:r>
      <w:r w:rsidR="00076D58" w:rsidRPr="00860424">
        <w:rPr>
          <w:vertAlign w:val="superscript"/>
        </w:rPr>
        <w:t>18</w:t>
      </w:r>
      <w:r w:rsidR="00076D58" w:rsidRPr="00860424">
        <w:t>O</w:t>
      </w:r>
      <w:r w:rsidR="00076D58" w:rsidRPr="00860424">
        <w:rPr>
          <w:vertAlign w:val="subscript"/>
        </w:rPr>
        <w:t>P</w:t>
      </w:r>
      <w:r w:rsidR="00076D58" w:rsidRPr="00860424">
        <w:t xml:space="preserve"> of soil P pools </w:t>
      </w:r>
      <w:r w:rsidR="00F922AB">
        <w:fldChar w:fldCharType="begin" w:fldLock="1"/>
      </w:r>
      <w:r w:rsidR="00CB44EE">
        <w:instrText>ADDIN CSL_CITATION {"citationItems":[{"id":"ITEM-1","itemData":{"DOI":"10.1021/es300311h","ISBN":"0013-936X","ISSN":"0013936X","abstract":"Phosphorus (P) is considered the ultimate limiting nutrient for plants in most natural systems and changes in the distribution of inorganic and organic P forms during soil development have been well documented. In particular, microbial activity has been shown to be an important control on P cycling but its contribution in building up the pool of plant-available P during soil development is still poorly quantified. To determine the importance of different biological processes on P cycling, we analyzed the isotopic composition of oxygen in phosphate (δ 18 O-Pi) from the parent material, soil microorganisms, the available P pool, and from the vegetation along a 150-year soil chronosequence of a glacier forefield. Our results show that at all sites, δ 18 O-Pi of microbial Pi is within the range expected for the temperature-dependent equilibrium between phosphate and water. In addition, the isotopic signature of available Pi is close to the signature of microbial Pi, independently of the contribution of parent material Pi, vegetation Pi or Pi released from organic matter mineralization. Thus, we show that phosphate is cycled through soil microorganisms before being released to the available pool. This isotopic approach demonstrates for the first time in the field and over long time scales, and not only through controlled experiments, the role of the microbial activity in cycling of P in soils. © 2012 American Chemical Society.","author":[{"dropping-particle":"","family":"Tamburini","given":"Federica","non-dropping-particle":"","parse-names":false,"suffix":""},{"dropping-particle":"","family":"Pfahler","given":"Verena","non-dropping-particle":"","parse-names":false,"suffix":""},{"dropping-particle":"","family":"Bünemann","given":"Else K","non-dropping-particle":"","parse-names":false,"suffix":""},{"dropping-particle":"","family":"Guelland","given":"Kathi","non-dropping-particle":"","parse-names":false,"suffix":""},{"dropping-particle":"","family":"Bernasconi","given":"Stefano M","non-dropping-particle":"","parse-names":false,"suffix":""},{"dropping-particle":"","family":"Frossard","given":"Emmanuel","non-dropping-particle":"","parse-names":false,"suffix":""}],"container-title":"Environmental Science &amp; Technology","id":"ITEM-1","issue":"11","issued":{"date-parts":[["2012"]]},"page":"5956-5962","publisher":"American Chemical Society","title":"Oxygen isotopes unravel the role of microorganisms in phosphate cycling in soils","type":"article-journal","volume":"46"},"uris":["http://www.mendeley.com/documents/?uuid=ca634f93-349c-4dff-bc1a-85a17323e9b1"]}],"mendeley":{"formattedCitation":"&lt;sup&gt;23&lt;/sup&gt;","plainTextFormattedCitation":"23","previouslyFormattedCitation":"&lt;sup&gt;23&lt;/sup&gt;"},"properties":{"noteIndex":0},"schema":"https://github.com/citation-style-language/schema/raw/master/csl-citation.json"}</w:instrText>
      </w:r>
      <w:r w:rsidR="00F922AB">
        <w:fldChar w:fldCharType="separate"/>
      </w:r>
      <w:r w:rsidR="00667D65" w:rsidRPr="00667D65">
        <w:rPr>
          <w:noProof/>
          <w:vertAlign w:val="superscript"/>
        </w:rPr>
        <w:t>23</w:t>
      </w:r>
      <w:r w:rsidR="00F922AB">
        <w:fldChar w:fldCharType="end"/>
      </w:r>
      <w:r w:rsidR="00076D58" w:rsidRPr="00860424">
        <w:t xml:space="preserve">. </w:t>
      </w:r>
      <w:r w:rsidR="00BD4208">
        <w:t>Changes in t</w:t>
      </w:r>
      <w:r w:rsidR="001C0627" w:rsidRPr="00860424">
        <w:rPr>
          <w:rStyle w:val="Emphasis"/>
          <w:i w:val="0"/>
        </w:rPr>
        <w:t xml:space="preserve">he TCA P </w:t>
      </w:r>
      <w:bookmarkStart w:id="5" w:name="_Hlk516130394"/>
      <w:r w:rsidR="00A95680" w:rsidRPr="00860424">
        <w:rPr>
          <w:rStyle w:val="Emphasis"/>
          <w:rFonts w:cs="Times New Roman"/>
          <w:i w:val="0"/>
        </w:rPr>
        <w:t>δ</w:t>
      </w:r>
      <w:r w:rsidR="001C0627" w:rsidRPr="00860424">
        <w:rPr>
          <w:rStyle w:val="Emphasis"/>
          <w:i w:val="0"/>
          <w:vertAlign w:val="superscript"/>
        </w:rPr>
        <w:t>18</w:t>
      </w:r>
      <w:r w:rsidR="001C0627" w:rsidRPr="00860424">
        <w:rPr>
          <w:rStyle w:val="Emphasis"/>
          <w:i w:val="0"/>
        </w:rPr>
        <w:t>O</w:t>
      </w:r>
      <w:r w:rsidR="001C0627" w:rsidRPr="00860424">
        <w:rPr>
          <w:rStyle w:val="Emphasis"/>
          <w:i w:val="0"/>
          <w:vertAlign w:val="subscript"/>
        </w:rPr>
        <w:t>P</w:t>
      </w:r>
      <w:bookmarkEnd w:id="5"/>
      <w:r w:rsidR="001C0627" w:rsidRPr="00860424">
        <w:rPr>
          <w:rStyle w:val="Emphasis"/>
          <w:i w:val="0"/>
        </w:rPr>
        <w:t xml:space="preserve"> of the vegetation was not </w:t>
      </w:r>
      <w:r>
        <w:rPr>
          <w:rStyle w:val="Emphasis"/>
          <w:i w:val="0"/>
        </w:rPr>
        <w:t>associated with</w:t>
      </w:r>
      <w:r w:rsidR="001C0627" w:rsidRPr="00860424">
        <w:rPr>
          <w:rStyle w:val="Emphasis"/>
          <w:i w:val="0"/>
        </w:rPr>
        <w:t xml:space="preserve"> the application of lime or </w:t>
      </w:r>
      <w:r w:rsidR="0063697C" w:rsidRPr="00860424">
        <w:rPr>
          <w:rStyle w:val="Emphasis"/>
          <w:i w:val="0"/>
        </w:rPr>
        <w:t xml:space="preserve">N </w:t>
      </w:r>
      <w:r w:rsidR="00FD413D" w:rsidRPr="00860424">
        <w:rPr>
          <w:rStyle w:val="Emphasis"/>
          <w:i w:val="0"/>
        </w:rPr>
        <w:t xml:space="preserve">within the treatments </w:t>
      </w:r>
      <w:r w:rsidR="001C0627" w:rsidRPr="00860424">
        <w:rPr>
          <w:rStyle w:val="Emphasis"/>
          <w:i w:val="0"/>
        </w:rPr>
        <w:t xml:space="preserve">and therefore seems to represent an </w:t>
      </w:r>
      <w:r w:rsidR="00BD4208">
        <w:rPr>
          <w:rStyle w:val="Emphasis"/>
          <w:i w:val="0"/>
        </w:rPr>
        <w:t>impact</w:t>
      </w:r>
      <w:r w:rsidR="00BD4208" w:rsidRPr="00860424">
        <w:rPr>
          <w:rStyle w:val="Emphasis"/>
          <w:i w:val="0"/>
        </w:rPr>
        <w:t xml:space="preserve"> </w:t>
      </w:r>
      <w:r w:rsidR="001C0627" w:rsidRPr="00860424">
        <w:rPr>
          <w:rStyle w:val="Emphasis"/>
          <w:i w:val="0"/>
        </w:rPr>
        <w:t xml:space="preserve">of P </w:t>
      </w:r>
      <w:r w:rsidR="007E6D22" w:rsidRPr="00860424">
        <w:rPr>
          <w:rStyle w:val="Emphasis"/>
          <w:i w:val="0"/>
        </w:rPr>
        <w:t>fertili</w:t>
      </w:r>
      <w:r w:rsidR="0063697C" w:rsidRPr="00860424">
        <w:rPr>
          <w:rStyle w:val="Emphasis"/>
          <w:i w:val="0"/>
        </w:rPr>
        <w:t>s</w:t>
      </w:r>
      <w:r w:rsidR="007E6D22" w:rsidRPr="00860424">
        <w:rPr>
          <w:rStyle w:val="Emphasis"/>
          <w:i w:val="0"/>
        </w:rPr>
        <w:t>ation</w:t>
      </w:r>
      <w:r w:rsidR="00A95680" w:rsidRPr="00860424">
        <w:rPr>
          <w:rStyle w:val="Emphasis"/>
          <w:i w:val="0"/>
        </w:rPr>
        <w:t>. This</w:t>
      </w:r>
      <w:r w:rsidR="00A95680" w:rsidRPr="00860424">
        <w:t xml:space="preserve"> </w:t>
      </w:r>
      <w:r w:rsidR="00DF3824" w:rsidRPr="00860424">
        <w:t>d</w:t>
      </w:r>
      <w:r w:rsidR="00DF3824">
        <w:t xml:space="preserve">ecrease in TCA P </w:t>
      </w:r>
      <w:r w:rsidR="00DF3824" w:rsidRPr="008F3C99">
        <w:rPr>
          <w:rFonts w:cs="Times New Roman"/>
        </w:rPr>
        <w:t>δ</w:t>
      </w:r>
      <w:r w:rsidR="00DF3824" w:rsidRPr="008F3C99">
        <w:rPr>
          <w:rFonts w:cs="Times New Roman"/>
          <w:vertAlign w:val="superscript"/>
        </w:rPr>
        <w:t>18</w:t>
      </w:r>
      <w:r w:rsidR="00DF3824" w:rsidRPr="008F3C99">
        <w:rPr>
          <w:rFonts w:cs="Times New Roman"/>
        </w:rPr>
        <w:t>O</w:t>
      </w:r>
      <w:r w:rsidR="00DF3824" w:rsidRPr="008F3C99">
        <w:rPr>
          <w:rFonts w:cs="Times New Roman"/>
          <w:vertAlign w:val="subscript"/>
        </w:rPr>
        <w:t>P</w:t>
      </w:r>
      <w:r w:rsidR="00DF3824">
        <w:t xml:space="preserve"> values from the P fertilised treatments (-N+P-L, -N+P+L, +N+P-L, and +N+P+L; </w:t>
      </w:r>
      <w:r w:rsidR="00DF3824" w:rsidRPr="00860424">
        <w:t>21.2 - 22.9</w:t>
      </w:r>
      <w:r w:rsidR="00DF3824" w:rsidRPr="00860424">
        <w:rPr>
          <w:rFonts w:cs="Times New Roman"/>
        </w:rPr>
        <w:t>‰</w:t>
      </w:r>
      <w:r w:rsidR="00DF3824" w:rsidRPr="00860424">
        <w:t xml:space="preserve">) </w:t>
      </w:r>
      <w:r w:rsidR="00BD4208">
        <w:t xml:space="preserve">relative </w:t>
      </w:r>
      <w:r w:rsidR="00DF3824">
        <w:t>to</w:t>
      </w:r>
      <w:r w:rsidR="004D653E" w:rsidRPr="00860424">
        <w:t xml:space="preserve"> the control</w:t>
      </w:r>
      <w:r w:rsidR="00184EF3" w:rsidRPr="00860424">
        <w:t xml:space="preserve"> (16.3 – 16.4</w:t>
      </w:r>
      <w:r w:rsidR="00184EF3" w:rsidRPr="00860424">
        <w:rPr>
          <w:rFonts w:cs="Times New Roman"/>
        </w:rPr>
        <w:t>‰)</w:t>
      </w:r>
      <w:r w:rsidR="004D653E" w:rsidRPr="00860424">
        <w:t xml:space="preserve"> </w:t>
      </w:r>
      <w:r w:rsidR="00780128" w:rsidRPr="00860424">
        <w:t xml:space="preserve">is most likely caused by an increase in leaf acid phosphatase </w:t>
      </w:r>
      <w:r w:rsidR="0063697C" w:rsidRPr="00860424">
        <w:t>activity</w:t>
      </w:r>
      <w:r w:rsidR="00DF3824">
        <w:t xml:space="preserve"> in the control</w:t>
      </w:r>
      <w:r w:rsidR="0063697C" w:rsidRPr="00860424">
        <w:t xml:space="preserve">, </w:t>
      </w:r>
      <w:r w:rsidR="00A95680" w:rsidRPr="00860424">
        <w:t>which</w:t>
      </w:r>
      <w:r w:rsidR="0063697C" w:rsidRPr="00860424">
        <w:t xml:space="preserve"> </w:t>
      </w:r>
      <w:r w:rsidR="007E6D22" w:rsidRPr="00860424">
        <w:t>hydrolyses</w:t>
      </w:r>
      <w:r w:rsidR="00A95680" w:rsidRPr="00860424">
        <w:t xml:space="preserve"> organic P with</w:t>
      </w:r>
      <w:r w:rsidR="00780128" w:rsidRPr="00860424">
        <w:t>in the leaves</w:t>
      </w:r>
      <w:r w:rsidR="00A95680" w:rsidRPr="00860424">
        <w:t xml:space="preserve"> producing </w:t>
      </w:r>
      <w:r w:rsidR="00A95680" w:rsidRPr="00860424">
        <w:rPr>
          <w:vertAlign w:val="superscript"/>
        </w:rPr>
        <w:t>18</w:t>
      </w:r>
      <w:r w:rsidR="00A95680" w:rsidRPr="00860424">
        <w:t>O depleted Pi</w:t>
      </w:r>
      <w:r w:rsidR="005A2622">
        <w:t xml:space="preserve">, which </w:t>
      </w:r>
      <w:r w:rsidR="00BD4208">
        <w:t xml:space="preserve">then </w:t>
      </w:r>
      <w:r w:rsidR="005A2622">
        <w:t>becomes part of the TCA P</w:t>
      </w:r>
      <w:r w:rsidR="00780128" w:rsidRPr="00860424">
        <w:t xml:space="preserve"> </w:t>
      </w:r>
      <w:r w:rsidR="00F922AB">
        <w:fldChar w:fldCharType="begin" w:fldLock="1"/>
      </w:r>
      <w:r w:rsidR="00741C1A">
        <w:instrText>ADDIN CSL_CITATION {"citationItems":[{"id":"ITEM-1","itemData":{"DOI":"10.1186/s13007-017-0227-x","ISBN":"1746-4811","ISSN":"1746-4811","abstract":"© 2017 The Author(s). Background: Changing the phosphorus (P) nutrition leads to changes in plant metabolism. The aim of this study was to investigate how these changes are reflected in the distribution of 33 P and the isotopic composition of oxygen associated to P (δ 18 O P ) in different plant parts of soybean (Glycine max cv. Toliman). Two P pools were extracted sequentially with 0.3 M trichloroacetic acid (TCA P) and 10 M nitric acid (HNO 3 ; residual P). Results: The δ 18 O P of TCA P in the old leaves of the - P plants (23.8‰) significantly decreased compared to the + P plants (27.4‰). The 33 P data point to an enhanced mobilisation of P from residual P in the old leaves of the - P plants compared to the + P plants. Conclusions: Omitting P for 10 days lead to a translocation of P from source to sink organs in soybeans. This was accompanied by a significant lowering of the δ 18 O P of TCA P in the source organs due to the enzymatic hydrolysis of organic P. Combining 33 P and δ 18 O P can provide useful insights in plant responses to P omission at an early stage.","author":[{"dropping-particle":"","family":"Pfahler","given":"Verena","non-dropping-particle":"","parse-names":false,"suffix":""},{"dropping-particle":"","family":"Tamburini","given":"Federica","non-dropping-particle":"","parse-names":false,"suffix":""},{"dropping-particle":"","family":"Bernasconi","given":"Stefano M.","non-dropping-particle":"","parse-names":false,"suffix":""},{"dropping-particle":"","family":"Frossard","given":"Emmanuel","non-dropping-particle":"","parse-names":false,"suffix":""}],"container-title":"Plant Methods","id":"ITEM-1","issue":"75","issued":{"date-parts":[["2017","12","25"]]},"title":"A dual isotopic approach using radioactive phosphorus and the isotopic composition of oxygen associated to phosphorus to understand plant reaction to a change in P nutrition","type":"article-journal","volume":"13"},"uris":["http://www.mendeley.com/documents/?uuid=3bfd7e03-4fcf-4e0f-b82b-5863d7ac3c95"]}],"mendeley":{"formattedCitation":"&lt;sup&gt;34&lt;/sup&gt;","plainTextFormattedCitation":"34","previouslyFormattedCitation":"&lt;sup&gt;34&lt;/sup&gt;"},"properties":{"noteIndex":0},"schema":"https://github.com/citation-style-language/schema/raw/master/csl-citation.json"}</w:instrText>
      </w:r>
      <w:r w:rsidR="00F922AB">
        <w:fldChar w:fldCharType="separate"/>
      </w:r>
      <w:r w:rsidR="00CB44EE" w:rsidRPr="00CB44EE">
        <w:rPr>
          <w:noProof/>
          <w:vertAlign w:val="superscript"/>
        </w:rPr>
        <w:t>34</w:t>
      </w:r>
      <w:r w:rsidR="00F922AB">
        <w:fldChar w:fldCharType="end"/>
      </w:r>
      <w:r w:rsidR="00780128" w:rsidRPr="00860424">
        <w:t>.</w:t>
      </w:r>
      <w:r w:rsidR="008E7648" w:rsidRPr="00860424">
        <w:t xml:space="preserve"> </w:t>
      </w:r>
    </w:p>
    <w:p w14:paraId="7CF37D10" w14:textId="7117624B" w:rsidR="00311CDA" w:rsidRDefault="003C1710" w:rsidP="00E627AF">
      <w:pPr>
        <w:spacing w:line="360" w:lineRule="auto"/>
      </w:pPr>
      <w:r w:rsidRPr="00860424">
        <w:t>The δ</w:t>
      </w:r>
      <w:r w:rsidRPr="00860424">
        <w:rPr>
          <w:vertAlign w:val="superscript"/>
        </w:rPr>
        <w:t>18</w:t>
      </w:r>
      <w:r w:rsidRPr="00860424">
        <w:t>O</w:t>
      </w:r>
      <w:r w:rsidRPr="00860424">
        <w:rPr>
          <w:vertAlign w:val="subscript"/>
        </w:rPr>
        <w:t>P</w:t>
      </w:r>
      <w:r w:rsidRPr="00860424">
        <w:t xml:space="preserve"> of the soil P pools varied </w:t>
      </w:r>
      <w:r w:rsidR="004E21B6">
        <w:t>little</w:t>
      </w:r>
      <w:r w:rsidRPr="00860424">
        <w:t xml:space="preserve"> with depth (Table </w:t>
      </w:r>
      <w:r w:rsidR="00580859">
        <w:t>3</w:t>
      </w:r>
      <w:r w:rsidRPr="00860424">
        <w:t>)</w:t>
      </w:r>
      <w:r w:rsidR="000218AC" w:rsidRPr="00860424">
        <w:t xml:space="preserve">. </w:t>
      </w:r>
      <w:r w:rsidR="00842A9D" w:rsidRPr="00860424">
        <w:t>This contrasts with the P concentrations</w:t>
      </w:r>
      <w:r w:rsidR="00931433" w:rsidRPr="00860424">
        <w:t xml:space="preserve"> and soil water </w:t>
      </w:r>
      <w:r w:rsidR="00931433" w:rsidRPr="00860424">
        <w:rPr>
          <w:rFonts w:cs="Times New Roman"/>
        </w:rPr>
        <w:t>δ</w:t>
      </w:r>
      <w:r w:rsidR="00931433" w:rsidRPr="00860424">
        <w:rPr>
          <w:rFonts w:cs="Times New Roman"/>
          <w:vertAlign w:val="superscript"/>
        </w:rPr>
        <w:t>18</w:t>
      </w:r>
      <w:r w:rsidR="00931433" w:rsidRPr="00860424">
        <w:rPr>
          <w:rFonts w:cs="Times New Roman"/>
        </w:rPr>
        <w:t>O</w:t>
      </w:r>
      <w:r w:rsidR="00931433" w:rsidRPr="00860424">
        <w:rPr>
          <w:rFonts w:cs="Times New Roman"/>
          <w:vertAlign w:val="subscript"/>
        </w:rPr>
        <w:t xml:space="preserve">H2O </w:t>
      </w:r>
      <w:r w:rsidR="00931433" w:rsidRPr="00860424">
        <w:t>values</w:t>
      </w:r>
      <w:r w:rsidR="00842A9D" w:rsidRPr="00860424">
        <w:t>, which show a depth profile. Soil temperatures were low (around 4</w:t>
      </w:r>
      <w:r w:rsidR="00842A9D" w:rsidRPr="00860424">
        <w:rPr>
          <w:rFonts w:cs="Times New Roman"/>
        </w:rPr>
        <w:t>˚</w:t>
      </w:r>
      <w:r w:rsidR="00842A9D" w:rsidRPr="00860424">
        <w:t>C) at the time of sampling and might have impacted biological activity and mineralization rates. As biological activity is considered a main driver of changes in δ</w:t>
      </w:r>
      <w:r w:rsidR="00842A9D" w:rsidRPr="00860424">
        <w:rPr>
          <w:vertAlign w:val="superscript"/>
        </w:rPr>
        <w:t>18</w:t>
      </w:r>
      <w:r w:rsidR="00842A9D" w:rsidRPr="00860424">
        <w:t>O</w:t>
      </w:r>
      <w:r w:rsidR="00842A9D" w:rsidRPr="00860424">
        <w:rPr>
          <w:vertAlign w:val="subscript"/>
        </w:rPr>
        <w:t>P</w:t>
      </w:r>
      <w:r w:rsidR="00842A9D" w:rsidRPr="00860424">
        <w:t xml:space="preserve"> values, this could explain the lack of a depth gradient. </w:t>
      </w:r>
      <w:r w:rsidRPr="00860424">
        <w:t xml:space="preserve">As </w:t>
      </w:r>
      <w:r w:rsidR="00647888">
        <w:t xml:space="preserve">the </w:t>
      </w:r>
      <w:r w:rsidR="00647888" w:rsidRPr="008F3C99">
        <w:rPr>
          <w:rFonts w:cs="Times New Roman"/>
        </w:rPr>
        <w:t>δ</w:t>
      </w:r>
      <w:r w:rsidR="00647888" w:rsidRPr="008F3C99">
        <w:rPr>
          <w:rFonts w:cs="Times New Roman"/>
          <w:vertAlign w:val="superscript"/>
        </w:rPr>
        <w:t>18</w:t>
      </w:r>
      <w:r w:rsidR="00647888" w:rsidRPr="008F3C99">
        <w:rPr>
          <w:rFonts w:cs="Times New Roman"/>
        </w:rPr>
        <w:t>O</w:t>
      </w:r>
      <w:r w:rsidR="00647888" w:rsidRPr="008F3C99">
        <w:rPr>
          <w:rFonts w:cs="Times New Roman"/>
          <w:vertAlign w:val="subscript"/>
        </w:rPr>
        <w:t>P</w:t>
      </w:r>
      <w:r w:rsidR="00647888">
        <w:t xml:space="preserve"> was not associated with changes of the sampling </w:t>
      </w:r>
      <w:r w:rsidRPr="00860424">
        <w:t>depth within the soil profile</w:t>
      </w:r>
      <w:r w:rsidR="004E21B6">
        <w:t>,</w:t>
      </w:r>
      <w:r w:rsidRPr="00860424">
        <w:t xml:space="preserve"> the mean of the three depth value</w:t>
      </w:r>
      <w:r w:rsidR="00FD4734" w:rsidRPr="00860424">
        <w:t>s</w:t>
      </w:r>
      <w:r w:rsidRPr="00860424">
        <w:t xml:space="preserve"> </w:t>
      </w:r>
      <w:r w:rsidR="00FD4734" w:rsidRPr="00860424">
        <w:t xml:space="preserve">are </w:t>
      </w:r>
      <w:r w:rsidRPr="00860424">
        <w:t xml:space="preserve">used </w:t>
      </w:r>
      <w:r w:rsidR="000958F2">
        <w:t>in the further discussion</w:t>
      </w:r>
      <w:r w:rsidR="00D27C2E" w:rsidRPr="00860424">
        <w:t xml:space="preserve"> (Table </w:t>
      </w:r>
      <w:r w:rsidR="00580859">
        <w:t>4</w:t>
      </w:r>
      <w:r w:rsidR="00D27C2E" w:rsidRPr="00860424">
        <w:t>)</w:t>
      </w:r>
      <w:r w:rsidRPr="00860424">
        <w:t>.</w:t>
      </w:r>
      <w:r w:rsidR="000958F2">
        <w:t xml:space="preserve"> Hexanol P </w:t>
      </w:r>
      <w:r w:rsidR="000958F2" w:rsidRPr="008F3C99">
        <w:rPr>
          <w:rFonts w:cs="Times New Roman"/>
        </w:rPr>
        <w:t>δ</w:t>
      </w:r>
      <w:r w:rsidR="000958F2" w:rsidRPr="008F3C99">
        <w:rPr>
          <w:rFonts w:cs="Times New Roman"/>
          <w:vertAlign w:val="superscript"/>
        </w:rPr>
        <w:t>18</w:t>
      </w:r>
      <w:r w:rsidR="000958F2" w:rsidRPr="008F3C99">
        <w:rPr>
          <w:rFonts w:cs="Times New Roman"/>
        </w:rPr>
        <w:t>O</w:t>
      </w:r>
      <w:r w:rsidR="000958F2" w:rsidRPr="008F3C99">
        <w:rPr>
          <w:rFonts w:cs="Times New Roman"/>
          <w:vertAlign w:val="subscript"/>
        </w:rPr>
        <w:t>P</w:t>
      </w:r>
      <w:r w:rsidR="000958F2">
        <w:t xml:space="preserve"> values for the fertilised treatments are not given in Table </w:t>
      </w:r>
      <w:r w:rsidR="00580859">
        <w:t>4</w:t>
      </w:r>
      <w:r w:rsidR="005A2622">
        <w:t xml:space="preserve"> </w:t>
      </w:r>
      <w:r w:rsidR="000958F2">
        <w:t>as they are not relevant for the discussion.</w:t>
      </w:r>
    </w:p>
    <w:p w14:paraId="53F5F45F" w14:textId="5758FEA5" w:rsidR="007F529E" w:rsidRPr="00860424" w:rsidRDefault="007F529E" w:rsidP="00E627AF">
      <w:pPr>
        <w:spacing w:line="360" w:lineRule="auto"/>
      </w:pPr>
      <w:r>
        <w:lastRenderedPageBreak/>
        <w:t>Table 4</w:t>
      </w:r>
    </w:p>
    <w:p w14:paraId="7AF364A6" w14:textId="374BB890" w:rsidR="00F80ACD" w:rsidRPr="00860424" w:rsidRDefault="0098282D" w:rsidP="00E627AF">
      <w:pPr>
        <w:spacing w:line="360" w:lineRule="auto"/>
      </w:pPr>
      <w:r w:rsidRPr="00860424">
        <w:t>Hexanol P δ</w:t>
      </w:r>
      <w:r w:rsidRPr="00860424">
        <w:rPr>
          <w:vertAlign w:val="superscript"/>
        </w:rPr>
        <w:t>18</w:t>
      </w:r>
      <w:r w:rsidRPr="00860424">
        <w:t>O</w:t>
      </w:r>
      <w:r w:rsidRPr="00860424">
        <w:rPr>
          <w:vertAlign w:val="subscript"/>
        </w:rPr>
        <w:t>P</w:t>
      </w:r>
      <w:r w:rsidRPr="00860424">
        <w:t xml:space="preserve"> from the </w:t>
      </w:r>
      <w:r w:rsidR="00997E15" w:rsidRPr="00860424">
        <w:t xml:space="preserve">-N-P </w:t>
      </w:r>
      <w:r w:rsidRPr="00860424">
        <w:t>treatments (an approximation for microbial P; mean 13.5 and 14.8</w:t>
      </w:r>
      <w:r w:rsidRPr="00860424">
        <w:rPr>
          <w:rFonts w:cs="Times New Roman"/>
        </w:rPr>
        <w:t>‰</w:t>
      </w:r>
      <w:r w:rsidRPr="00860424">
        <w:t>, +L and -L respectively) were between 3.4 and 7.2</w:t>
      </w:r>
      <w:r w:rsidRPr="00860424">
        <w:rPr>
          <w:rFonts w:cs="Times New Roman"/>
        </w:rPr>
        <w:t>‰</w:t>
      </w:r>
      <w:r w:rsidRPr="00860424">
        <w:t xml:space="preserve"> </w:t>
      </w:r>
      <w:r w:rsidR="00DB7B58">
        <w:t>lower</w:t>
      </w:r>
      <w:r w:rsidR="00DB7B58" w:rsidRPr="00860424">
        <w:t xml:space="preserve"> </w:t>
      </w:r>
      <w:r w:rsidRPr="00860424">
        <w:t>than equilibrium</w:t>
      </w:r>
      <w:r w:rsidR="00DB7B58">
        <w:t>,</w:t>
      </w:r>
      <w:r w:rsidR="00A5312F" w:rsidRPr="00860424">
        <w:t xml:space="preserve"> and lower than any other </w:t>
      </w:r>
      <w:r w:rsidR="00A5312F" w:rsidRPr="00860424">
        <w:rPr>
          <w:rFonts w:cs="Times New Roman"/>
        </w:rPr>
        <w:t>δ</w:t>
      </w:r>
      <w:r w:rsidR="00A5312F" w:rsidRPr="00860424">
        <w:rPr>
          <w:rFonts w:cs="Times New Roman"/>
          <w:vertAlign w:val="superscript"/>
        </w:rPr>
        <w:t>18</w:t>
      </w:r>
      <w:r w:rsidR="00A5312F" w:rsidRPr="00860424">
        <w:rPr>
          <w:rFonts w:cs="Times New Roman"/>
        </w:rPr>
        <w:t>O</w:t>
      </w:r>
      <w:r w:rsidR="00A5312F" w:rsidRPr="00860424">
        <w:rPr>
          <w:rFonts w:cs="Times New Roman"/>
          <w:vertAlign w:val="subscript"/>
        </w:rPr>
        <w:t>P</w:t>
      </w:r>
      <w:r w:rsidR="00A5312F" w:rsidRPr="00860424">
        <w:t xml:space="preserve"> values in our study</w:t>
      </w:r>
      <w:r w:rsidRPr="00860424">
        <w:t xml:space="preserve">. </w:t>
      </w:r>
      <w:r w:rsidR="00C5218C">
        <w:t>Mi</w:t>
      </w:r>
      <w:r w:rsidRPr="00860424">
        <w:t>crobial P δ</w:t>
      </w:r>
      <w:r w:rsidRPr="00860424">
        <w:rPr>
          <w:vertAlign w:val="superscript"/>
        </w:rPr>
        <w:t>18</w:t>
      </w:r>
      <w:r w:rsidRPr="00860424">
        <w:t>O</w:t>
      </w:r>
      <w:r w:rsidRPr="00860424">
        <w:rPr>
          <w:vertAlign w:val="subscript"/>
        </w:rPr>
        <w:t>P</w:t>
      </w:r>
      <w:r w:rsidR="00C5218C">
        <w:rPr>
          <w:vertAlign w:val="subscript"/>
        </w:rPr>
        <w:t xml:space="preserve"> </w:t>
      </w:r>
      <w:r w:rsidR="00C5218C">
        <w:t xml:space="preserve">values, approximated in our study by hexanol P </w:t>
      </w:r>
      <w:r w:rsidR="00C5218C" w:rsidRPr="008F3C99">
        <w:rPr>
          <w:rFonts w:cs="Times New Roman"/>
        </w:rPr>
        <w:t>δ</w:t>
      </w:r>
      <w:r w:rsidR="00C5218C" w:rsidRPr="008F3C99">
        <w:rPr>
          <w:rFonts w:cs="Times New Roman"/>
          <w:vertAlign w:val="superscript"/>
        </w:rPr>
        <w:t>18</w:t>
      </w:r>
      <w:r w:rsidR="00C5218C" w:rsidRPr="008F3C99">
        <w:rPr>
          <w:rFonts w:cs="Times New Roman"/>
        </w:rPr>
        <w:t>O</w:t>
      </w:r>
      <w:r w:rsidR="00C5218C" w:rsidRPr="008F3C99">
        <w:rPr>
          <w:rFonts w:cs="Times New Roman"/>
          <w:vertAlign w:val="subscript"/>
        </w:rPr>
        <w:t>P</w:t>
      </w:r>
      <w:r w:rsidR="00C5218C">
        <w:t xml:space="preserve"> values,</w:t>
      </w:r>
      <w:r w:rsidRPr="00860424">
        <w:t xml:space="preserve"> </w:t>
      </w:r>
      <w:r w:rsidR="00BD4208" w:rsidRPr="00860424">
        <w:t xml:space="preserve">were also </w:t>
      </w:r>
      <w:r w:rsidR="00C5218C">
        <w:t xml:space="preserve">lower than </w:t>
      </w:r>
      <w:r w:rsidR="00BD4208">
        <w:t xml:space="preserve">the </w:t>
      </w:r>
      <w:r w:rsidR="00C5218C">
        <w:t xml:space="preserve">equilibrium </w:t>
      </w:r>
      <w:r w:rsidRPr="00860424">
        <w:t xml:space="preserve">shown in other cases </w:t>
      </w:r>
      <w:r w:rsidR="00F922AB">
        <w:fldChar w:fldCharType="begin" w:fldLock="1"/>
      </w:r>
      <w:r w:rsidR="00741C1A">
        <w:instrText>ADDIN CSL_CITATION {"citationItems":[{"id":"ITEM-1","itemData":{"DOI":"10.1038/s41467-018-05731-2","ISBN":"2041-1723 (Electronic)\r2041-1723 (Linking)","PMID":"30104647","abstract":"Current understanding of phosphorus (P) cycling in soils can be enhanced by integrating previously discrete findings concerning P speciation, exchange kinetics, and the underlying biological and geochemical processes. Here, we combine sequential extraction with P K-edge X-ray absorption spectroscopy and isotopic methods ((33)P and (18)O in phosphate) to characterize P cycling on a climatic gradient in Hawaii. We link P pools to P species and estimate the turnover times for commonly considered P pools. Dissolved P turned over in seconds, resin-extractable P in minutes, NaOH-extractable inorganic P in weeks to months, and HCl-extractable P in years to millennia. Furthermore, we show that in arid-zone soils, some primary mineral P remains even after 150 ky of soil development, whereas in humid-zone soils of the same age, all P in all pools has been biologically cycled. The integrative information we provide makes possible a more dynamic, process-oriented conceptual model of P cycling in soils.","author":[{"dropping-particle":"","family":"Helfenstein","given":"J","non-dropping-particle":"","parse-names":false,"suffix":""},{"dropping-particle":"","family":"Tamburini","given":"F","non-dropping-particle":"","parse-names":false,"suffix":""},{"dropping-particle":"","family":"Sperber","given":"C","non-dropping-particle":"von","parse-names":false,"suffix":""},{"dropping-particle":"","family":"Massey","given":"M S","non-dropping-particle":"","parse-names":false,"suffix":""},{"dropping-particle":"","family":"Pistocchi","given":"C","non-dropping-particle":"","parse-names":false,"suffix":""},{"dropping-particle":"","family":"Chadwick","given":"O A","non-dropping-particle":"","parse-names":false,"suffix":""},{"dropping-particle":"","family":"Vitousek","given":"P M","non-dropping-particle":"","parse-names":false,"suffix":""},{"dropping-particle":"","family":"Kretzschmar","given":"R","non-dropping-particle":"","parse-names":false,"suffix":""},{"dropping-particle":"","family":"Frossard","given":"E","non-dropping-particle":"","parse-names":false,"suffix":""}],"container-title":"Nat Commun","edition":"2018/08/15","id":"ITEM-1","issue":"1","issued":{"date-parts":[["2018"]]},"note":"Helfenstein, Julian\nTamburini, Federica\nvon Sperber, Christian\nMassey, Michael S\nPistocchi, Chiara\nChadwick, Oliver A\nVitousek, Peter M\nKretzschmar, Ruben\nFrossard, Emmanuel\neng\n200021_ 162422/Schweizerischer Nationalfonds zur Forderung der Wissenschaftlichen Forschung (Swiss National Science Foundation)\nEngland\nNat Commun. 2018 Aug 13;9(1):3226. doi: 10.1038/s41467-018-05731-2.","page":"3226","title":"Combining spectroscopic and isotopic techniques gives a dynamic view of phosphorus cycling in soil","type":"article-journal","volume":"9"},"uris":["http://www.mendeley.com/documents/?uuid=b1a45c40-78d8-4c11-a51e-6b135ec1038a"]}],"mendeley":{"formattedCitation":"&lt;sup&gt;35&lt;/sup&gt;","plainTextFormattedCitation":"35","previouslyFormattedCitation":"&lt;sup&gt;35&lt;/sup&gt;"},"properties":{"noteIndex":0},"schema":"https://github.com/citation-style-language/schema/raw/master/csl-citation.json"}</w:instrText>
      </w:r>
      <w:r w:rsidR="00F922AB">
        <w:fldChar w:fldCharType="separate"/>
      </w:r>
      <w:r w:rsidR="00CB44EE" w:rsidRPr="00CB44EE">
        <w:rPr>
          <w:noProof/>
          <w:vertAlign w:val="superscript"/>
        </w:rPr>
        <w:t>35</w:t>
      </w:r>
      <w:r w:rsidR="00F922AB">
        <w:fldChar w:fldCharType="end"/>
      </w:r>
      <w:r w:rsidRPr="00860424">
        <w:t>. Under P limitation, other intracellular processes</w:t>
      </w:r>
      <w:r w:rsidR="00BD4208">
        <w:t>,</w:t>
      </w:r>
      <w:r w:rsidRPr="00860424">
        <w:t xml:space="preserve"> like the hydrolysis of organic P</w:t>
      </w:r>
      <w:r w:rsidR="00BD4208">
        <w:t>,</w:t>
      </w:r>
      <w:r w:rsidRPr="00860424">
        <w:t xml:space="preserve"> could partly </w:t>
      </w:r>
      <w:r w:rsidR="00BD4208">
        <w:t>disturb</w:t>
      </w:r>
      <w:r w:rsidR="00BD4208" w:rsidRPr="00860424">
        <w:t xml:space="preserve"> </w:t>
      </w:r>
      <w:r w:rsidRPr="00860424">
        <w:t>the equilibrium inside microorganisms as observed in plants</w:t>
      </w:r>
      <w:r w:rsidR="005A48C6">
        <w:t xml:space="preserve"> </w:t>
      </w:r>
      <w:r w:rsidR="00F922AB">
        <w:fldChar w:fldCharType="begin" w:fldLock="1"/>
      </w:r>
      <w:r w:rsidR="00741C1A">
        <w:instrText>ADDIN CSL_CITATION {"citationItems":[{"id":"ITEM-1","itemData":{"DOI":"10.1111/j.1469-8137.2012.04379.x","ISBN":"0028-646X","ISSN":"0028646X","abstract":"The objective of this study was to investigate the isotopic composition of oxygen bound to phosphate (δ(18)O-PO(4)) in different phosphorus (P) pools in plant leaves. As a model plant we used soybean (Glycine max cv Toliman) grown in the presence of ample P in hydroponic cultures. The leaf blades were extracted with 0.3 M trichloroacetic acid (TCA) and with 10 M nitric acid. These extractions allowed measurement of the TCA-soluble reactive P (TCA P) that is rapidly cycled within the cell and the total leaf P. The difference between total leaf P and TCA P yielded the structural P which includes organic P compounds not extractable by TCA. P uptake and its translocation and transformation within the soybean plants lead to an (18)O enrichment of TCA P (δ(18)O-PO(4) between 16.9 and 27.5‰) and structural P (δ(18)O-PO(4) between 42.6 and 68.0 ‰) compared with 12.4‰ in the phosphate in the nutrient solution. δ(18)O values of phosphate extracted from soybean leaves grown under optimal conditions are greater than the δ(18)O-PO(4) values of the provided P source. Furthermore, the δ(18)O-PO(4) of TCA P seems to be controlled by the δ(18)O of leaf water and the activity of inorganic pyrophosphatase or other pyrophosphatases.","author":[{"dropping-particle":"","family":"Pfahler","given":"Verena","non-dropping-particle":"","parse-names":false,"suffix":""},{"dropping-particle":"","family":"Dürr-Auster","given":"Thilo","non-dropping-particle":"","parse-names":false,"suffix":""},{"dropping-particle":"","family":"Tamburini","given":"Federica","non-dropping-particle":"","parse-names":false,"suffix":""},{"dropping-particle":"","family":"M. Bernasconi","given":"Stefano","non-dropping-particle":"","parse-names":false,"suffix":""},{"dropping-particle":"","family":"Frossard","given":"Emmanuel","non-dropping-particle":"","parse-names":false,"suffix":""}],"container-title":"New Phytologist","id":"ITEM-1","issue":"1","issued":{"date-parts":[["2013","1"]]},"language":"English","note":"ISI Document Delivery No.: 044GG\nTimes Cited: 0\nCited Reference Count: 40\nPfahler, Verena Duerr-Auster, Thilo Tamburini, Federica M. Bernasconi, Stefano Frossard, Emmanuel\nETH Zurich [ETH-02_10-2]\nThe authors would like to thank ETH Zurich for funding this project (grant number: ETH-02_10-2) and Delley Seeds and Plants Ltd (Delley, Switzerland) for providing the soybean seeds. We thank S. Bishop, M. Coray Strasser, S. Ragot, and C. von Sperber for their help in the laboratory and three anonymous referees for their helpful comments on our manuscript.\nWiley-blackwell\nHoboken","page":"186-193","title":"18 O enrichment in phosphorus pools extracted from soybean leaves","type":"article-journal","volume":"197"},"uris":["http://www.mendeley.com/documents/?uuid=c19f4bec-258a-4bc1-bcde-0c60aabf593a"]}],"mendeley":{"formattedCitation":"&lt;sup&gt;36&lt;/sup&gt;","plainTextFormattedCitation":"36","previouslyFormattedCitation":"&lt;sup&gt;36&lt;/sup&gt;"},"properties":{"noteIndex":0},"schema":"https://github.com/citation-style-language/schema/raw/master/csl-citation.json"}</w:instrText>
      </w:r>
      <w:r w:rsidR="00F922AB">
        <w:fldChar w:fldCharType="separate"/>
      </w:r>
      <w:r w:rsidR="00CB44EE" w:rsidRPr="00CB44EE">
        <w:rPr>
          <w:noProof/>
          <w:vertAlign w:val="superscript"/>
        </w:rPr>
        <w:t>36</w:t>
      </w:r>
      <w:r w:rsidR="00F922AB">
        <w:fldChar w:fldCharType="end"/>
      </w:r>
      <w:r w:rsidRPr="00860424">
        <w:t>. Assuming an organic P δ</w:t>
      </w:r>
      <w:r w:rsidRPr="00860424">
        <w:rPr>
          <w:vertAlign w:val="superscript"/>
        </w:rPr>
        <w:t>18</w:t>
      </w:r>
      <w:r w:rsidRPr="00860424">
        <w:t>O</w:t>
      </w:r>
      <w:r w:rsidRPr="00860424">
        <w:rPr>
          <w:vertAlign w:val="subscript"/>
        </w:rPr>
        <w:t>P</w:t>
      </w:r>
      <w:r w:rsidRPr="00860424">
        <w:t xml:space="preserve"> between 12.7 and 27</w:t>
      </w:r>
      <w:r w:rsidRPr="00860424">
        <w:rPr>
          <w:rFonts w:cs="Times New Roman"/>
        </w:rPr>
        <w:t xml:space="preserve">‰ </w:t>
      </w:r>
      <w:r w:rsidR="00F922AB">
        <w:rPr>
          <w:rFonts w:cs="Times New Roman"/>
        </w:rPr>
        <w:fldChar w:fldCharType="begin" w:fldLock="1"/>
      </w:r>
      <w:r w:rsidR="00741C1A">
        <w:rPr>
          <w:rFonts w:cs="Times New Roman"/>
        </w:rPr>
        <w:instrText>ADDIN CSL_CITATION {"citationItems":[{"id":"ITEM-1","itemData":{"DOI":"10.1111/ejss.12693","ISSN":"13510754","abstract":"The isotopic composition of oxygen bound to phosphorus (P) in phosphate (δ18O-P) has been used to improve our understanding of P cycling in the soil–plant system. The determination of δ18O-P in the inorganic (Pi) and organic (Po) soil P pools obtained from soil sequential extractions would further our knowledge. Although methods exist for the purification of inorganic soil P pools, there is no published method for organic P at present. Without this information, it is impossible to determine the signature of the inorganic P released by enzyme hydrolysis. In this paper, we present a protocol for the separation and purification of the organic and inorganic P extracted by NaOH-EDTA in sequential extraction. The procedure was tested on different reference compounds as well as soil and plant materials from temperate and tropical climates. We assessed the efficiency of separation between inorganic and organic P, and of the ultraviolet (UV) hydrolysis of organic P, and the effect of possible interfering compounds. Overall, the protocol enables 30–80% of organic P extracted by NaOH-EDTA to be purified. The measured δ18O-P of organic P ranged from 12.7 to 20.3‰ in soils and from 17 to 27‰ in plants. Although the method provides the signature of a fraction only of soil bulk organic P, it represents the best approach to assess the contribution of enzyme hydrolysis to the inorganic P pools, and it completes the set of purification schemes required to characterize δ18O-P in soil inorganic and organic P. Highlights Streamlined method to determine the oxygen isotopic signature of organic P in soils and plants. This information is currently unavailable and values are simply ‘guessed’. The oxygen isotopic signature of organic P is not necessarily similar to that of inorganic phosphate. The signature of organic P should be determined because it enables understanding of P cycling in the soil–plant system.","author":[{"dropping-particle":"","family":"Tamburini","given":"F","non-dropping-particle":"","parse-names":false,"suffix":""},{"dropping-particle":"","family":"Pistocchi","given":"C","non-dropping-particle":"","parse-names":false,"suffix":""},{"dropping-particle":"","family":"Helfenstein","given":"J","non-dropping-particle":"","parse-names":false,"suffix":""},{"dropping-particle":"","family":"Frossard","given":"E","non-dropping-particle":"","parse-names":false,"suffix":""}],"container-title":"European Journal of Soil Science","id":"ITEM-1","issue":"5","issued":{"date-parts":[["2018","9"]]},"page":"816-826","title":"A method to analyse the isotopic composition of oxygen associated with organic phosphorus in soil and plant material","type":"article-journal","volume":"69"},"uris":["http://www.mendeley.com/documents/?uuid=d7541558-2a55-4341-884f-83540f8b93d9"]}],"mendeley":{"formattedCitation":"&lt;sup&gt;37&lt;/sup&gt;","plainTextFormattedCitation":"37","previouslyFormattedCitation":"&lt;sup&gt;37&lt;/sup&gt;"},"properties":{"noteIndex":0},"schema":"https://github.com/citation-style-language/schema/raw/master/csl-citation.json"}</w:instrText>
      </w:r>
      <w:r w:rsidR="00F922AB">
        <w:rPr>
          <w:rFonts w:cs="Times New Roman"/>
        </w:rPr>
        <w:fldChar w:fldCharType="separate"/>
      </w:r>
      <w:r w:rsidR="00CB44EE" w:rsidRPr="00CB44EE">
        <w:rPr>
          <w:rFonts w:cs="Times New Roman"/>
          <w:noProof/>
          <w:vertAlign w:val="superscript"/>
        </w:rPr>
        <w:t>37</w:t>
      </w:r>
      <w:r w:rsidR="00F922AB">
        <w:rPr>
          <w:rFonts w:cs="Times New Roman"/>
        </w:rPr>
        <w:fldChar w:fldCharType="end"/>
      </w:r>
      <w:r w:rsidR="00902F37" w:rsidRPr="001829B7">
        <w:rPr>
          <w:rFonts w:cs="Times New Roman"/>
          <w:color w:val="FF0000"/>
        </w:rPr>
        <w:t xml:space="preserve"> </w:t>
      </w:r>
      <w:r w:rsidR="00902F37" w:rsidRPr="00860424">
        <w:rPr>
          <w:rFonts w:cs="Times New Roman"/>
        </w:rPr>
        <w:t xml:space="preserve">and a </w:t>
      </w:r>
      <w:r w:rsidR="00902F37" w:rsidRPr="00860424">
        <w:t>soil water δ</w:t>
      </w:r>
      <w:r w:rsidR="00902F37" w:rsidRPr="00860424">
        <w:rPr>
          <w:vertAlign w:val="superscript"/>
        </w:rPr>
        <w:t>18</w:t>
      </w:r>
      <w:r w:rsidR="00902F37" w:rsidRPr="00860424">
        <w:t>O</w:t>
      </w:r>
      <w:r w:rsidR="00902F37" w:rsidRPr="00860424">
        <w:rPr>
          <w:vertAlign w:val="subscript"/>
        </w:rPr>
        <w:t xml:space="preserve"> </w:t>
      </w:r>
      <w:r w:rsidR="00902F37" w:rsidRPr="00860424">
        <w:t>of -6.4</w:t>
      </w:r>
      <w:r w:rsidR="00902F37" w:rsidRPr="00860424">
        <w:rPr>
          <w:rFonts w:cs="Times New Roman"/>
        </w:rPr>
        <w:t>‰</w:t>
      </w:r>
      <w:r w:rsidRPr="00860424">
        <w:t xml:space="preserve">, Pi released by </w:t>
      </w:r>
      <w:r w:rsidR="00902F37" w:rsidRPr="00860424">
        <w:t xml:space="preserve">acid or alkaline </w:t>
      </w:r>
      <w:r w:rsidRPr="00860424">
        <w:t>phosphatase</w:t>
      </w:r>
      <w:r w:rsidR="00902F37" w:rsidRPr="00860424">
        <w:t>s</w:t>
      </w:r>
      <w:r w:rsidRPr="00860424">
        <w:t xml:space="preserve"> would have a δ</w:t>
      </w:r>
      <w:r w:rsidRPr="00860424">
        <w:rPr>
          <w:vertAlign w:val="superscript"/>
        </w:rPr>
        <w:t>18</w:t>
      </w:r>
      <w:r w:rsidRPr="00860424">
        <w:t>O</w:t>
      </w:r>
      <w:r w:rsidRPr="00860424">
        <w:rPr>
          <w:vertAlign w:val="subscript"/>
        </w:rPr>
        <w:t>P</w:t>
      </w:r>
      <w:r w:rsidRPr="00860424">
        <w:t xml:space="preserve"> between </w:t>
      </w:r>
      <w:r w:rsidR="00902F37" w:rsidRPr="00860424">
        <w:t>0.4</w:t>
      </w:r>
      <w:r w:rsidRPr="00860424">
        <w:t xml:space="preserve"> and 16.2</w:t>
      </w:r>
      <w:r w:rsidRPr="00860424">
        <w:rPr>
          <w:rFonts w:cs="Times New Roman"/>
        </w:rPr>
        <w:t>‰</w:t>
      </w:r>
      <w:r w:rsidR="00902F37" w:rsidRPr="00860424">
        <w:t xml:space="preserve">, depending on the enzyme. </w:t>
      </w:r>
      <w:r w:rsidR="005A2622">
        <w:t xml:space="preserve">Therefore, an increase in enzymatic organic P hydrolysis might have caused the below equilibrium hexanol P </w:t>
      </w:r>
      <w:r w:rsidR="005A2622" w:rsidRPr="008F3C99">
        <w:rPr>
          <w:rFonts w:cs="Times New Roman"/>
        </w:rPr>
        <w:t>δ</w:t>
      </w:r>
      <w:r w:rsidR="005A2622" w:rsidRPr="008F3C99">
        <w:rPr>
          <w:rFonts w:cs="Times New Roman"/>
          <w:vertAlign w:val="superscript"/>
        </w:rPr>
        <w:t>18</w:t>
      </w:r>
      <w:r w:rsidR="005A2622" w:rsidRPr="008F3C99">
        <w:rPr>
          <w:rFonts w:cs="Times New Roman"/>
        </w:rPr>
        <w:t>O</w:t>
      </w:r>
      <w:r w:rsidR="005A2622" w:rsidRPr="008F3C99">
        <w:rPr>
          <w:rFonts w:cs="Times New Roman"/>
          <w:vertAlign w:val="subscript"/>
        </w:rPr>
        <w:t>P</w:t>
      </w:r>
      <w:r w:rsidR="005A2622">
        <w:t xml:space="preserve"> values.</w:t>
      </w:r>
    </w:p>
    <w:p w14:paraId="56C3D65B" w14:textId="6EF43298" w:rsidR="003815DA" w:rsidRPr="00860424" w:rsidRDefault="003815DA" w:rsidP="00E627AF">
      <w:pPr>
        <w:spacing w:line="360" w:lineRule="auto"/>
      </w:pPr>
      <w:r w:rsidRPr="00860424">
        <w:t>Resin P δ</w:t>
      </w:r>
      <w:r w:rsidRPr="00860424">
        <w:rPr>
          <w:vertAlign w:val="superscript"/>
        </w:rPr>
        <w:t>18</w:t>
      </w:r>
      <w:r w:rsidRPr="00860424">
        <w:t>O</w:t>
      </w:r>
      <w:r w:rsidRPr="00860424">
        <w:rPr>
          <w:vertAlign w:val="subscript"/>
        </w:rPr>
        <w:t>P</w:t>
      </w:r>
      <w:r w:rsidRPr="00860424">
        <w:t xml:space="preserve"> values in the fertilised treatments were at or greater (</w:t>
      </w:r>
      <w:r w:rsidRPr="00860424">
        <w:rPr>
          <w:rFonts w:cs="Times New Roman"/>
        </w:rPr>
        <w:t xml:space="preserve">approximately </w:t>
      </w:r>
      <w:r w:rsidRPr="00860424">
        <w:t>3</w:t>
      </w:r>
      <w:r w:rsidRPr="00860424">
        <w:rPr>
          <w:rFonts w:cs="Times New Roman"/>
        </w:rPr>
        <w:t>‰</w:t>
      </w:r>
      <w:r w:rsidRPr="00860424">
        <w:t xml:space="preserve">) than </w:t>
      </w:r>
      <w:r w:rsidR="00BD4208">
        <w:t xml:space="preserve">the </w:t>
      </w:r>
      <w:r w:rsidRPr="00860424">
        <w:t xml:space="preserve">equilibrium. This could be caused by the contribution of a P source, more enriched in </w:t>
      </w:r>
      <w:r w:rsidRPr="00860424">
        <w:rPr>
          <w:vertAlign w:val="superscript"/>
        </w:rPr>
        <w:t>18</w:t>
      </w:r>
      <w:r w:rsidRPr="00860424">
        <w:t>O</w:t>
      </w:r>
      <w:r w:rsidR="00BD4208">
        <w:t>,</w:t>
      </w:r>
      <w:r w:rsidRPr="00860424">
        <w:t xml:space="preserve"> or by a preferential uptake of the lighter Pi </w:t>
      </w:r>
      <w:proofErr w:type="spellStart"/>
      <w:r w:rsidRPr="00860424">
        <w:t>isotopologue</w:t>
      </w:r>
      <w:proofErr w:type="spellEnd"/>
      <w:r w:rsidRPr="00860424">
        <w:t xml:space="preserve"> by plants and/or microorganisms. However, it is questionable </w:t>
      </w:r>
      <w:r w:rsidR="00FC6E71">
        <w:t>whether</w:t>
      </w:r>
      <w:r w:rsidR="00FC6E71" w:rsidRPr="00860424">
        <w:t xml:space="preserve"> </w:t>
      </w:r>
      <w:r w:rsidRPr="00860424">
        <w:t>the effect of P uptake can be observed in soils</w:t>
      </w:r>
      <w:r w:rsidR="00FC6E71">
        <w:t>,</w:t>
      </w:r>
      <w:r w:rsidRPr="00860424">
        <w:t xml:space="preserve"> as a soil </w:t>
      </w:r>
      <w:r w:rsidR="00FC6E71">
        <w:t xml:space="preserve">is </w:t>
      </w:r>
      <w:r w:rsidR="008716D8" w:rsidRPr="00860424">
        <w:t>usually</w:t>
      </w:r>
      <w:r w:rsidRPr="00860424">
        <w:t xml:space="preserve"> a well buffered system, i.e. the resin P pool </w:t>
      </w:r>
      <w:r w:rsidR="008716D8" w:rsidRPr="00860424">
        <w:t>is</w:t>
      </w:r>
      <w:r w:rsidRPr="00860424">
        <w:t xml:space="preserve"> constantly replenished from other </w:t>
      </w:r>
      <w:r w:rsidR="00D5492E">
        <w:t xml:space="preserve">soil </w:t>
      </w:r>
      <w:r w:rsidRPr="00860424">
        <w:t>P pools</w:t>
      </w:r>
      <w:r w:rsidR="000472FB">
        <w:t xml:space="preserve"> (mainly)</w:t>
      </w:r>
      <w:r w:rsidRPr="00860424">
        <w:t>.</w:t>
      </w:r>
      <w:r w:rsidR="00D5492E">
        <w:t xml:space="preserve"> It is more likely that greater than equilibrium </w:t>
      </w:r>
      <w:r w:rsidR="00D5492E" w:rsidRPr="008F3C99">
        <w:rPr>
          <w:rFonts w:cs="Times New Roman"/>
        </w:rPr>
        <w:t>δ</w:t>
      </w:r>
      <w:r w:rsidR="00D5492E" w:rsidRPr="008F3C99">
        <w:rPr>
          <w:rFonts w:cs="Times New Roman"/>
          <w:vertAlign w:val="superscript"/>
        </w:rPr>
        <w:t>18</w:t>
      </w:r>
      <w:r w:rsidR="00D5492E" w:rsidRPr="008F3C99">
        <w:rPr>
          <w:rFonts w:cs="Times New Roman"/>
        </w:rPr>
        <w:t>O</w:t>
      </w:r>
      <w:r w:rsidR="00D5492E" w:rsidRPr="008F3C99">
        <w:rPr>
          <w:rFonts w:cs="Times New Roman"/>
          <w:vertAlign w:val="subscript"/>
        </w:rPr>
        <w:t>P</w:t>
      </w:r>
      <w:r w:rsidR="00D5492E">
        <w:t xml:space="preserve"> values were caused by the contribution of a P source more enriched in </w:t>
      </w:r>
      <w:r w:rsidR="00D5492E" w:rsidRPr="00822653">
        <w:rPr>
          <w:vertAlign w:val="superscript"/>
        </w:rPr>
        <w:t>18</w:t>
      </w:r>
      <w:r w:rsidR="00D5492E" w:rsidRPr="00822653">
        <w:t>O</w:t>
      </w:r>
      <w:r w:rsidR="00D5492E">
        <w:t xml:space="preserve"> such as TCA P in the vegetation.</w:t>
      </w:r>
    </w:p>
    <w:p w14:paraId="69776654" w14:textId="698AED94" w:rsidR="00C008E5" w:rsidRPr="00A777A9" w:rsidRDefault="003C04CC" w:rsidP="00E627AF">
      <w:pPr>
        <w:spacing w:line="360" w:lineRule="auto"/>
      </w:pPr>
      <w:r w:rsidRPr="00860424">
        <w:t xml:space="preserve">The application of N fertiliser </w:t>
      </w:r>
      <w:r w:rsidR="00D26845">
        <w:t xml:space="preserve">was associated with </w:t>
      </w:r>
      <w:r w:rsidRPr="00860424">
        <w:t xml:space="preserve">a </w:t>
      </w:r>
      <w:r w:rsidR="00E23FFF" w:rsidRPr="00860424">
        <w:t xml:space="preserve">small </w:t>
      </w:r>
      <w:r w:rsidR="00635051" w:rsidRPr="00860424">
        <w:t xml:space="preserve">decrease in </w:t>
      </w:r>
      <w:r w:rsidR="004931DD" w:rsidRPr="00860424">
        <w:t xml:space="preserve">resin P </w:t>
      </w:r>
      <w:r w:rsidR="00635051" w:rsidRPr="00860424">
        <w:t>δ</w:t>
      </w:r>
      <w:r w:rsidR="00635051" w:rsidRPr="00860424">
        <w:rPr>
          <w:vertAlign w:val="superscript"/>
        </w:rPr>
        <w:t>18</w:t>
      </w:r>
      <w:r w:rsidR="00635051" w:rsidRPr="00860424">
        <w:t>O</w:t>
      </w:r>
      <w:r w:rsidR="00635051" w:rsidRPr="00860424">
        <w:rPr>
          <w:vertAlign w:val="subscript"/>
        </w:rPr>
        <w:t>P</w:t>
      </w:r>
      <w:r w:rsidR="00635051" w:rsidRPr="00860424">
        <w:t xml:space="preserve"> values</w:t>
      </w:r>
      <w:r w:rsidR="00083A49" w:rsidRPr="00860424">
        <w:t xml:space="preserve"> </w:t>
      </w:r>
      <w:r w:rsidR="00491E60" w:rsidRPr="00860424">
        <w:t>and</w:t>
      </w:r>
      <w:r w:rsidR="005B5A33" w:rsidRPr="00860424">
        <w:t xml:space="preserve"> only slightly </w:t>
      </w:r>
      <w:r w:rsidR="00DA3F4B" w:rsidRPr="00860424">
        <w:t xml:space="preserve">decreased </w:t>
      </w:r>
      <w:r w:rsidR="005B5A33" w:rsidRPr="00860424">
        <w:t>the HCl P δ</w:t>
      </w:r>
      <w:r w:rsidR="005B5A33" w:rsidRPr="00860424">
        <w:rPr>
          <w:vertAlign w:val="superscript"/>
        </w:rPr>
        <w:t>18</w:t>
      </w:r>
      <w:r w:rsidR="005B5A33" w:rsidRPr="00860424">
        <w:t>O</w:t>
      </w:r>
      <w:r w:rsidR="005B5A33" w:rsidRPr="00860424">
        <w:rPr>
          <w:vertAlign w:val="subscript"/>
        </w:rPr>
        <w:t>P</w:t>
      </w:r>
      <w:r w:rsidR="005B5A33" w:rsidRPr="00860424">
        <w:t xml:space="preserve">, with very similar values in </w:t>
      </w:r>
      <w:r w:rsidR="00E23FFF" w:rsidRPr="00860424">
        <w:t xml:space="preserve">the </w:t>
      </w:r>
      <w:r w:rsidR="005B5A33" w:rsidRPr="00860424">
        <w:t xml:space="preserve">case of the </w:t>
      </w:r>
      <w:r w:rsidR="00997E15" w:rsidRPr="00860424">
        <w:t>-N+P</w:t>
      </w:r>
      <w:r w:rsidR="005B5A33" w:rsidRPr="00860424">
        <w:t xml:space="preserve">+L </w:t>
      </w:r>
      <w:r w:rsidR="00CF4575" w:rsidRPr="00860424">
        <w:t>(20.4</w:t>
      </w:r>
      <w:r w:rsidR="0051555D" w:rsidRPr="00860424">
        <w:rPr>
          <w:rFonts w:cs="Times New Roman"/>
        </w:rPr>
        <w:t>‰</w:t>
      </w:r>
      <w:r w:rsidR="00CF4575" w:rsidRPr="00860424">
        <w:t xml:space="preserve">) </w:t>
      </w:r>
      <w:r w:rsidR="005B5A33" w:rsidRPr="00860424">
        <w:t xml:space="preserve">and </w:t>
      </w:r>
      <w:r w:rsidR="00997E15" w:rsidRPr="00860424">
        <w:t>+N+P+L</w:t>
      </w:r>
      <w:r w:rsidR="00CF4575" w:rsidRPr="00860424">
        <w:t xml:space="preserve"> (20.2</w:t>
      </w:r>
      <w:r w:rsidR="0051555D" w:rsidRPr="00860424">
        <w:rPr>
          <w:rFonts w:cs="Times New Roman"/>
        </w:rPr>
        <w:t>‰</w:t>
      </w:r>
      <w:r w:rsidR="00CF4575" w:rsidRPr="00860424">
        <w:t>)</w:t>
      </w:r>
      <w:r w:rsidR="005B5A33" w:rsidRPr="00860424">
        <w:t xml:space="preserve"> plots</w:t>
      </w:r>
      <w:r w:rsidR="00083A49" w:rsidRPr="00860424">
        <w:t xml:space="preserve"> (Table </w:t>
      </w:r>
      <w:r w:rsidR="00580859">
        <w:t>4</w:t>
      </w:r>
      <w:r w:rsidR="00083A49" w:rsidRPr="00860424">
        <w:t>)</w:t>
      </w:r>
      <w:r w:rsidR="005B5A33" w:rsidRPr="00860424">
        <w:t>. Contrary to this, t</w:t>
      </w:r>
      <w:r w:rsidR="00D86813" w:rsidRPr="00860424">
        <w:t xml:space="preserve">he </w:t>
      </w:r>
      <w:r w:rsidR="00F478ED" w:rsidRPr="00860424">
        <w:t>NaOH-EDTA Pi</w:t>
      </w:r>
      <w:r w:rsidR="000B7E28" w:rsidRPr="00860424">
        <w:t xml:space="preserve"> </w:t>
      </w:r>
      <w:r w:rsidR="00D86813" w:rsidRPr="00860424">
        <w:t>δ</w:t>
      </w:r>
      <w:r w:rsidR="00D86813" w:rsidRPr="00860424">
        <w:rPr>
          <w:vertAlign w:val="superscript"/>
        </w:rPr>
        <w:t>18</w:t>
      </w:r>
      <w:r w:rsidR="00D86813" w:rsidRPr="00860424">
        <w:t>O</w:t>
      </w:r>
      <w:r w:rsidR="00D86813" w:rsidRPr="00860424">
        <w:rPr>
          <w:vertAlign w:val="subscript"/>
        </w:rPr>
        <w:t xml:space="preserve">P </w:t>
      </w:r>
      <w:r w:rsidR="00D86813" w:rsidRPr="00860424">
        <w:t>only seem</w:t>
      </w:r>
      <w:r w:rsidR="00D26845">
        <w:t>ed to be associated with</w:t>
      </w:r>
      <w:r w:rsidR="005B5A33" w:rsidRPr="00860424">
        <w:t xml:space="preserve"> N fertilisation</w:t>
      </w:r>
      <w:r w:rsidR="00D86813" w:rsidRPr="00860424">
        <w:t xml:space="preserve"> </w:t>
      </w:r>
      <w:r w:rsidR="00491E60" w:rsidRPr="00860424">
        <w:t>in -L treatments</w:t>
      </w:r>
      <w:r w:rsidR="00D86813" w:rsidRPr="00860424">
        <w:t xml:space="preserve">. This indicates that </w:t>
      </w:r>
      <w:r w:rsidR="00CF4575" w:rsidRPr="00860424">
        <w:t xml:space="preserve">HCl P and </w:t>
      </w:r>
      <w:r w:rsidR="00F478ED" w:rsidRPr="00860424">
        <w:t>NaOH-EDTA Pi</w:t>
      </w:r>
      <w:r w:rsidR="00CF4575" w:rsidRPr="00860424">
        <w:t xml:space="preserve"> </w:t>
      </w:r>
      <w:r w:rsidR="00D86813" w:rsidRPr="00860424">
        <w:t>δ</w:t>
      </w:r>
      <w:r w:rsidR="00D86813" w:rsidRPr="00860424">
        <w:rPr>
          <w:vertAlign w:val="superscript"/>
        </w:rPr>
        <w:t>18</w:t>
      </w:r>
      <w:r w:rsidR="00D86813" w:rsidRPr="00860424">
        <w:t>O</w:t>
      </w:r>
      <w:r w:rsidR="00D86813" w:rsidRPr="00860424">
        <w:rPr>
          <w:vertAlign w:val="subscript"/>
        </w:rPr>
        <w:t>P</w:t>
      </w:r>
      <w:r w:rsidR="00D86813" w:rsidRPr="00860424">
        <w:t xml:space="preserve"> </w:t>
      </w:r>
      <w:r w:rsidR="00CF4575" w:rsidRPr="00860424">
        <w:t>values are</w:t>
      </w:r>
      <w:r w:rsidR="00D86813" w:rsidRPr="00860424">
        <w:t xml:space="preserve"> influenced by processes </w:t>
      </w:r>
      <w:r w:rsidR="00161B51" w:rsidRPr="00860424">
        <w:t xml:space="preserve">different </w:t>
      </w:r>
      <w:r w:rsidR="00E23FFF" w:rsidRPr="00860424">
        <w:t xml:space="preserve">to those </w:t>
      </w:r>
      <w:r w:rsidR="000A2268" w:rsidRPr="00860424">
        <w:t>that effect the</w:t>
      </w:r>
      <w:r w:rsidR="00D86813" w:rsidRPr="00860424">
        <w:t xml:space="preserve"> </w:t>
      </w:r>
      <w:r w:rsidR="00CF4575" w:rsidRPr="00860424">
        <w:t xml:space="preserve">resin P </w:t>
      </w:r>
      <w:r w:rsidR="00D86813" w:rsidRPr="00860424">
        <w:t>δ</w:t>
      </w:r>
      <w:r w:rsidR="00D86813" w:rsidRPr="00860424">
        <w:rPr>
          <w:vertAlign w:val="superscript"/>
        </w:rPr>
        <w:t>18</w:t>
      </w:r>
      <w:r w:rsidR="00D86813" w:rsidRPr="00860424">
        <w:t>O</w:t>
      </w:r>
      <w:r w:rsidR="00D86813" w:rsidRPr="00860424">
        <w:rPr>
          <w:vertAlign w:val="subscript"/>
        </w:rPr>
        <w:t>P</w:t>
      </w:r>
      <w:r w:rsidR="00D86813" w:rsidRPr="00860424">
        <w:t xml:space="preserve">. However, </w:t>
      </w:r>
      <w:r w:rsidR="005B5A33" w:rsidRPr="00860424">
        <w:t>the isotopic differences caused by N fertilisation are very small (&lt;2</w:t>
      </w:r>
      <w:r w:rsidR="005B5A33" w:rsidRPr="00860424">
        <w:rPr>
          <w:rFonts w:cs="Times New Roman"/>
        </w:rPr>
        <w:t>‰</w:t>
      </w:r>
      <w:r w:rsidR="00D90F73" w:rsidRPr="00860424">
        <w:rPr>
          <w:rFonts w:cs="Times New Roman"/>
        </w:rPr>
        <w:t xml:space="preserve">; Table </w:t>
      </w:r>
      <w:r w:rsidR="00580859">
        <w:rPr>
          <w:rFonts w:cs="Times New Roman"/>
        </w:rPr>
        <w:t>4</w:t>
      </w:r>
      <w:r w:rsidR="005B5A33" w:rsidRPr="00860424">
        <w:t>)</w:t>
      </w:r>
      <w:r w:rsidR="00D86813" w:rsidRPr="00860424">
        <w:t xml:space="preserve">. </w:t>
      </w:r>
      <w:r w:rsidR="00CF4575" w:rsidRPr="00860424">
        <w:t xml:space="preserve">This is in line with other studies which report also only minor effects of N fertilisation </w:t>
      </w:r>
      <w:r w:rsidR="00F922AB">
        <w:fldChar w:fldCharType="begin" w:fldLock="1"/>
      </w:r>
      <w:r w:rsidR="00741C1A">
        <w:instrText>ADDIN CSL_CITATION {"citationItems":[{"id":"ITEM-1","itemData":{"DOI":"10.1111/ejss.12516","ISBN":"13510754","author":[{"dropping-particle":"","family":"Bauke","given":"S L","non-dropping-particle":"","parse-names":false,"suffix":""},{"dropping-particle":"","family":"Sperber","given":"C","non-dropping-particle":"von","parse-names":false,"suffix":""},{"dropping-particle":"","family":"Tamburini","given":"Federica","non-dropping-particle":"","parse-names":false,"suffix":""},{"dropping-particle":"","family":"Gocke","given":"M I","non-dropping-particle":"","parse-names":false,"suffix":""},{"dropping-particle":"","family":"Honermeier","given":"B","non-dropping-particle":"","parse-names":false,"suffix":""},{"dropping-particle":"","family":"Schweitzer","given":"K","non-dropping-particle":"","parse-names":false,"suffix":""},{"dropping-particle":"","family":"Baumecker","given":"M","non-dropping-particle":"","parse-names":false,"suffix":""},{"dropping-particle":"","family":"Don","given":"A","non-dropping-particle":"","parse-names":false,"suffix":""},{"dropping-particle":"","family":"Sandhage-Hofmann","given":"A","non-dropping-particle":"","parse-names":false,"suffix":""},{"dropping-particle":"","family":"Amelung","given":"W","non-dropping-particle":"","parse-names":false,"suffix":""}],"chapter-number":"103","container-title":"European Journal of Soil Science","id":"ITEM-1","issue":"1","issued":{"date-parts":[["2018"]]},"page":"103-112","title":"Subsoil phosphorus is affected by fertilization regime in long-term agricultural experimental trials","type":"article-journal","volume":"69"},"uris":["http://www.mendeley.com/documents/?uuid=47dd9646-8b51-412a-b499-493bc9ba7ad1"]}],"mendeley":{"formattedCitation":"&lt;sup&gt;28&lt;/sup&gt;","plainTextFormattedCitation":"28","previouslyFormattedCitation":"&lt;sup&gt;28&lt;/sup&gt;"},"properties":{"noteIndex":0},"schema":"https://github.com/citation-style-language/schema/raw/master/csl-citation.json"}</w:instrText>
      </w:r>
      <w:r w:rsidR="00F922AB">
        <w:fldChar w:fldCharType="separate"/>
      </w:r>
      <w:r w:rsidR="00CB44EE" w:rsidRPr="00CB44EE">
        <w:rPr>
          <w:noProof/>
          <w:vertAlign w:val="superscript"/>
        </w:rPr>
        <w:t>28</w:t>
      </w:r>
      <w:r w:rsidR="00F922AB">
        <w:fldChar w:fldCharType="end"/>
      </w:r>
      <w:r w:rsidR="00635051" w:rsidRPr="00860424">
        <w:t>.</w:t>
      </w:r>
      <w:r w:rsidR="00894056" w:rsidRPr="00860424">
        <w:t xml:space="preserve"> </w:t>
      </w:r>
      <w:r w:rsidR="00F009B6" w:rsidRPr="00860424">
        <w:t xml:space="preserve">The </w:t>
      </w:r>
      <w:r w:rsidR="00894056" w:rsidRPr="00860424">
        <w:t>lack of an N fertilisation effect on the δ</w:t>
      </w:r>
      <w:r w:rsidR="00894056" w:rsidRPr="00860424">
        <w:rPr>
          <w:vertAlign w:val="superscript"/>
        </w:rPr>
        <w:t>18</w:t>
      </w:r>
      <w:r w:rsidR="00894056" w:rsidRPr="00860424">
        <w:t>O</w:t>
      </w:r>
      <w:r w:rsidR="00894056" w:rsidRPr="00860424">
        <w:rPr>
          <w:vertAlign w:val="subscript"/>
        </w:rPr>
        <w:t>P</w:t>
      </w:r>
      <w:r w:rsidR="00894056" w:rsidRPr="00860424">
        <w:t xml:space="preserve"> was </w:t>
      </w:r>
      <w:r w:rsidR="00F009B6" w:rsidRPr="00860424">
        <w:t xml:space="preserve">attributed to the fact that </w:t>
      </w:r>
      <w:r w:rsidR="00917F01" w:rsidRPr="00860424">
        <w:t>N limitation enhances intracellular P cycling</w:t>
      </w:r>
      <w:r w:rsidR="003D270B" w:rsidRPr="00860424">
        <w:t>, which should lead to δ</w:t>
      </w:r>
      <w:r w:rsidR="003D270B" w:rsidRPr="00860424">
        <w:rPr>
          <w:vertAlign w:val="superscript"/>
        </w:rPr>
        <w:t>18</w:t>
      </w:r>
      <w:r w:rsidR="003D270B" w:rsidRPr="00860424">
        <w:t>O</w:t>
      </w:r>
      <w:r w:rsidR="003D270B" w:rsidRPr="00860424">
        <w:rPr>
          <w:vertAlign w:val="subscript"/>
        </w:rPr>
        <w:t>P</w:t>
      </w:r>
      <w:r w:rsidR="003D270B" w:rsidRPr="00860424">
        <w:t xml:space="preserve"> values at or close to equilibrium. At the same time N limitation</w:t>
      </w:r>
      <w:r w:rsidR="00917F01" w:rsidRPr="00860424">
        <w:t xml:space="preserve"> reduces the activity of hydrolysing enzymes</w:t>
      </w:r>
      <w:r w:rsidR="003D270B" w:rsidRPr="00860424">
        <w:t xml:space="preserve">, </w:t>
      </w:r>
      <w:r w:rsidR="005A48C6">
        <w:t xml:space="preserve">which may drive the </w:t>
      </w:r>
      <w:r w:rsidR="003D270B" w:rsidRPr="00860424">
        <w:t>δ</w:t>
      </w:r>
      <w:r w:rsidR="003D270B" w:rsidRPr="00860424">
        <w:rPr>
          <w:vertAlign w:val="superscript"/>
        </w:rPr>
        <w:t>18</w:t>
      </w:r>
      <w:r w:rsidR="003D270B" w:rsidRPr="00860424">
        <w:t>O</w:t>
      </w:r>
      <w:r w:rsidR="003D270B" w:rsidRPr="00860424">
        <w:rPr>
          <w:vertAlign w:val="subscript"/>
        </w:rPr>
        <w:t>P</w:t>
      </w:r>
      <w:r w:rsidR="003D270B" w:rsidRPr="00860424">
        <w:t xml:space="preserve"> values </w:t>
      </w:r>
      <w:r w:rsidR="005A48C6">
        <w:t xml:space="preserve">further from expected </w:t>
      </w:r>
      <w:r w:rsidR="003D270B" w:rsidRPr="00860424">
        <w:t>equilibrium</w:t>
      </w:r>
      <w:r w:rsidR="00917F01" w:rsidRPr="00860424">
        <w:t xml:space="preserve">. </w:t>
      </w:r>
    </w:p>
    <w:p w14:paraId="4068F70A" w14:textId="4BBF8C53" w:rsidR="00657148" w:rsidRPr="00A777A9" w:rsidRDefault="00BD4208" w:rsidP="00E627AF">
      <w:pPr>
        <w:spacing w:line="360" w:lineRule="auto"/>
      </w:pPr>
      <w:r>
        <w:t>Changes in t</w:t>
      </w:r>
      <w:r w:rsidR="00CA3058" w:rsidRPr="00860424">
        <w:t xml:space="preserve">he </w:t>
      </w:r>
      <w:r w:rsidR="008C0DD7">
        <w:t xml:space="preserve">soil P </w:t>
      </w:r>
      <w:r w:rsidR="00B1049F" w:rsidRPr="00860424">
        <w:t>δ</w:t>
      </w:r>
      <w:r w:rsidR="00B1049F" w:rsidRPr="00860424">
        <w:rPr>
          <w:vertAlign w:val="superscript"/>
        </w:rPr>
        <w:t>18</w:t>
      </w:r>
      <w:r w:rsidR="00B1049F" w:rsidRPr="00860424">
        <w:t>O</w:t>
      </w:r>
      <w:r w:rsidR="00B1049F" w:rsidRPr="00860424">
        <w:rPr>
          <w:vertAlign w:val="subscript"/>
        </w:rPr>
        <w:t>P</w:t>
      </w:r>
      <w:r w:rsidR="00B1049F" w:rsidRPr="00860424">
        <w:t xml:space="preserve"> values</w:t>
      </w:r>
      <w:r w:rsidR="00FC6E71">
        <w:t xml:space="preserve"> of the treatments tested</w:t>
      </w:r>
      <w:r w:rsidR="00B1049F" w:rsidRPr="00860424">
        <w:t xml:space="preserve"> (Table </w:t>
      </w:r>
      <w:r w:rsidR="00580859">
        <w:t>2</w:t>
      </w:r>
      <w:r w:rsidR="009B45E5" w:rsidRPr="00860424">
        <w:t xml:space="preserve"> and </w:t>
      </w:r>
      <w:r w:rsidR="00580859">
        <w:t>3</w:t>
      </w:r>
      <w:r w:rsidR="00B1049F" w:rsidRPr="00860424">
        <w:t>)</w:t>
      </w:r>
      <w:r w:rsidR="008C0DD7">
        <w:t xml:space="preserve"> were mainly associated with the application of lime,</w:t>
      </w:r>
      <w:r w:rsidR="00B35418" w:rsidRPr="00860424">
        <w:t xml:space="preserve"> with +L treatments being </w:t>
      </w:r>
      <w:r w:rsidR="0099501A" w:rsidRPr="00860424">
        <w:rPr>
          <w:rFonts w:cs="Times New Roman"/>
        </w:rPr>
        <w:t xml:space="preserve">approximately </w:t>
      </w:r>
      <w:r w:rsidR="00B35418" w:rsidRPr="00860424">
        <w:t>3</w:t>
      </w:r>
      <w:r w:rsidR="00B35418" w:rsidRPr="00860424">
        <w:rPr>
          <w:rFonts w:cs="Times New Roman"/>
        </w:rPr>
        <w:t>‰</w:t>
      </w:r>
      <w:r w:rsidR="00B35418" w:rsidRPr="00860424">
        <w:t xml:space="preserve"> </w:t>
      </w:r>
      <w:r w:rsidR="00E05CAE" w:rsidRPr="00860424">
        <w:t>l</w:t>
      </w:r>
      <w:r w:rsidR="00E05CAE">
        <w:t>ower</w:t>
      </w:r>
      <w:r w:rsidR="00E05CAE" w:rsidRPr="00860424">
        <w:t xml:space="preserve"> </w:t>
      </w:r>
      <w:r w:rsidR="00B35418" w:rsidRPr="00860424">
        <w:t>than -</w:t>
      </w:r>
      <w:r w:rsidR="00E64E21" w:rsidRPr="00860424">
        <w:t>L</w:t>
      </w:r>
      <w:r w:rsidR="00B1049F" w:rsidRPr="00860424">
        <w:t>.</w:t>
      </w:r>
      <w:r w:rsidR="000B5F08" w:rsidRPr="00860424">
        <w:t xml:space="preserve"> The lime</w:t>
      </w:r>
      <w:r w:rsidR="00431453" w:rsidRPr="00860424">
        <w:t xml:space="preserve"> </w:t>
      </w:r>
      <w:r w:rsidR="000B5F08" w:rsidRPr="00860424">
        <w:t xml:space="preserve">had small </w:t>
      </w:r>
      <w:r w:rsidR="00F80ACD" w:rsidRPr="00860424">
        <w:t xml:space="preserve">Pi </w:t>
      </w:r>
      <w:r w:rsidR="000B5F08" w:rsidRPr="00860424">
        <w:t>impurities</w:t>
      </w:r>
      <w:r w:rsidR="00953478" w:rsidRPr="00860424">
        <w:t xml:space="preserve"> </w:t>
      </w:r>
      <w:r w:rsidR="00410E7F" w:rsidRPr="00860424">
        <w:t>(0.5 mg P g</w:t>
      </w:r>
      <w:r w:rsidR="00410E7F" w:rsidRPr="00860424">
        <w:rPr>
          <w:vertAlign w:val="superscript"/>
        </w:rPr>
        <w:t>-1</w:t>
      </w:r>
      <w:r w:rsidR="00410E7F" w:rsidRPr="00860424">
        <w:t xml:space="preserve">) </w:t>
      </w:r>
      <w:r w:rsidR="00953478" w:rsidRPr="00860424">
        <w:t>which</w:t>
      </w:r>
      <w:r w:rsidR="000B5F08" w:rsidRPr="00860424">
        <w:t xml:space="preserve"> had δ</w:t>
      </w:r>
      <w:r w:rsidR="000B5F08" w:rsidRPr="00860424">
        <w:rPr>
          <w:vertAlign w:val="superscript"/>
        </w:rPr>
        <w:t>18</w:t>
      </w:r>
      <w:r w:rsidR="000B5F08" w:rsidRPr="00860424">
        <w:t>O</w:t>
      </w:r>
      <w:r w:rsidR="000B5F08" w:rsidRPr="00860424">
        <w:rPr>
          <w:vertAlign w:val="subscript"/>
        </w:rPr>
        <w:t>P</w:t>
      </w:r>
      <w:r w:rsidR="000B5F08" w:rsidRPr="00860424">
        <w:t xml:space="preserve"> values of </w:t>
      </w:r>
      <w:r w:rsidR="000B5F08" w:rsidRPr="00860424">
        <w:rPr>
          <w:rStyle w:val="Emphasis"/>
          <w:i w:val="0"/>
        </w:rPr>
        <w:t>14</w:t>
      </w:r>
      <w:r w:rsidR="00431453" w:rsidRPr="00860424">
        <w:rPr>
          <w:rStyle w:val="Emphasis"/>
          <w:i w:val="0"/>
        </w:rPr>
        <w:t>.7</w:t>
      </w:r>
      <w:r w:rsidR="000B5F08" w:rsidRPr="00860424">
        <w:rPr>
          <w:rStyle w:val="Emphasis"/>
          <w:i w:val="0"/>
        </w:rPr>
        <w:t xml:space="preserve"> </w:t>
      </w:r>
      <w:r w:rsidR="000B5F08" w:rsidRPr="00860424">
        <w:rPr>
          <w:rStyle w:val="Emphasis"/>
          <w:i w:val="0"/>
        </w:rPr>
        <w:lastRenderedPageBreak/>
        <w:t>(2007) and 18</w:t>
      </w:r>
      <w:r w:rsidR="00431453" w:rsidRPr="00860424">
        <w:rPr>
          <w:rStyle w:val="Emphasis"/>
          <w:i w:val="0"/>
        </w:rPr>
        <w:t>.0</w:t>
      </w:r>
      <w:r w:rsidR="000B5F08" w:rsidRPr="00860424">
        <w:rPr>
          <w:rStyle w:val="Emphasis"/>
          <w:i w:val="0"/>
        </w:rPr>
        <w:t xml:space="preserve"> (2013) </w:t>
      </w:r>
      <w:r w:rsidR="000B5F08" w:rsidRPr="00860424">
        <w:rPr>
          <w:rStyle w:val="Emphasis"/>
          <w:rFonts w:cs="Times New Roman"/>
          <w:i w:val="0"/>
        </w:rPr>
        <w:t>‰.</w:t>
      </w:r>
      <w:r w:rsidR="000B5F08" w:rsidRPr="00860424">
        <w:rPr>
          <w:rStyle w:val="Emphasis"/>
          <w:i w:val="0"/>
        </w:rPr>
        <w:t xml:space="preserve"> </w:t>
      </w:r>
      <w:r w:rsidR="00F4416F" w:rsidRPr="00860424">
        <w:t xml:space="preserve">This however, should not be a confounding issue as applied P sources are unlikely to be directly reflected in the </w:t>
      </w:r>
      <w:r w:rsidR="00083A49" w:rsidRPr="00860424">
        <w:t xml:space="preserve">resin P </w:t>
      </w:r>
      <w:r w:rsidR="00F4416F" w:rsidRPr="00860424">
        <w:t>δ</w:t>
      </w:r>
      <w:r w:rsidR="00F4416F" w:rsidRPr="00860424">
        <w:rPr>
          <w:vertAlign w:val="superscript"/>
        </w:rPr>
        <w:t>18</w:t>
      </w:r>
      <w:r w:rsidR="00F4416F" w:rsidRPr="00860424">
        <w:t>O</w:t>
      </w:r>
      <w:r w:rsidR="00F4416F" w:rsidRPr="00860424">
        <w:rPr>
          <w:vertAlign w:val="subscript"/>
        </w:rPr>
        <w:t>P</w:t>
      </w:r>
      <w:r w:rsidR="00FC6E71">
        <w:rPr>
          <w:vertAlign w:val="subscript"/>
        </w:rPr>
        <w:t>,</w:t>
      </w:r>
      <w:r w:rsidR="00F4416F" w:rsidRPr="00860424">
        <w:t xml:space="preserve"> </w:t>
      </w:r>
      <w:r w:rsidR="00F80ACD" w:rsidRPr="00860424">
        <w:t>as</w:t>
      </w:r>
      <w:r w:rsidR="00F4416F" w:rsidRPr="00860424">
        <w:t xml:space="preserve"> the time between sampling and application </w:t>
      </w:r>
      <w:r w:rsidR="00F80ACD" w:rsidRPr="00860424">
        <w:t>was about one in year in our study</w:t>
      </w:r>
      <w:r w:rsidR="000B5F08" w:rsidRPr="00860424">
        <w:t xml:space="preserve"> </w:t>
      </w:r>
      <w:r w:rsidR="00F922AB">
        <w:fldChar w:fldCharType="begin" w:fldLock="1"/>
      </w:r>
      <w:r w:rsidR="00741C1A">
        <w:instrText>ADDIN CSL_CITATION {"citationItems":[{"id":"ITEM-1","itemData":{"DOI":"10.1016/j.watres.2016.12.038","ISBN":"0043-1354","ISSN":"00431354","abstract":"An essential aspect of eutrophication studies is to trace the ultimate origin of phosphate ions (P-PO4) associated with the solid phase of river sediments, as certain processes can make these ions available for algae. However, this is not a straightforward task because of the diversity of allochthonous and autochthonous sources that can supply P-PO4 to river sediments as well as the existence of in-stream processes that can change the speciation of these inputs and obscure the original sources. Here, we present the results of a study designed to explore the potentials, limitations and conditions for the use of the oxygen isotope composition of phosphate (δ18Op) extracted from river sediments for this type of tracing. We first tested if the method commonly applied to soils to purify P-PO4 and to measure their δ18Op concentrations could be adapted to sediments. We then applied this method to a set of sediments collected in a river along a gradient of anthropogenic pressure and compared their isotopic signatures with those from samples that are representative of the potential P-PO4 inputs to the river system (soils and riverbank material). The results showed that following some adaptations, the purification method could be successfully transposed to river sediments with a high level of P-PO4 purification (&gt;97%) and high δ18Op measurement repeatability and accuracy (&lt;0.4‰). The values for the potential allochthonous sources varied from 11.8 to 18.3‰, while the δ18Op value for the river sediments ranged from 12.2 to 15.8‰. Moreover, a sharp increase (&gt;3‰) in the sediment δ18Op value immediately downstream from the discharge point revealed the strong impact of municipal wastewater. The calculation of the theoretical equilibrium δ18Op values using the river water temperature and δ18Ow showed that the downstream sediments were in equilibrium, which was not the case for the upstream sediments. This difference could be related to the contrast between the short residence time of the transfer system in the catchment head, which can preserve the isotopic variability of the source materials, and the longer residence times and higher P bioavailability in the lower catchment, possibly fostering the recycling of P-PO4 by the biota and the equilibration of the oxygen isotope signature in P-PO4. These results demonstrate the potential of the isotopic approach to assess the sources and in-stream turnover of sedimentary P in river systems.","author":[{"dropping-particle":"","family":"Pistocchi","given":"Chiara","non-dropping-particle":"","parse-names":false,"suffix":""},{"dropping-particle":"","family":"Tamburini","given":"Federica","non-dropping-particle":"","parse-names":false,"suffix":""},{"dropping-particle":"","family":"Gruau","given":"Gerard","non-dropping-particle":"","parse-names":false,"suffix":""},{"dropping-particle":"","family":"Ferhi","given":"André","non-dropping-particle":"","parse-names":false,"suffix":""},{"dropping-particle":"","family":"Trevisan","given":"Dominique","non-dropping-particle":"","parse-names":false,"suffix":""},{"dropping-particle":"","family":"Dorioz","given":"Jean-Marcel","non-dropping-particle":"","parse-names":false,"suffix":""}],"container-title":"Water Research","id":"ITEM-1","issued":{"date-parts":[["2017","3"]]},"page":"346-356","title":"Tracing the sources and cycling of phosphorus in river sediments using oxygen isotopes: Methodological adaptations and first results from a case study in France","type":"article-journal","volume":"111"},"uris":["http://www.mendeley.com/documents/?uuid=0a156856-1c24-458e-9ae7-287afd2e0f94"]}],"mendeley":{"formattedCitation":"&lt;sup&gt;38&lt;/sup&gt;","plainTextFormattedCitation":"38","previouslyFormattedCitation":"&lt;sup&gt;38&lt;/sup&gt;"},"properties":{"noteIndex":0},"schema":"https://github.com/citation-style-language/schema/raw/master/csl-citation.json"}</w:instrText>
      </w:r>
      <w:r w:rsidR="00F922AB">
        <w:fldChar w:fldCharType="separate"/>
      </w:r>
      <w:r w:rsidR="00CB44EE" w:rsidRPr="00CB44EE">
        <w:rPr>
          <w:noProof/>
          <w:vertAlign w:val="superscript"/>
        </w:rPr>
        <w:t>38</w:t>
      </w:r>
      <w:r w:rsidR="00F922AB">
        <w:fldChar w:fldCharType="end"/>
      </w:r>
      <w:r w:rsidR="00F4416F" w:rsidRPr="00860424">
        <w:t>.</w:t>
      </w:r>
      <w:r w:rsidR="000B5F08" w:rsidRPr="00860424">
        <w:t xml:space="preserve"> </w:t>
      </w:r>
      <w:r w:rsidR="003B6FB0" w:rsidRPr="00860424">
        <w:t xml:space="preserve">It is more likely that the resin </w:t>
      </w:r>
      <w:r w:rsidR="009B45E5" w:rsidRPr="00860424">
        <w:t xml:space="preserve">P </w:t>
      </w:r>
      <w:r w:rsidR="003B6FB0" w:rsidRPr="00860424">
        <w:t>δ</w:t>
      </w:r>
      <w:r w:rsidR="003B6FB0" w:rsidRPr="00860424">
        <w:rPr>
          <w:vertAlign w:val="superscript"/>
        </w:rPr>
        <w:t>18</w:t>
      </w:r>
      <w:r w:rsidR="003B6FB0" w:rsidRPr="00860424">
        <w:t>O</w:t>
      </w:r>
      <w:r w:rsidR="003B6FB0" w:rsidRPr="00860424">
        <w:rPr>
          <w:vertAlign w:val="subscript"/>
        </w:rPr>
        <w:t>P</w:t>
      </w:r>
      <w:r w:rsidR="003B6FB0" w:rsidRPr="00860424">
        <w:t xml:space="preserve"> values in the +L and -L </w:t>
      </w:r>
      <w:r w:rsidR="007A2F5B" w:rsidRPr="00860424">
        <w:t xml:space="preserve">treatments </w:t>
      </w:r>
      <w:r w:rsidR="003B6FB0" w:rsidRPr="00860424">
        <w:t xml:space="preserve">differ due to differences in P cycling between those </w:t>
      </w:r>
      <w:r w:rsidR="00CA3058" w:rsidRPr="00860424">
        <w:t>treatments</w:t>
      </w:r>
      <w:r w:rsidR="003B6FB0" w:rsidRPr="00860424">
        <w:t xml:space="preserve">. </w:t>
      </w:r>
      <w:r w:rsidR="009B45E5" w:rsidRPr="00860424">
        <w:t>This is also supported by the hexanol P δ</w:t>
      </w:r>
      <w:r w:rsidR="009B45E5" w:rsidRPr="00860424">
        <w:rPr>
          <w:vertAlign w:val="superscript"/>
        </w:rPr>
        <w:t>18</w:t>
      </w:r>
      <w:r w:rsidR="009B45E5" w:rsidRPr="00860424">
        <w:t>O</w:t>
      </w:r>
      <w:r w:rsidR="009B45E5" w:rsidRPr="00860424">
        <w:rPr>
          <w:vertAlign w:val="subscript"/>
        </w:rPr>
        <w:t>P</w:t>
      </w:r>
      <w:r w:rsidR="009B45E5" w:rsidRPr="00860424">
        <w:t xml:space="preserve"> values</w:t>
      </w:r>
      <w:r w:rsidR="00FC6E71">
        <w:t>,</w:t>
      </w:r>
      <w:r w:rsidR="009B45E5" w:rsidRPr="00860424">
        <w:t xml:space="preserve"> which show a similar pattern as resin P δ</w:t>
      </w:r>
      <w:r w:rsidR="009B45E5" w:rsidRPr="00860424">
        <w:rPr>
          <w:vertAlign w:val="superscript"/>
        </w:rPr>
        <w:t>18</w:t>
      </w:r>
      <w:r w:rsidR="009B45E5" w:rsidRPr="00860424">
        <w:t>O</w:t>
      </w:r>
      <w:r w:rsidR="009B45E5" w:rsidRPr="00860424">
        <w:rPr>
          <w:vertAlign w:val="subscript"/>
        </w:rPr>
        <w:t>P</w:t>
      </w:r>
      <w:r w:rsidR="009B45E5" w:rsidRPr="00860424">
        <w:t xml:space="preserve">, indicating that microbial P cycling was </w:t>
      </w:r>
      <w:r w:rsidR="00E05CAE">
        <w:t xml:space="preserve">also </w:t>
      </w:r>
      <w:r w:rsidR="009B45E5" w:rsidRPr="00860424">
        <w:t xml:space="preserve">affected by soil pH. </w:t>
      </w:r>
      <w:r w:rsidR="00E60C68" w:rsidRPr="00860424">
        <w:t>As the TCA P δ</w:t>
      </w:r>
      <w:r w:rsidR="00E60C68" w:rsidRPr="00860424">
        <w:rPr>
          <w:vertAlign w:val="superscript"/>
        </w:rPr>
        <w:t>18</w:t>
      </w:r>
      <w:r w:rsidR="00E60C68" w:rsidRPr="00860424">
        <w:t>O</w:t>
      </w:r>
      <w:r w:rsidR="00E60C68" w:rsidRPr="00860424">
        <w:rPr>
          <w:vertAlign w:val="subscript"/>
        </w:rPr>
        <w:t>P</w:t>
      </w:r>
      <w:r w:rsidR="00E60C68" w:rsidRPr="00860424">
        <w:t xml:space="preserve"> values of the vegetation </w:t>
      </w:r>
      <w:r w:rsidR="00E35400" w:rsidRPr="00860424">
        <w:t xml:space="preserve">were </w:t>
      </w:r>
      <w:r w:rsidR="008C0DD7">
        <w:t>not associated with</w:t>
      </w:r>
      <w:r w:rsidR="00E60C68" w:rsidRPr="00860424">
        <w:t xml:space="preserve"> </w:t>
      </w:r>
      <w:r>
        <w:t xml:space="preserve">differences </w:t>
      </w:r>
      <w:proofErr w:type="spellStart"/>
      <w:r>
        <w:t>in</w:t>
      </w:r>
      <w:r w:rsidR="00E60C68" w:rsidRPr="00860424">
        <w:t>liming</w:t>
      </w:r>
      <w:proofErr w:type="spellEnd"/>
      <w:r w:rsidR="00E60C68" w:rsidRPr="00860424">
        <w:t xml:space="preserve">, it is unlikely that the </w:t>
      </w:r>
      <w:r w:rsidR="00E35400" w:rsidRPr="00860424">
        <w:t xml:space="preserve">higher </w:t>
      </w:r>
      <w:r w:rsidR="00E60C68" w:rsidRPr="00860424">
        <w:t>resin P δ</w:t>
      </w:r>
      <w:r w:rsidR="00E60C68" w:rsidRPr="00860424">
        <w:rPr>
          <w:vertAlign w:val="superscript"/>
        </w:rPr>
        <w:t>18</w:t>
      </w:r>
      <w:r w:rsidR="00E60C68" w:rsidRPr="00860424">
        <w:t>O</w:t>
      </w:r>
      <w:r w:rsidR="00E60C68" w:rsidRPr="00860424">
        <w:rPr>
          <w:vertAlign w:val="subscript"/>
        </w:rPr>
        <w:t>P</w:t>
      </w:r>
      <w:r w:rsidR="00E60C68" w:rsidRPr="00860424">
        <w:t xml:space="preserve"> values in the -L fertilised treatments </w:t>
      </w:r>
      <w:r w:rsidR="00E35400" w:rsidRPr="00860424">
        <w:t xml:space="preserve">were </w:t>
      </w:r>
      <w:r w:rsidR="00E60C68" w:rsidRPr="00860424">
        <w:t xml:space="preserve">caused by the contribution of vegetation P directly. </w:t>
      </w:r>
      <w:r w:rsidR="00987BCD" w:rsidRPr="00860424">
        <w:t>Abiotic processes</w:t>
      </w:r>
      <w:r w:rsidR="00FC6E71">
        <w:t>,</w:t>
      </w:r>
      <w:r w:rsidR="00DB0607">
        <w:t xml:space="preserve"> like the dissolution of minerals,</w:t>
      </w:r>
      <w:r w:rsidR="00987BCD" w:rsidRPr="00860424">
        <w:t xml:space="preserve"> could have influenced the resin P δ</w:t>
      </w:r>
      <w:r w:rsidR="00987BCD" w:rsidRPr="00860424">
        <w:rPr>
          <w:vertAlign w:val="superscript"/>
        </w:rPr>
        <w:t>18</w:t>
      </w:r>
      <w:r w:rsidR="00987BCD" w:rsidRPr="00860424">
        <w:t>O</w:t>
      </w:r>
      <w:r w:rsidR="00987BCD" w:rsidRPr="00860424">
        <w:rPr>
          <w:vertAlign w:val="subscript"/>
        </w:rPr>
        <w:t xml:space="preserve">P </w:t>
      </w:r>
      <w:r w:rsidR="00987BCD" w:rsidRPr="00860424">
        <w:t>if the Pi</w:t>
      </w:r>
      <w:r w:rsidR="000472FB">
        <w:t xml:space="preserve"> </w:t>
      </w:r>
      <w:r w:rsidR="00987BCD" w:rsidRPr="00860424">
        <w:t>had a distinctly different δ</w:t>
      </w:r>
      <w:r w:rsidR="00987BCD" w:rsidRPr="00860424">
        <w:rPr>
          <w:vertAlign w:val="superscript"/>
        </w:rPr>
        <w:t>18</w:t>
      </w:r>
      <w:r w:rsidR="00987BCD" w:rsidRPr="00860424">
        <w:t>O</w:t>
      </w:r>
      <w:r w:rsidR="00987BCD" w:rsidRPr="00860424">
        <w:rPr>
          <w:vertAlign w:val="subscript"/>
        </w:rPr>
        <w:t xml:space="preserve">P </w:t>
      </w:r>
      <w:r w:rsidR="00987BCD" w:rsidRPr="00860424">
        <w:t>value compared to the resin P</w:t>
      </w:r>
      <w:r w:rsidR="00DB0607">
        <w:t>. Additionally,</w:t>
      </w:r>
      <w:r w:rsidR="00987BCD" w:rsidRPr="00860424">
        <w:t xml:space="preserve"> the contribution of this abiotically released Pi to the resin P pool </w:t>
      </w:r>
      <w:proofErr w:type="gramStart"/>
      <w:r w:rsidR="00DB0607">
        <w:t>has to</w:t>
      </w:r>
      <w:proofErr w:type="gramEnd"/>
      <w:r w:rsidR="00DB0607">
        <w:t xml:space="preserve"> be</w:t>
      </w:r>
      <w:r w:rsidR="00DB0607" w:rsidRPr="00860424">
        <w:t xml:space="preserve"> </w:t>
      </w:r>
      <w:r w:rsidR="00987BCD" w:rsidRPr="00860424">
        <w:t>relatively high compared to the contribution of biotic processes.</w:t>
      </w:r>
      <w:r w:rsidR="00987BCD" w:rsidRPr="00860424">
        <w:rPr>
          <w:rStyle w:val="Emphasis"/>
          <w:i w:val="0"/>
        </w:rPr>
        <w:t xml:space="preserve"> This seems rather unlikely in the case of Park Grass because HCl P concentrations are low and the soil pH is unfavourable for the desorption of Pi from oxides </w:t>
      </w:r>
      <w:r w:rsidR="00F922AB">
        <w:rPr>
          <w:rStyle w:val="Emphasis"/>
          <w:i w:val="0"/>
        </w:rPr>
        <w:fldChar w:fldCharType="begin" w:fldLock="1"/>
      </w:r>
      <w:r w:rsidR="00741C1A">
        <w:rPr>
          <w:rStyle w:val="Emphasis"/>
          <w:i w:val="0"/>
        </w:rPr>
        <w:instrText>ADDIN CSL_CITATION {"citationItems":[{"id":"ITEM-1","itemData":{"DOI":"10.1046/j.1365-2389.2001.00414.x","ISBN":"1351-0754","ISSN":"1351-0754","abstract":"Can surface complexation constants for anions, drawn from the literature for reference oxides, be combined to describe competitive adsorption in a spodic B horizon sample containing the important adsorbent minerals proto-imogolite allophane and ferrihydrite? To answer this and to derive complexation constants for the corresponding reference oxides, a CD-MUSIC model was used, with arsenate as the sorbing ion. To minimize the interference from competing organic substances, a sample containing little organic matter was used. To describe the adsorption of added arsenate correctly, it was found that competitive interactions from sulphate, silicic acid and phosphate had to be considered. In the model, the specific surface area of singly coordinated AlOH groups of allophane, the sulphate surface complexation constant on allophane, and the total concentration of reactive silicic acid were fitted. All other parameters were fixed using reference oxide values. The results indicated that arsenate, phosphate and silicic acid formed stronger surface complexes on ferrihydrite than on gibbsite or allophane, whereas the reverse was true for sulphate. I conclude that the approach used should provide significant qualitative information on the competitive adsorptive interactions in soils. However, the approach may be impractical for routine simulations and predictions. This is partly due to the uncertainty of the assumption that the properties of allophane and ferrihydrite in real soils can be approximated by those of gibbsite and ferrihydrite synthesized in the laboratory. Another difficulty is that the adsorption of arsenate and phosphate might not reach equilibrium within the limited time of most experiments.","author":[{"dropping-particle":"","family":"Gustafsson","given":"J. P.","non-dropping-particle":"","parse-names":false,"suffix":""}],"container-title":"European Journal of Soil Science","id":"ITEM-1","issue":"4","issued":{"date-parts":[["2001","12"]]},"page":"639-653","title":"Modelling competitive anion adsorption on oxide minerals and an allophane-containing soil","type":"article-journal","volume":"52"},"uris":["http://www.mendeley.com/documents/?uuid=ca53ac69-a0c7-418d-b508-7d6f12676002"]},{"id":"ITEM-2","itemData":{"DOI":"10.1016/j.apgeochem.2009.09.020","ISBN":"0883-2927","ISSN":"08832927","author":[{"dropping-particle":"","family":"Devau","given":"Nicolas","non-dropping-particle":"","parse-names":false,"suffix":""},{"dropping-particle":"Le","family":"Cadre","given":"Edith","non-dropping-particle":"","parse-names":false,"suffix":""},{"dropping-particle":"","family":"Hinsinger","given":"Philippe","non-dropping-particle":"","parse-names":false,"suffix":""},{"dropping-particle":"","family":"Jaillard","given":"Benoît","non-dropping-particle":"","parse-names":false,"suffix":""},{"dropping-particle":"","family":"Gérard","given":"Frédéric","non-dropping-particle":"","parse-names":false,"suffix":""}],"container-title":"Applied Geochemistry","id":"ITEM-2","issue":"11","issued":{"date-parts":[["2009","11"]]},"page":"2163-2174","title":"Soil pH controls the environmental availability of phosphorus: Experimental and mechanistic modelling approaches","type":"article-journal","volume":"24"},"uris":["http://www.mendeley.com/documents/?uuid=69347bbb-5804-4022-a5f5-10080ba23ff9"]}],"mendeley":{"formattedCitation":"&lt;sup&gt;39,40&lt;/sup&gt;","plainTextFormattedCitation":"39,40","previouslyFormattedCitation":"&lt;sup&gt;39,40&lt;/sup&gt;"},"properties":{"noteIndex":0},"schema":"https://github.com/citation-style-language/schema/raw/master/csl-citation.json"}</w:instrText>
      </w:r>
      <w:r w:rsidR="00F922AB">
        <w:rPr>
          <w:rStyle w:val="Emphasis"/>
          <w:i w:val="0"/>
        </w:rPr>
        <w:fldChar w:fldCharType="separate"/>
      </w:r>
      <w:r w:rsidR="00CB44EE" w:rsidRPr="00CB44EE">
        <w:rPr>
          <w:rStyle w:val="Emphasis"/>
          <w:i w:val="0"/>
          <w:noProof/>
          <w:vertAlign w:val="superscript"/>
        </w:rPr>
        <w:t>39,40</w:t>
      </w:r>
      <w:r w:rsidR="00F922AB">
        <w:rPr>
          <w:rStyle w:val="Emphasis"/>
          <w:i w:val="0"/>
        </w:rPr>
        <w:fldChar w:fldCharType="end"/>
      </w:r>
      <w:r w:rsidR="00987BCD" w:rsidRPr="00860424">
        <w:rPr>
          <w:rStyle w:val="Emphasis"/>
          <w:i w:val="0"/>
        </w:rPr>
        <w:t xml:space="preserve">. Furthermore, </w:t>
      </w:r>
      <w:r w:rsidR="00F478ED" w:rsidRPr="00860424">
        <w:rPr>
          <w:rStyle w:val="Emphasis"/>
          <w:i w:val="0"/>
        </w:rPr>
        <w:t>NaOH-EDTA Pi</w:t>
      </w:r>
      <w:r w:rsidR="00987BCD" w:rsidRPr="00860424">
        <w:rPr>
          <w:rStyle w:val="Emphasis"/>
          <w:i w:val="0"/>
        </w:rPr>
        <w:t xml:space="preserve"> </w:t>
      </w:r>
      <w:r w:rsidR="00987BCD" w:rsidRPr="00860424">
        <w:t>δ</w:t>
      </w:r>
      <w:r w:rsidR="00987BCD" w:rsidRPr="00860424">
        <w:rPr>
          <w:vertAlign w:val="superscript"/>
        </w:rPr>
        <w:t>18</w:t>
      </w:r>
      <w:r w:rsidR="00987BCD" w:rsidRPr="00860424">
        <w:t>O</w:t>
      </w:r>
      <w:r w:rsidR="00987BCD" w:rsidRPr="00860424">
        <w:rPr>
          <w:vertAlign w:val="subscript"/>
        </w:rPr>
        <w:t xml:space="preserve">P </w:t>
      </w:r>
      <w:r w:rsidR="00987BCD" w:rsidRPr="00860424">
        <w:t xml:space="preserve">in the </w:t>
      </w:r>
      <w:r w:rsidR="00997E15" w:rsidRPr="00860424">
        <w:t>+N+P</w:t>
      </w:r>
      <w:r w:rsidR="00987BCD" w:rsidRPr="00860424">
        <w:t xml:space="preserve">+L treatment is enriched in </w:t>
      </w:r>
      <w:r w:rsidR="00987BCD" w:rsidRPr="00860424">
        <w:rPr>
          <w:vertAlign w:val="superscript"/>
        </w:rPr>
        <w:t>18</w:t>
      </w:r>
      <w:r w:rsidR="00987BCD" w:rsidRPr="00860424">
        <w:t xml:space="preserve">O compared to the </w:t>
      </w:r>
      <w:r w:rsidR="00997E15" w:rsidRPr="00860424">
        <w:t>+N+P</w:t>
      </w:r>
      <w:r w:rsidR="00987BCD" w:rsidRPr="00860424">
        <w:t>-L treatment, whereas the opposite is the case for resin P δ</w:t>
      </w:r>
      <w:r w:rsidR="00987BCD" w:rsidRPr="00860424">
        <w:rPr>
          <w:vertAlign w:val="superscript"/>
        </w:rPr>
        <w:t>18</w:t>
      </w:r>
      <w:r w:rsidR="00987BCD" w:rsidRPr="00860424">
        <w:t>O</w:t>
      </w:r>
      <w:r w:rsidR="00987BCD" w:rsidRPr="00860424">
        <w:rPr>
          <w:vertAlign w:val="subscript"/>
        </w:rPr>
        <w:t>P</w:t>
      </w:r>
      <w:r w:rsidR="00987BCD" w:rsidRPr="00860424">
        <w:t>.</w:t>
      </w:r>
      <w:r w:rsidR="00987BCD" w:rsidRPr="00860424">
        <w:rPr>
          <w:vertAlign w:val="subscript"/>
        </w:rPr>
        <w:t xml:space="preserve"> </w:t>
      </w:r>
      <w:r w:rsidR="00987BCD" w:rsidRPr="00860424">
        <w:t>This implies that the shift in resin P δ</w:t>
      </w:r>
      <w:r w:rsidR="00987BCD" w:rsidRPr="00860424">
        <w:rPr>
          <w:vertAlign w:val="superscript"/>
        </w:rPr>
        <w:t>18</w:t>
      </w:r>
      <w:r w:rsidR="00987BCD" w:rsidRPr="00860424">
        <w:t>O</w:t>
      </w:r>
      <w:r w:rsidR="00987BCD" w:rsidRPr="00860424">
        <w:rPr>
          <w:vertAlign w:val="subscript"/>
        </w:rPr>
        <w:t>P</w:t>
      </w:r>
      <w:r w:rsidR="00987BCD" w:rsidRPr="00860424">
        <w:t xml:space="preserve"> between the </w:t>
      </w:r>
      <w:r w:rsidR="00997E15" w:rsidRPr="00860424">
        <w:t>+N+P+L</w:t>
      </w:r>
      <w:r w:rsidR="00987BCD" w:rsidRPr="00860424">
        <w:t xml:space="preserve"> and </w:t>
      </w:r>
      <w:r w:rsidR="00997E15" w:rsidRPr="00860424">
        <w:t>+N+P</w:t>
      </w:r>
      <w:r w:rsidR="00987BCD" w:rsidRPr="00860424">
        <w:t xml:space="preserve">-L treatment is most likely due to biotic processes like enzymatic hydrolysis and not due to abiotic processes. </w:t>
      </w:r>
      <w:r w:rsidR="0098282D" w:rsidRPr="00860424">
        <w:t>L</w:t>
      </w:r>
      <w:r w:rsidR="000B5F08" w:rsidRPr="00860424">
        <w:t>ime P δ</w:t>
      </w:r>
      <w:r w:rsidR="000B5F08" w:rsidRPr="00860424">
        <w:rPr>
          <w:vertAlign w:val="superscript"/>
        </w:rPr>
        <w:t>18</w:t>
      </w:r>
      <w:r w:rsidR="000B5F08" w:rsidRPr="00860424">
        <w:t>O</w:t>
      </w:r>
      <w:r w:rsidR="000B5F08" w:rsidRPr="00860424">
        <w:rPr>
          <w:vertAlign w:val="subscript"/>
        </w:rPr>
        <w:t>P</w:t>
      </w:r>
      <w:r w:rsidR="000B5F08" w:rsidRPr="00860424">
        <w:t xml:space="preserve"> values could</w:t>
      </w:r>
      <w:r w:rsidR="003B6FB0" w:rsidRPr="00860424">
        <w:t xml:space="preserve"> </w:t>
      </w:r>
      <w:r w:rsidR="00A6113E" w:rsidRPr="00860424">
        <w:t xml:space="preserve">potentially </w:t>
      </w:r>
      <w:r w:rsidR="00066066" w:rsidRPr="00860424">
        <w:t>impact</w:t>
      </w:r>
      <w:r w:rsidR="00A6113E" w:rsidRPr="00860424">
        <w:t xml:space="preserve"> </w:t>
      </w:r>
      <w:r w:rsidR="0098282D" w:rsidRPr="00860424">
        <w:t xml:space="preserve">HCl P </w:t>
      </w:r>
      <w:r w:rsidR="000B5F08" w:rsidRPr="00860424">
        <w:t>δ</w:t>
      </w:r>
      <w:r w:rsidR="000B5F08" w:rsidRPr="00860424">
        <w:rPr>
          <w:vertAlign w:val="superscript"/>
        </w:rPr>
        <w:t>18</w:t>
      </w:r>
      <w:r w:rsidR="000B5F08" w:rsidRPr="00860424">
        <w:t>O</w:t>
      </w:r>
      <w:r w:rsidR="000B5F08" w:rsidRPr="00860424">
        <w:rPr>
          <w:vertAlign w:val="subscript"/>
        </w:rPr>
        <w:t>P</w:t>
      </w:r>
      <w:r w:rsidR="00FC6E71">
        <w:rPr>
          <w:vertAlign w:val="subscript"/>
        </w:rPr>
        <w:t>,</w:t>
      </w:r>
      <w:r w:rsidR="000B5F08" w:rsidRPr="00860424">
        <w:t xml:space="preserve"> as these two pools are more stable than resin and microbial P. </w:t>
      </w:r>
      <w:r w:rsidR="00A6113E" w:rsidRPr="00860424">
        <w:t xml:space="preserve">The </w:t>
      </w:r>
      <w:r w:rsidR="000B7E28" w:rsidRPr="00860424">
        <w:rPr>
          <w:rFonts w:cs="Times New Roman"/>
        </w:rPr>
        <w:t xml:space="preserve">HCl P </w:t>
      </w:r>
      <w:r w:rsidR="00BA3D44" w:rsidRPr="00860424">
        <w:rPr>
          <w:rFonts w:cs="Times New Roman"/>
        </w:rPr>
        <w:t>δ</w:t>
      </w:r>
      <w:r w:rsidR="00BA3D44" w:rsidRPr="00860424">
        <w:rPr>
          <w:rFonts w:cs="Times New Roman"/>
          <w:vertAlign w:val="superscript"/>
        </w:rPr>
        <w:t>18</w:t>
      </w:r>
      <w:r w:rsidR="00BA3D44" w:rsidRPr="00860424">
        <w:rPr>
          <w:rFonts w:cs="Times New Roman"/>
        </w:rPr>
        <w:t>O</w:t>
      </w:r>
      <w:r w:rsidR="00BA3D44" w:rsidRPr="00860424">
        <w:rPr>
          <w:rFonts w:cs="Times New Roman"/>
          <w:vertAlign w:val="subscript"/>
        </w:rPr>
        <w:t>P</w:t>
      </w:r>
      <w:r w:rsidR="00BA3D44" w:rsidRPr="00860424">
        <w:rPr>
          <w:rFonts w:cs="Times New Roman"/>
        </w:rPr>
        <w:t xml:space="preserve"> values</w:t>
      </w:r>
      <w:r w:rsidR="00F72F65" w:rsidRPr="00860424">
        <w:rPr>
          <w:rFonts w:cs="Times New Roman"/>
        </w:rPr>
        <w:t>, as well as HCl P concentrations,</w:t>
      </w:r>
      <w:r w:rsidR="00BA3D44" w:rsidRPr="00860424">
        <w:rPr>
          <w:rFonts w:cs="Times New Roman"/>
        </w:rPr>
        <w:t xml:space="preserve"> are </w:t>
      </w:r>
      <w:r w:rsidR="00E35400" w:rsidRPr="00860424">
        <w:rPr>
          <w:rFonts w:cs="Times New Roman"/>
        </w:rPr>
        <w:t xml:space="preserve">higher </w:t>
      </w:r>
      <w:r w:rsidR="00BA3D44" w:rsidRPr="00860424">
        <w:rPr>
          <w:rFonts w:cs="Times New Roman"/>
        </w:rPr>
        <w:t xml:space="preserve">in the -L </w:t>
      </w:r>
      <w:r w:rsidR="00A6113E" w:rsidRPr="00860424">
        <w:rPr>
          <w:rFonts w:cs="Times New Roman"/>
        </w:rPr>
        <w:t>treatments</w:t>
      </w:r>
      <w:r w:rsidR="00BA3D44" w:rsidRPr="00860424">
        <w:rPr>
          <w:rFonts w:cs="Times New Roman"/>
        </w:rPr>
        <w:t xml:space="preserve"> compared to the +L </w:t>
      </w:r>
      <w:r w:rsidR="00A6113E" w:rsidRPr="00860424">
        <w:rPr>
          <w:rFonts w:cs="Times New Roman"/>
        </w:rPr>
        <w:t>treatments</w:t>
      </w:r>
      <w:r w:rsidR="00C02C58" w:rsidRPr="00860424">
        <w:rPr>
          <w:rFonts w:cs="Times New Roman"/>
        </w:rPr>
        <w:t xml:space="preserve">. </w:t>
      </w:r>
      <w:r w:rsidR="00A669EC" w:rsidRPr="00860424">
        <w:rPr>
          <w:rFonts w:cs="Times New Roman"/>
        </w:rPr>
        <w:t>Based on a simple mass balance, using the δ</w:t>
      </w:r>
      <w:r w:rsidR="00A669EC" w:rsidRPr="00860424">
        <w:rPr>
          <w:rFonts w:cs="Times New Roman"/>
          <w:vertAlign w:val="superscript"/>
        </w:rPr>
        <w:t>18</w:t>
      </w:r>
      <w:r w:rsidR="00A669EC" w:rsidRPr="00860424">
        <w:rPr>
          <w:rFonts w:cs="Times New Roman"/>
        </w:rPr>
        <w:t>O</w:t>
      </w:r>
      <w:r w:rsidR="00A669EC" w:rsidRPr="00860424">
        <w:rPr>
          <w:rFonts w:cs="Times New Roman"/>
          <w:vertAlign w:val="subscript"/>
        </w:rPr>
        <w:t>P</w:t>
      </w:r>
      <w:r w:rsidR="00A669EC" w:rsidRPr="00860424">
        <w:rPr>
          <w:rFonts w:cs="Times New Roman"/>
        </w:rPr>
        <w:t xml:space="preserve"> values of the lime and the HCl P of the </w:t>
      </w:r>
      <w:r w:rsidR="00A53B15">
        <w:rPr>
          <w:rFonts w:cs="Times New Roman"/>
        </w:rPr>
        <w:t xml:space="preserve">-L </w:t>
      </w:r>
      <w:r w:rsidR="00A669EC" w:rsidRPr="00860424">
        <w:rPr>
          <w:rFonts w:cs="Times New Roman"/>
        </w:rPr>
        <w:t>treatment</w:t>
      </w:r>
      <w:r w:rsidR="00A53B15">
        <w:rPr>
          <w:rFonts w:cs="Times New Roman"/>
        </w:rPr>
        <w:t>s</w:t>
      </w:r>
      <w:r w:rsidR="00A669EC" w:rsidRPr="00860424">
        <w:rPr>
          <w:rFonts w:cs="Times New Roman"/>
        </w:rPr>
        <w:t xml:space="preserve">, the P impurities in the lime </w:t>
      </w:r>
      <w:r w:rsidR="00F72F65" w:rsidRPr="00860424">
        <w:rPr>
          <w:rFonts w:cs="Times New Roman"/>
        </w:rPr>
        <w:t>could</w:t>
      </w:r>
      <w:r w:rsidR="00A669EC" w:rsidRPr="00860424">
        <w:rPr>
          <w:rFonts w:cs="Times New Roman"/>
        </w:rPr>
        <w:t xml:space="preserve"> explain the </w:t>
      </w:r>
      <w:r w:rsidR="00975DF7">
        <w:rPr>
          <w:rFonts w:cs="Times New Roman"/>
        </w:rPr>
        <w:t>decrease</w:t>
      </w:r>
      <w:r w:rsidR="00A669EC" w:rsidRPr="00860424">
        <w:rPr>
          <w:rFonts w:cs="Times New Roman"/>
        </w:rPr>
        <w:t xml:space="preserve"> in HCl P δ</w:t>
      </w:r>
      <w:r w:rsidR="00A669EC" w:rsidRPr="00860424">
        <w:rPr>
          <w:rFonts w:cs="Times New Roman"/>
          <w:vertAlign w:val="superscript"/>
        </w:rPr>
        <w:t>18</w:t>
      </w:r>
      <w:r w:rsidR="00A669EC" w:rsidRPr="00860424">
        <w:rPr>
          <w:rFonts w:cs="Times New Roman"/>
        </w:rPr>
        <w:t>O</w:t>
      </w:r>
      <w:r w:rsidR="00A669EC" w:rsidRPr="00860424">
        <w:rPr>
          <w:rFonts w:cs="Times New Roman"/>
          <w:vertAlign w:val="subscript"/>
        </w:rPr>
        <w:t>P</w:t>
      </w:r>
      <w:r w:rsidR="00A669EC" w:rsidRPr="00860424">
        <w:rPr>
          <w:rFonts w:cs="Times New Roman"/>
        </w:rPr>
        <w:t xml:space="preserve"> values from the -L to +L </w:t>
      </w:r>
      <w:r w:rsidR="00295797" w:rsidRPr="00860424">
        <w:rPr>
          <w:rFonts w:cs="Times New Roman"/>
        </w:rPr>
        <w:t>treatments</w:t>
      </w:r>
      <w:r w:rsidR="00A669EC" w:rsidRPr="00860424">
        <w:rPr>
          <w:rFonts w:cs="Times New Roman"/>
        </w:rPr>
        <w:t>. But t</w:t>
      </w:r>
      <w:r w:rsidR="00657148" w:rsidRPr="00860424">
        <w:rPr>
          <w:rStyle w:val="Emphasis"/>
          <w:i w:val="0"/>
        </w:rPr>
        <w:t>he</w:t>
      </w:r>
      <w:r w:rsidR="00A669EC" w:rsidRPr="00860424">
        <w:rPr>
          <w:rStyle w:val="Emphasis"/>
          <w:i w:val="0"/>
        </w:rPr>
        <w:t xml:space="preserve"> HCl P</w:t>
      </w:r>
      <w:r w:rsidR="00657148" w:rsidRPr="00860424">
        <w:rPr>
          <w:rStyle w:val="Emphasis"/>
          <w:i w:val="0"/>
        </w:rPr>
        <w:t xml:space="preserve"> </w:t>
      </w:r>
      <w:r w:rsidR="00657148" w:rsidRPr="00860424">
        <w:rPr>
          <w:rFonts w:cs="Times New Roman"/>
        </w:rPr>
        <w:t>δ</w:t>
      </w:r>
      <w:r w:rsidR="00657148" w:rsidRPr="00860424">
        <w:rPr>
          <w:rFonts w:cs="Times New Roman"/>
          <w:vertAlign w:val="superscript"/>
        </w:rPr>
        <w:t>18</w:t>
      </w:r>
      <w:r w:rsidR="00657148" w:rsidRPr="00860424">
        <w:rPr>
          <w:rFonts w:cs="Times New Roman"/>
        </w:rPr>
        <w:t>O</w:t>
      </w:r>
      <w:r w:rsidR="00657148" w:rsidRPr="00860424">
        <w:rPr>
          <w:rFonts w:cs="Times New Roman"/>
          <w:vertAlign w:val="subscript"/>
        </w:rPr>
        <w:t>P</w:t>
      </w:r>
      <w:r w:rsidR="00657148" w:rsidRPr="00860424">
        <w:rPr>
          <w:rStyle w:val="Emphasis"/>
        </w:rPr>
        <w:t xml:space="preserve"> </w:t>
      </w:r>
      <w:r w:rsidR="00657148" w:rsidRPr="00860424">
        <w:rPr>
          <w:rStyle w:val="Emphasis"/>
          <w:i w:val="0"/>
        </w:rPr>
        <w:t xml:space="preserve">values are </w:t>
      </w:r>
      <w:r w:rsidR="00A669EC" w:rsidRPr="00860424">
        <w:rPr>
          <w:rStyle w:val="Emphasis"/>
          <w:i w:val="0"/>
        </w:rPr>
        <w:t xml:space="preserve">also </w:t>
      </w:r>
      <w:r w:rsidR="00657148" w:rsidRPr="00860424">
        <w:rPr>
          <w:rStyle w:val="Emphasis"/>
          <w:i w:val="0"/>
        </w:rPr>
        <w:t>within the reported δ</w:t>
      </w:r>
      <w:r w:rsidR="00657148" w:rsidRPr="00860424">
        <w:rPr>
          <w:rStyle w:val="Emphasis"/>
          <w:i w:val="0"/>
          <w:vertAlign w:val="superscript"/>
        </w:rPr>
        <w:t>18</w:t>
      </w:r>
      <w:r w:rsidR="00657148" w:rsidRPr="00860424">
        <w:rPr>
          <w:rStyle w:val="Emphasis"/>
          <w:i w:val="0"/>
        </w:rPr>
        <w:t>O</w:t>
      </w:r>
      <w:r w:rsidR="00657148" w:rsidRPr="00860424">
        <w:rPr>
          <w:rStyle w:val="Emphasis"/>
          <w:i w:val="0"/>
          <w:vertAlign w:val="subscript"/>
        </w:rPr>
        <w:t>P</w:t>
      </w:r>
      <w:r w:rsidR="00657148" w:rsidRPr="00860424">
        <w:rPr>
          <w:rStyle w:val="Emphasis"/>
          <w:i w:val="0"/>
        </w:rPr>
        <w:t xml:space="preserve"> range for sedimentary rocks (12 - 21</w:t>
      </w:r>
      <w:r w:rsidR="00657148" w:rsidRPr="00860424">
        <w:rPr>
          <w:rStyle w:val="Emphasis"/>
          <w:rFonts w:cs="Times New Roman"/>
          <w:i w:val="0"/>
        </w:rPr>
        <w:t>‰</w:t>
      </w:r>
      <w:r w:rsidR="00657148" w:rsidRPr="00860424">
        <w:rPr>
          <w:rStyle w:val="Emphasis"/>
          <w:i w:val="0"/>
        </w:rPr>
        <w:t xml:space="preserve">, </w:t>
      </w:r>
      <w:r w:rsidR="00F922AB">
        <w:rPr>
          <w:rStyle w:val="Emphasis"/>
          <w:i w:val="0"/>
        </w:rPr>
        <w:fldChar w:fldCharType="begin" w:fldLock="1"/>
      </w:r>
      <w:r w:rsidR="00741C1A">
        <w:rPr>
          <w:rStyle w:val="Emphasis"/>
          <w:i w:val="0"/>
        </w:rPr>
        <w:instrText>ADDIN CSL_CITATION {"citationItems":[{"id":"ITEM-1","itemData":{"DOI":"10.2136/sssaj2013.05.0186dgs","ISSN":"0361-5995","abstract":"Phosphorus is a major nutrient for all living organisms. In the terrestrial environment, P is considered a double-edged sword. In some areas, agricultural production is strongly limited by the low soil P availability, while in others, P inputs in excess of plant needs have resulted in pollution of water bodies. A better understanding of soil–plant P cycling is needed to provide agricultural and environmental managers with better concepts for P use. Together with the routine analysis of soil available P, the determination of P chemical forms, and the use of P radioisotopes, researchers have recently started using the ratio of stable oxygen isotopes in phosphate (δ18O-P). The scientific community interested in using this isotopic tracer is slowly but steadily expanding because δ18O-P has proven to provide important information on biological processes influencing the P cycle and it could be used to trace the origin and fate of P in soil–plant systems. This review examines the published results and compiles the available data relevant for soil–plant systems, pinpoints gaps in analytical techniques and knowledge, and suggests key questions and topics to be investigated.","author":[{"dropping-particle":"","family":"Tamburini","given":"Federica","non-dropping-particle":"","parse-names":false,"suffix":""},{"dropping-particle":"","family":"Pfahler","given":"Verena","non-dropping-particle":"","parse-names":false,"suffix":""},{"dropping-particle":"","family":"Sperber","given":"Christian","non-dropping-particle":"von","parse-names":false,"suffix":""},{"dropping-particle":"","family":"Frossard","given":"Emmanuel","non-dropping-particle":"","parse-names":false,"suffix":""},{"dropping-particle":"","family":"Bernasconi","given":"Stefano M","non-dropping-particle":"","parse-names":false,"suffix":""}],"container-title":"Soil Science Society of America Journal","id":"ITEM-1","issue":"1","issued":{"date-parts":[["2014"]]},"page":"38-46","title":"Oxygen Isotopes for Unraveling Phosphorus Transformations in the Soil–Plant System: A Review","type":"article-journal","volume":"78"},"uris":["http://www.mendeley.com/documents/?uuid=310d931f-a08d-434e-8c59-bfcfa1f00b39"]}],"mendeley":{"formattedCitation":"&lt;sup&gt;41&lt;/sup&gt;","plainTextFormattedCitation":"41","previouslyFormattedCitation":"&lt;sup&gt;41&lt;/sup&gt;"},"properties":{"noteIndex":0},"schema":"https://github.com/citation-style-language/schema/raw/master/csl-citation.json"}</w:instrText>
      </w:r>
      <w:r w:rsidR="00F922AB">
        <w:rPr>
          <w:rStyle w:val="Emphasis"/>
          <w:i w:val="0"/>
        </w:rPr>
        <w:fldChar w:fldCharType="separate"/>
      </w:r>
      <w:r w:rsidR="00CB44EE" w:rsidRPr="00CB44EE">
        <w:rPr>
          <w:rStyle w:val="Emphasis"/>
          <w:i w:val="0"/>
          <w:noProof/>
          <w:vertAlign w:val="superscript"/>
        </w:rPr>
        <w:t>41</w:t>
      </w:r>
      <w:r w:rsidR="00F922AB">
        <w:rPr>
          <w:rStyle w:val="Emphasis"/>
          <w:i w:val="0"/>
        </w:rPr>
        <w:fldChar w:fldCharType="end"/>
      </w:r>
      <w:r w:rsidR="00657148" w:rsidRPr="00860424">
        <w:rPr>
          <w:rStyle w:val="Emphasis"/>
          <w:i w:val="0"/>
        </w:rPr>
        <w:t>, the applied fertiliser (18</w:t>
      </w:r>
      <w:r w:rsidR="00DC0666" w:rsidRPr="00860424">
        <w:rPr>
          <w:rStyle w:val="Emphasis"/>
          <w:i w:val="0"/>
        </w:rPr>
        <w:t>.6</w:t>
      </w:r>
      <w:r w:rsidR="00657148" w:rsidRPr="00860424">
        <w:rPr>
          <w:rStyle w:val="Emphasis"/>
          <w:i w:val="0"/>
        </w:rPr>
        <w:t xml:space="preserve"> </w:t>
      </w:r>
      <w:r w:rsidR="00DC0666" w:rsidRPr="00860424">
        <w:rPr>
          <w:rStyle w:val="Emphasis"/>
          <w:i w:val="0"/>
        </w:rPr>
        <w:t>and</w:t>
      </w:r>
      <w:r w:rsidR="00657148" w:rsidRPr="00860424">
        <w:rPr>
          <w:rStyle w:val="Emphasis"/>
          <w:i w:val="0"/>
        </w:rPr>
        <w:t xml:space="preserve"> 2</w:t>
      </w:r>
      <w:r w:rsidR="00DC0666" w:rsidRPr="00860424">
        <w:rPr>
          <w:rStyle w:val="Emphasis"/>
          <w:i w:val="0"/>
        </w:rPr>
        <w:t>0.6</w:t>
      </w:r>
      <w:r w:rsidR="003F744D" w:rsidRPr="00860424">
        <w:rPr>
          <w:rStyle w:val="Emphasis"/>
          <w:rFonts w:cs="Times New Roman"/>
          <w:i w:val="0"/>
        </w:rPr>
        <w:t>‰</w:t>
      </w:r>
      <w:r w:rsidR="00DC0666" w:rsidRPr="00860424">
        <w:rPr>
          <w:rStyle w:val="Emphasis"/>
          <w:rFonts w:cs="Times New Roman"/>
          <w:i w:val="0"/>
        </w:rPr>
        <w:t xml:space="preserve"> for the two fertiliser samples analysed in this study, but other fertiliser samples from the Rothamsted Sample Archive had δ</w:t>
      </w:r>
      <w:r w:rsidR="00DC0666" w:rsidRPr="00860424">
        <w:rPr>
          <w:rStyle w:val="Emphasis"/>
          <w:rFonts w:cs="Times New Roman"/>
          <w:i w:val="0"/>
          <w:vertAlign w:val="superscript"/>
        </w:rPr>
        <w:t>18</w:t>
      </w:r>
      <w:r w:rsidR="00DC0666" w:rsidRPr="00860424">
        <w:rPr>
          <w:rStyle w:val="Emphasis"/>
          <w:rFonts w:cs="Times New Roman"/>
          <w:i w:val="0"/>
        </w:rPr>
        <w:t>O</w:t>
      </w:r>
      <w:r w:rsidR="00DC0666" w:rsidRPr="00860424">
        <w:rPr>
          <w:rStyle w:val="Emphasis"/>
          <w:rFonts w:cs="Times New Roman"/>
          <w:i w:val="0"/>
          <w:vertAlign w:val="subscript"/>
        </w:rPr>
        <w:t>P</w:t>
      </w:r>
      <w:r w:rsidR="00DC0666" w:rsidRPr="00860424">
        <w:rPr>
          <w:rStyle w:val="Emphasis"/>
          <w:rFonts w:cs="Times New Roman"/>
          <w:i w:val="0"/>
        </w:rPr>
        <w:t xml:space="preserve"> values up to 22.9‰ (A. C. Smith, personal communication)</w:t>
      </w:r>
      <w:r w:rsidR="00657148" w:rsidRPr="00860424">
        <w:rPr>
          <w:rStyle w:val="Emphasis"/>
          <w:i w:val="0"/>
        </w:rPr>
        <w:t>),</w:t>
      </w:r>
      <w:r w:rsidR="00066066" w:rsidRPr="00860424">
        <w:rPr>
          <w:rStyle w:val="Emphasis"/>
          <w:i w:val="0"/>
        </w:rPr>
        <w:t xml:space="preserve"> and</w:t>
      </w:r>
      <w:r w:rsidR="00657148" w:rsidRPr="00860424">
        <w:rPr>
          <w:rStyle w:val="Emphasis"/>
          <w:i w:val="0"/>
        </w:rPr>
        <w:t xml:space="preserve"> the </w:t>
      </w:r>
      <w:r w:rsidR="000B7E28" w:rsidRPr="00860424">
        <w:rPr>
          <w:rStyle w:val="Emphasis"/>
          <w:i w:val="0"/>
        </w:rPr>
        <w:t xml:space="preserve">TCA and resin P </w:t>
      </w:r>
      <w:r w:rsidR="00657148" w:rsidRPr="00860424">
        <w:rPr>
          <w:rStyle w:val="Emphasis"/>
          <w:i w:val="0"/>
        </w:rPr>
        <w:t>δ</w:t>
      </w:r>
      <w:r w:rsidR="00657148" w:rsidRPr="00860424">
        <w:rPr>
          <w:rStyle w:val="Emphasis"/>
          <w:i w:val="0"/>
          <w:vertAlign w:val="superscript"/>
        </w:rPr>
        <w:t>18</w:t>
      </w:r>
      <w:r w:rsidR="00657148" w:rsidRPr="00860424">
        <w:rPr>
          <w:rStyle w:val="Emphasis"/>
          <w:i w:val="0"/>
        </w:rPr>
        <w:t>O</w:t>
      </w:r>
      <w:r w:rsidR="00657148" w:rsidRPr="00860424">
        <w:rPr>
          <w:rStyle w:val="Emphasis"/>
          <w:i w:val="0"/>
          <w:vertAlign w:val="subscript"/>
        </w:rPr>
        <w:t>P</w:t>
      </w:r>
      <w:r w:rsidR="00066066" w:rsidRPr="00860424">
        <w:rPr>
          <w:rStyle w:val="Emphasis"/>
          <w:i w:val="0"/>
          <w:vertAlign w:val="subscript"/>
        </w:rPr>
        <w:t xml:space="preserve"> </w:t>
      </w:r>
      <w:r w:rsidR="00066066" w:rsidRPr="00860424">
        <w:rPr>
          <w:rStyle w:val="Emphasis"/>
          <w:i w:val="0"/>
        </w:rPr>
        <w:t>values</w:t>
      </w:r>
      <w:r w:rsidR="00657148" w:rsidRPr="00860424">
        <w:rPr>
          <w:rStyle w:val="Emphasis"/>
          <w:i w:val="0"/>
        </w:rPr>
        <w:t>. The similarity of the values makes it difficult to disentangle the origin of the HCl P based on δ</w:t>
      </w:r>
      <w:r w:rsidR="00657148" w:rsidRPr="00860424">
        <w:rPr>
          <w:rStyle w:val="Emphasis"/>
          <w:i w:val="0"/>
          <w:vertAlign w:val="superscript"/>
        </w:rPr>
        <w:t>18</w:t>
      </w:r>
      <w:r w:rsidR="00657148" w:rsidRPr="00860424">
        <w:rPr>
          <w:rStyle w:val="Emphasis"/>
          <w:i w:val="0"/>
        </w:rPr>
        <w:t>O</w:t>
      </w:r>
      <w:r w:rsidR="00657148" w:rsidRPr="00860424">
        <w:rPr>
          <w:rStyle w:val="Emphasis"/>
          <w:i w:val="0"/>
          <w:vertAlign w:val="subscript"/>
        </w:rPr>
        <w:t>P</w:t>
      </w:r>
      <w:r w:rsidR="00657148" w:rsidRPr="00860424">
        <w:rPr>
          <w:rStyle w:val="Emphasis"/>
          <w:i w:val="0"/>
        </w:rPr>
        <w:t>. It is</w:t>
      </w:r>
      <w:r w:rsidR="002373B0">
        <w:rPr>
          <w:rStyle w:val="Emphasis"/>
          <w:i w:val="0"/>
        </w:rPr>
        <w:t>,</w:t>
      </w:r>
      <w:r w:rsidR="00657148" w:rsidRPr="00860424">
        <w:rPr>
          <w:rStyle w:val="Emphasis"/>
          <w:i w:val="0"/>
        </w:rPr>
        <w:t xml:space="preserve"> however, striking that we observe the same trends in the </w:t>
      </w:r>
      <w:r w:rsidR="000B7E28" w:rsidRPr="00860424">
        <w:rPr>
          <w:rStyle w:val="Emphasis"/>
          <w:i w:val="0"/>
        </w:rPr>
        <w:t xml:space="preserve">HCl P </w:t>
      </w:r>
      <w:r w:rsidR="00657148" w:rsidRPr="00860424">
        <w:rPr>
          <w:rFonts w:cs="Times New Roman"/>
        </w:rPr>
        <w:t>δ</w:t>
      </w:r>
      <w:r w:rsidR="00657148" w:rsidRPr="00860424">
        <w:rPr>
          <w:rFonts w:cs="Times New Roman"/>
          <w:vertAlign w:val="superscript"/>
        </w:rPr>
        <w:t>18</w:t>
      </w:r>
      <w:r w:rsidR="00657148" w:rsidRPr="00860424">
        <w:rPr>
          <w:rFonts w:cs="Times New Roman"/>
        </w:rPr>
        <w:t>O</w:t>
      </w:r>
      <w:r w:rsidR="00657148" w:rsidRPr="00860424">
        <w:rPr>
          <w:rFonts w:cs="Times New Roman"/>
          <w:vertAlign w:val="subscript"/>
        </w:rPr>
        <w:t>P</w:t>
      </w:r>
      <w:r w:rsidR="00657148" w:rsidRPr="00860424">
        <w:rPr>
          <w:rStyle w:val="Emphasis"/>
        </w:rPr>
        <w:t xml:space="preserve"> </w:t>
      </w:r>
      <w:r w:rsidR="00657148" w:rsidRPr="00860424">
        <w:rPr>
          <w:rStyle w:val="Emphasis"/>
          <w:i w:val="0"/>
        </w:rPr>
        <w:t>values as for the resin P</w:t>
      </w:r>
      <w:r w:rsidR="009E30B0" w:rsidRPr="00860424">
        <w:rPr>
          <w:rStyle w:val="Emphasis"/>
          <w:i w:val="0"/>
        </w:rPr>
        <w:t xml:space="preserve"> within the same treatments</w:t>
      </w:r>
      <w:r w:rsidR="00657148" w:rsidRPr="00860424">
        <w:rPr>
          <w:rStyle w:val="Emphasis"/>
        </w:rPr>
        <w:t xml:space="preserve">. </w:t>
      </w:r>
      <w:r w:rsidR="00657148" w:rsidRPr="00860424">
        <w:rPr>
          <w:rFonts w:cs="Times New Roman"/>
        </w:rPr>
        <w:t>This indicates that</w:t>
      </w:r>
      <w:r w:rsidR="0098282D" w:rsidRPr="00860424">
        <w:rPr>
          <w:rFonts w:cs="Times New Roman"/>
        </w:rPr>
        <w:t xml:space="preserve"> </w:t>
      </w:r>
      <w:r w:rsidR="00657148" w:rsidRPr="00860424">
        <w:rPr>
          <w:rFonts w:cs="Times New Roman"/>
        </w:rPr>
        <w:t>HCl P could be an important component of P cycling in</w:t>
      </w:r>
      <w:r w:rsidR="00A6113E" w:rsidRPr="00860424">
        <w:rPr>
          <w:rFonts w:cs="Times New Roman"/>
        </w:rPr>
        <w:t xml:space="preserve"> the</w:t>
      </w:r>
      <w:r w:rsidR="00657148" w:rsidRPr="00860424">
        <w:rPr>
          <w:rFonts w:cs="Times New Roman"/>
        </w:rPr>
        <w:t xml:space="preserve"> Park Grass </w:t>
      </w:r>
      <w:r w:rsidR="00A6113E" w:rsidRPr="00860424">
        <w:rPr>
          <w:rFonts w:cs="Times New Roman"/>
        </w:rPr>
        <w:t xml:space="preserve">soil system </w:t>
      </w:r>
      <w:r w:rsidR="00657148" w:rsidRPr="00860424">
        <w:rPr>
          <w:rFonts w:cs="Times New Roman"/>
        </w:rPr>
        <w:t xml:space="preserve">and </w:t>
      </w:r>
      <w:r w:rsidR="009E30B0" w:rsidRPr="00860424">
        <w:rPr>
          <w:rFonts w:cs="Times New Roman"/>
        </w:rPr>
        <w:t xml:space="preserve">it is likely </w:t>
      </w:r>
      <w:r w:rsidR="00657148" w:rsidRPr="00860424">
        <w:rPr>
          <w:rFonts w:cs="Times New Roman"/>
        </w:rPr>
        <w:t>there is a continuous exchange between resin and HCl P</w:t>
      </w:r>
      <w:r w:rsidR="00B049BC" w:rsidRPr="00860424">
        <w:rPr>
          <w:rFonts w:cs="Times New Roman"/>
        </w:rPr>
        <w:t xml:space="preserve"> via the dissolution and formation of secondary P minerals</w:t>
      </w:r>
      <w:r w:rsidR="00F922AB">
        <w:rPr>
          <w:rFonts w:cs="Times New Roman"/>
        </w:rPr>
        <w:t xml:space="preserve"> </w:t>
      </w:r>
      <w:r w:rsidR="00F922AB">
        <w:rPr>
          <w:rFonts w:cs="Times New Roman"/>
        </w:rPr>
        <w:fldChar w:fldCharType="begin" w:fldLock="1"/>
      </w:r>
      <w:r w:rsidR="00741C1A">
        <w:rPr>
          <w:rFonts w:cs="Times New Roman"/>
        </w:rPr>
        <w:instrText>ADDIN CSL_CITATION {"citationItems":[{"id":"ITEM-1","itemData":{"DOI":"10.1111/ejss.12288","ISBN":"1351-0754","abstract":"Soil phosphates exchange oxygen atoms rapidly with soil water once recycled by intracellular enzymes, thereby approaching an equilibrium delta O-18(P) signature that depends on ambient temperature and the delta O-18(W) signature of soil water. We hypothesized that in the topsoil, phosphates reach this equilibrium delta O-18(P) signature even if amended by different fertilizers. In the subsoil, however, there might be phosphates with a smaller delta O-18(P) value than that represented by the isotopic equilibrium value, a condition that could exist in the case of limited biological P cycling only. We tested these hypotheses for the HCl-extractable P pool of the Hedley fractionation scheme of arable soil in Germany, which integrates over extended time-scales of the soil P cycle. We sampled several types of fertilizer, the surface soil that received these fertilizer types and composites from a Haplic Luvisol depth profile under long-term agricultural practice. Organic fertilizers had significantly smaller delta O-18(P) values than mineral fertilizers. Intriguingly, the fields fertilized organically also tended to have smaller delta O-18(P) signatures than other types of surface soil, which calls into question full isotopic equilibrium at all sites. At depths below 50 cm, the soil delta O-18(P) values were even depleted relative to the values calculated for isotopic equilibrium. This implies that HCl-extractable phosphates in different soil horizons are of different origins. In addition, it supports the assumption that biological cycling of P by intracellular microbial enzymes might have been relatively inefficient in the deeper subsoil. At depths of 50-80 cm, there was a transition zone of declining delta O-18(P) values, which might be regarded as the first evidence that the degree of biological P cycling changed at this depth interval.","author":[{"dropping-particle":"","family":"Amelung","given":"Wulf","non-dropping-particle":"","parse-names":false,"suffix":""},{"dropping-particle":"","family":"Antar","given":"P","non-dropping-particle":"","parse-names":false,"suffix":""},{"dropping-particle":"","family":"Kleeberg","given":"I","non-dropping-particle":"","parse-names":false,"suffix":""},{"dropping-particle":"","family":"Oelmann","given":"Yvonne","non-dropping-particle":"","parse-names":false,"suffix":""},{"dropping-particle":"","family":"Lucke","given":"A","non-dropping-particle":"","parse-names":false,"suffix":""},{"dropping-particle":"","family":"Alt","given":"Fabian","non-dropping-particle":"","parse-names":false,"suffix":""},{"dropping-particle":"","family":"Lewandowski","given":"H","non-dropping-particle":"","parse-names":false,"suffix":""},{"dropping-particle":"","family":"Patzold","given":"S","non-dropping-particle":"","parse-names":false,"suffix":""},{"dropping-particle":"","family":"Barej","given":"J A M","non-dropping-particle":"","parse-names":false,"suffix":""}],"container-title":"European Journal of Soil Science","id":"ITEM-1","issue":"6","issued":{"date-parts":[["2015"]]},"language":"English","note":"ISI Document Delivery No.: CV5LP\nTimes Cited: 0\nCited Reference Count: 39\nAmelung, W. Antar, P. Kleeberg, I. Oelmann, Y. Luecke, A. Alt, F. Lewandowski, H. Paetzold, S. Barej, J. A. M.\nAmelung, Wulf/H-2136-2013\nAmelung, Wulf/0000-0002-4920-4667\nGerman Research Foundation (DFG) [FOR 1320]\nThe authors wish to thank U. Paffen for help in the laboratory, H. Wissel for isotopic analyses, Sara Bauke for critical comments and the German Research Foundation (DFG) for financial support (Research Unit FOR 1320; coordination, U. Kopke). We also thank the editors and two anonymous reviewers for their constructive advice.\n0\n6\nWiley-blackwell\nHoboken\n1365-2389","page":"965-972","title":"The delta O-18 signatures of HCl-extractable soil phosphates: methodological challenges and evidence of the cycling of biological P in arable soil","type":"article-journal","volume":"66"},"uris":["http://www.mendeley.com/documents/?uuid=85d6287e-6dff-4ac6-b9d5-e4889f24b856"]},{"id":"ITEM-2","itemData":{"DOI":"10.1023/a:1009838424935","ISBN":"1573-0867","abstract":"This paper describes results from a study of the effects of various applications of phosphorus (P) on the amounts, forms and potential mobility of P in grassland soils (0-7.5 cm) collected from four locations in the United Kingdom (Hertfordshire, Devon) and New Zealand (Taranaki, Canterbury). A sequential extraction scheme (NH4Cl, NH4F, NaOH I, H2SO4, NaOH II, residual P) designed to isolate P associated with aluminium (Al), iron (Fe) and calcium (Ca) was used to characterise P in the grassland soils from each location which had received various quantities of mineral fertilizer, organic manure and lime. Concentrations of total P in the soils ranged from 540 to 3,994 mg P kg-1, and sequential extraction recovered 80–94% of total soil P. Extractable forms of inorganic P and organic P accounted for 40–52% and 31–50% of total soil P respectively. Inorganic and organic P present in the NaOH I fraction (P associated with Fe, Al and organic matter) accounted for most of the P which accumulated in soil from P inputs. Distribution of accumulated soil P between the various inorganic and organic P fractions appeared to be mainly controlled by the nature and availability of sorption surfaces which act as sinks for inorganic P. Phosphate sorption index data for the various soil sets indicated that the mean value of bicarbonate extractable inorganic P (Olsen P) which represented effective P saturation ranged from 61 to 217 mg P kg-1. Potentially mobile soil P as determined by extraction with 0.01M calcium chloride (CaCl2) was found to be most strongly correlated to the NH4F, NaOH I and H2SO4 inorganic P fractions using a Freundlich isotherm.","author":[{"dropping-particle":"","family":"McDowell","given":"R W","non-dropping-particle":"","parse-names":false,"suffix":""},{"dropping-particle":"","family":"Condron","given":"L M","non-dropping-particle":"","parse-names":false,"suffix":""}],"container-title":"Nutrient Cycling in Agroecosystems","id":"ITEM-2","issue":"3","issued":{"date-parts":[["2000"]]},"page":"225-233","title":"Chemical nature and potential mobility of phosphorus in fertilized grassland soils","type":"article-journal","volume":"57"},"uris":["http://www.mendeley.com/documents/?uuid=0a8e594a-a315-4bd7-9fd5-8b1b051d883c"]}],"mendeley":{"formattedCitation":"&lt;sup&gt;42,43&lt;/sup&gt;","plainTextFormattedCitation":"42,43","previouslyFormattedCitation":"&lt;sup&gt;42,43&lt;/sup&gt;"},"properties":{"noteIndex":0},"schema":"https://github.com/citation-style-language/schema/raw/master/csl-citation.json"}</w:instrText>
      </w:r>
      <w:r w:rsidR="00F922AB">
        <w:rPr>
          <w:rFonts w:cs="Times New Roman"/>
        </w:rPr>
        <w:fldChar w:fldCharType="separate"/>
      </w:r>
      <w:r w:rsidR="00CB44EE" w:rsidRPr="00CB44EE">
        <w:rPr>
          <w:rFonts w:cs="Times New Roman"/>
          <w:noProof/>
          <w:vertAlign w:val="superscript"/>
        </w:rPr>
        <w:t>42,43</w:t>
      </w:r>
      <w:r w:rsidR="00F922AB">
        <w:rPr>
          <w:rFonts w:cs="Times New Roman"/>
        </w:rPr>
        <w:fldChar w:fldCharType="end"/>
      </w:r>
      <w:r w:rsidR="00F922AB">
        <w:rPr>
          <w:rFonts w:cs="Times New Roman"/>
        </w:rPr>
        <w:t>.</w:t>
      </w:r>
      <w:r w:rsidR="007605A2" w:rsidRPr="001829B7">
        <w:rPr>
          <w:rFonts w:cs="Times New Roman"/>
          <w:color w:val="FF0000"/>
        </w:rPr>
        <w:t xml:space="preserve"> </w:t>
      </w:r>
    </w:p>
    <w:p w14:paraId="56A1579B" w14:textId="3A9AB3D7" w:rsidR="005220E9" w:rsidRPr="00860424" w:rsidRDefault="005A2B8A" w:rsidP="00E627AF">
      <w:pPr>
        <w:spacing w:line="360" w:lineRule="auto"/>
      </w:pPr>
      <w:bookmarkStart w:id="6" w:name="_Hlk521572644"/>
      <w:r w:rsidRPr="00860424">
        <w:rPr>
          <w:b/>
        </w:rPr>
        <w:t>Conclusions</w:t>
      </w:r>
      <w:r w:rsidR="00225B8F" w:rsidRPr="00860424">
        <w:rPr>
          <w:b/>
        </w:rPr>
        <w:t xml:space="preserve"> </w:t>
      </w:r>
    </w:p>
    <w:p w14:paraId="13439C65" w14:textId="33FAB3CD" w:rsidR="00DA2FBC" w:rsidRDefault="00D3311D" w:rsidP="00E627AF">
      <w:pPr>
        <w:spacing w:line="360" w:lineRule="auto"/>
      </w:pPr>
      <w:r>
        <w:lastRenderedPageBreak/>
        <w:t xml:space="preserve">Even in a complex system like the one in Park Grass, </w:t>
      </w:r>
      <w:r w:rsidR="00666E50">
        <w:t xml:space="preserve">changes in soil management were associated </w:t>
      </w:r>
      <w:r w:rsidR="002373B0">
        <w:t>with</w:t>
      </w:r>
      <w:r>
        <w:t xml:space="preserve"> changes in </w:t>
      </w:r>
      <w:r w:rsidRPr="008F3C99">
        <w:rPr>
          <w:rFonts w:cs="Times New Roman"/>
        </w:rPr>
        <w:t>δ</w:t>
      </w:r>
      <w:r w:rsidRPr="008F3C99">
        <w:rPr>
          <w:rFonts w:cs="Times New Roman"/>
          <w:vertAlign w:val="superscript"/>
        </w:rPr>
        <w:t>18</w:t>
      </w:r>
      <w:r w:rsidRPr="008F3C99">
        <w:rPr>
          <w:rFonts w:cs="Times New Roman"/>
        </w:rPr>
        <w:t>O</w:t>
      </w:r>
      <w:r w:rsidRPr="008F3C99">
        <w:rPr>
          <w:rFonts w:cs="Times New Roman"/>
          <w:vertAlign w:val="subscript"/>
        </w:rPr>
        <w:t>P</w:t>
      </w:r>
      <w:r>
        <w:t xml:space="preserve"> values. Those </w:t>
      </w:r>
      <w:r w:rsidR="005220E9" w:rsidRPr="00860424">
        <w:t>changes in δ</w:t>
      </w:r>
      <w:r w:rsidR="005220E9" w:rsidRPr="00860424">
        <w:rPr>
          <w:vertAlign w:val="superscript"/>
        </w:rPr>
        <w:t>18</w:t>
      </w:r>
      <w:r w:rsidR="005220E9" w:rsidRPr="00860424">
        <w:t>O</w:t>
      </w:r>
      <w:r w:rsidR="005220E9" w:rsidRPr="00860424">
        <w:rPr>
          <w:vertAlign w:val="subscript"/>
        </w:rPr>
        <w:t>P</w:t>
      </w:r>
      <w:r w:rsidR="005220E9" w:rsidRPr="00860424">
        <w:t xml:space="preserve"> values indicate that the processes involved in P cycling </w:t>
      </w:r>
      <w:r w:rsidR="002373B0" w:rsidRPr="00860424">
        <w:t>var</w:t>
      </w:r>
      <w:r w:rsidR="002373B0">
        <w:t>y</w:t>
      </w:r>
      <w:r w:rsidR="002373B0" w:rsidRPr="00860424">
        <w:t xml:space="preserve"> </w:t>
      </w:r>
      <w:r w:rsidR="005220E9" w:rsidRPr="00860424">
        <w:t xml:space="preserve">depending on </w:t>
      </w:r>
      <w:r w:rsidR="00666E50">
        <w:t>the application of lime</w:t>
      </w:r>
      <w:r w:rsidR="005220E9" w:rsidRPr="00860424">
        <w:t xml:space="preserve">. </w:t>
      </w:r>
      <w:r>
        <w:t xml:space="preserve">Neither soil depth nor nitrogen fertiliser application </w:t>
      </w:r>
      <w:r w:rsidR="002373B0">
        <w:t>were</w:t>
      </w:r>
      <w:r w:rsidR="00666E50">
        <w:t xml:space="preserve"> as strongly associated with </w:t>
      </w:r>
      <w:r w:rsidR="002373B0">
        <w:t xml:space="preserve">changes in </w:t>
      </w:r>
      <w:r w:rsidRPr="008F3C99">
        <w:rPr>
          <w:rFonts w:cs="Times New Roman"/>
        </w:rPr>
        <w:t>δ</w:t>
      </w:r>
      <w:r w:rsidRPr="008F3C99">
        <w:rPr>
          <w:rFonts w:cs="Times New Roman"/>
          <w:vertAlign w:val="superscript"/>
        </w:rPr>
        <w:t>18</w:t>
      </w:r>
      <w:r w:rsidRPr="008F3C99">
        <w:rPr>
          <w:rFonts w:cs="Times New Roman"/>
        </w:rPr>
        <w:t>O</w:t>
      </w:r>
      <w:r w:rsidRPr="008F3C99">
        <w:rPr>
          <w:rFonts w:cs="Times New Roman"/>
          <w:vertAlign w:val="subscript"/>
        </w:rPr>
        <w:t>P</w:t>
      </w:r>
      <w:r>
        <w:t xml:space="preserve"> values </w:t>
      </w:r>
      <w:r w:rsidR="00881B31">
        <w:t xml:space="preserve">as </w:t>
      </w:r>
      <w:r w:rsidR="00666E50">
        <w:t>liming</w:t>
      </w:r>
      <w:r>
        <w:t xml:space="preserve">. </w:t>
      </w:r>
      <w:r w:rsidR="005220E9" w:rsidRPr="00860424">
        <w:t>What caused those shifts remains unclear and needs further investigation.</w:t>
      </w:r>
      <w:r>
        <w:t xml:space="preserve"> However, we </w:t>
      </w:r>
      <w:r w:rsidR="002373B0">
        <w:t xml:space="preserve">have </w:t>
      </w:r>
      <w:r>
        <w:t>showed that</w:t>
      </w:r>
      <w:r w:rsidR="005220E9" w:rsidRPr="00860424">
        <w:t xml:space="preserve"> the δ</w:t>
      </w:r>
      <w:r w:rsidR="005220E9" w:rsidRPr="00860424">
        <w:rPr>
          <w:vertAlign w:val="superscript"/>
        </w:rPr>
        <w:t>18</w:t>
      </w:r>
      <w:r w:rsidR="005220E9" w:rsidRPr="00860424">
        <w:t>O</w:t>
      </w:r>
      <w:r w:rsidR="005220E9" w:rsidRPr="00860424">
        <w:rPr>
          <w:vertAlign w:val="subscript"/>
        </w:rPr>
        <w:t>P</w:t>
      </w:r>
      <w:r w:rsidR="005220E9" w:rsidRPr="00860424">
        <w:t xml:space="preserve"> can be used </w:t>
      </w:r>
      <w:r>
        <w:t xml:space="preserve">to study the effect of soil </w:t>
      </w:r>
      <w:r w:rsidR="00666E50">
        <w:t xml:space="preserve">management </w:t>
      </w:r>
      <w:r>
        <w:t xml:space="preserve">on P cycling </w:t>
      </w:r>
      <w:r w:rsidR="005220E9" w:rsidRPr="00860424">
        <w:t>under field conditions</w:t>
      </w:r>
      <w:r>
        <w:t>.</w:t>
      </w:r>
      <w:r w:rsidR="005220E9" w:rsidRPr="00860424">
        <w:t xml:space="preserve"> </w:t>
      </w:r>
      <w:r w:rsidR="003564B8">
        <w:t xml:space="preserve">Withholding P fertiliser also </w:t>
      </w:r>
      <w:r w:rsidR="00881B31">
        <w:t>had an</w:t>
      </w:r>
      <w:r w:rsidR="003564B8">
        <w:t xml:space="preserve"> impact </w:t>
      </w:r>
      <w:r w:rsidR="002373B0">
        <w:t xml:space="preserve">on </w:t>
      </w:r>
      <w:r w:rsidR="003564B8">
        <w:t xml:space="preserve">soil P </w:t>
      </w:r>
      <w:r w:rsidR="003564B8" w:rsidRPr="008F3C99">
        <w:rPr>
          <w:rFonts w:cs="Times New Roman"/>
        </w:rPr>
        <w:t>δ</w:t>
      </w:r>
      <w:r w:rsidR="003564B8" w:rsidRPr="008F3C99">
        <w:rPr>
          <w:rFonts w:cs="Times New Roman"/>
          <w:vertAlign w:val="superscript"/>
        </w:rPr>
        <w:t>18</w:t>
      </w:r>
      <w:r w:rsidR="003564B8" w:rsidRPr="008F3C99">
        <w:rPr>
          <w:rFonts w:cs="Times New Roman"/>
        </w:rPr>
        <w:t>O</w:t>
      </w:r>
      <w:r w:rsidR="003564B8" w:rsidRPr="008F3C99">
        <w:rPr>
          <w:rFonts w:cs="Times New Roman"/>
          <w:vertAlign w:val="subscript"/>
        </w:rPr>
        <w:t>P</w:t>
      </w:r>
      <w:r w:rsidR="003564B8">
        <w:t xml:space="preserve"> values, however, our data is not sufficient to draw solid conclusions about the effect of P limitation on soil P </w:t>
      </w:r>
      <w:r w:rsidR="003564B8" w:rsidRPr="008F3C99">
        <w:rPr>
          <w:rFonts w:cs="Times New Roman"/>
        </w:rPr>
        <w:t>δ</w:t>
      </w:r>
      <w:r w:rsidR="003564B8" w:rsidRPr="008F3C99">
        <w:rPr>
          <w:rFonts w:cs="Times New Roman"/>
          <w:vertAlign w:val="superscript"/>
        </w:rPr>
        <w:t>18</w:t>
      </w:r>
      <w:r w:rsidR="003564B8" w:rsidRPr="008F3C99">
        <w:rPr>
          <w:rFonts w:cs="Times New Roman"/>
        </w:rPr>
        <w:t>O</w:t>
      </w:r>
      <w:r w:rsidR="003564B8" w:rsidRPr="008F3C99">
        <w:rPr>
          <w:rFonts w:cs="Times New Roman"/>
          <w:vertAlign w:val="subscript"/>
        </w:rPr>
        <w:t>P</w:t>
      </w:r>
      <w:r w:rsidR="003564B8">
        <w:t xml:space="preserve"> values.</w:t>
      </w:r>
    </w:p>
    <w:p w14:paraId="33594D29" w14:textId="77777777" w:rsidR="001F6353" w:rsidRPr="00860424" w:rsidRDefault="001F6353" w:rsidP="001F6353">
      <w:pPr>
        <w:spacing w:line="360" w:lineRule="auto"/>
        <w:rPr>
          <w:rStyle w:val="Emphasis"/>
          <w:b/>
          <w:i w:val="0"/>
          <w:iCs w:val="0"/>
        </w:rPr>
      </w:pPr>
      <w:r>
        <w:rPr>
          <w:b/>
        </w:rPr>
        <w:t>Methods</w:t>
      </w:r>
    </w:p>
    <w:p w14:paraId="03F1FD22" w14:textId="77777777" w:rsidR="001F6353" w:rsidRPr="000A5EF8" w:rsidRDefault="001F6353" w:rsidP="001F6353">
      <w:pPr>
        <w:spacing w:line="360" w:lineRule="auto"/>
        <w:rPr>
          <w:bCs/>
          <w:i/>
        </w:rPr>
      </w:pPr>
      <w:r w:rsidRPr="000A5EF8">
        <w:rPr>
          <w:bCs/>
          <w:i/>
        </w:rPr>
        <w:t>Site description</w:t>
      </w:r>
    </w:p>
    <w:p w14:paraId="7588AFA8" w14:textId="23E4AA7B" w:rsidR="001F6353" w:rsidRDefault="001F6353" w:rsidP="001F6353">
      <w:pPr>
        <w:spacing w:line="360" w:lineRule="auto"/>
        <w:rPr>
          <w:iCs/>
        </w:rPr>
      </w:pPr>
      <w:r w:rsidRPr="00860424">
        <w:rPr>
          <w:iCs/>
        </w:rPr>
        <w:t xml:space="preserve">The Park Grass Continuous Hay experiment was established by John Lawes and Henry Gilbert at Rothamsted (Harpenden, Herts, UK) in 1856. It was established on a site which had been in permanent pasture for at least 100 years before the experiment began </w:t>
      </w:r>
      <w:r>
        <w:rPr>
          <w:iCs/>
        </w:rPr>
        <w:fldChar w:fldCharType="begin" w:fldLock="1"/>
      </w:r>
      <w:r w:rsidR="00741C1A">
        <w:rPr>
          <w:iCs/>
        </w:rPr>
        <w:instrText>ADDIN CSL_CITATION {"citationItems":[{"id":"ITEM-1","itemData":{"DOI":"10.1111/j.1365-2745.2006.01145.x","ISBN":"1365-2745","abstract":"* 1 The Park Grass Experiment, begun in 1856, is the oldest ecological experiment in existence. Its value to science has changed and grown since it was founded to answer agricultural questions. In recent times the experiment has shown inter alia how: plant species richness, biomass and pH are related; community composition responds to climatic perturbation and nutrient additions; soil is acidified and corrected by liming. It also provided one of the first demonstrations of the evolution of adaptation at a very local scale and contains a putative case of the evolution of reproductive isolation by reinforcement. The application of molecular genetic markers to archived plant material promises to reveal a whole new chapter of genetic detail about the long-term dynamics of plant populations. * 2 Over the range of values observed at Park Grass, biomass (productivity) has a negative effect upon species richness. Any positive effect of species richness on productivity could only be weak by comparison. The experiment provides support for both the competitive exclusion and pool size hypotheses for determination of species density. * 3 Instantaneous comparisons of species richness between plots do not accurately reflect temporal rates of loss which may be multiplicative rather than additive. This suggests that comparisons among sites, nutrient inputs, especially N treatments, or soil acidity may in general underestimate the threat posed to plant species diversity by long-term changes in plant nutrient availability, both enrichment and depletion. * 4 Differences between plots at the community level are maintained despite a flow of propagules between plots. There is no strong evidence for a spatial mass effect. * 5 Guild (grass/legume/other) compositions of plant communities have equilibrated, but the species composition within guilds is more dynamic and continues to change over time, suggesting that species and guild abundances are independently regulated. * 6 At least some members of all the major trophic levels, including predators (spiders), herbivores (leafhoppers) and detritivores (springtails) are treatment-specific in their distributions. * 7 Plant populations on Park Grass are subdivided by treatments which, to some degree, have led to plots becoming genetically isolated from one another and decoupled demographically. This subdivision has created a metapopulation structure in each species, characterized by species-specific rates of local colonization and ex…","author":[{"dropping-particle":"","family":"Silvertown","given":"Jonathan","non-dropping-particle":"","parse-names":false,"suffix":""},{"dropping-particle":"","family":"Poulton","given":"Paul","non-dropping-particle":"","parse-names":false,"suffix":""},{"dropping-particle":"","family":"Johnston","given":"Edward","non-dropping-particle":"","parse-names":false,"suffix":""},{"dropping-particle":"","family":"Edwards","given":"Grant","non-dropping-particle":"","parse-names":false,"suffix":""},{"dropping-particle":"","family":"Heard","given":"Matthew","non-dropping-particle":"","parse-names":false,"suffix":""},{"dropping-particle":"","family":"Biss","given":"Pamela M","non-dropping-particle":"","parse-names":false,"suffix":""}],"container-title":"Journal of Ecology","id":"ITEM-1","issue":"4","issued":{"date-parts":[["2006"]]},"page":"801-814","publisher":"Blackwell Publishing Ltd","title":"The Park Grass Experiment 1856–2006: its contribution to ecology","type":"article-journal","volume":"94"},"uris":["http://www.mendeley.com/documents/?uuid=9efbf7d8-303c-42b9-a7d1-03dce7c480e9"]}],"mendeley":{"formattedCitation":"&lt;sup&gt;44&lt;/sup&gt;","plainTextFormattedCitation":"44","previouslyFormattedCitation":"&lt;sup&gt;44&lt;/sup&gt;"},"properties":{"noteIndex":0},"schema":"https://github.com/citation-style-language/schema/raw/master/csl-citation.json"}</w:instrText>
      </w:r>
      <w:r>
        <w:rPr>
          <w:iCs/>
        </w:rPr>
        <w:fldChar w:fldCharType="separate"/>
      </w:r>
      <w:r w:rsidR="00CB44EE" w:rsidRPr="00CB44EE">
        <w:rPr>
          <w:iCs/>
          <w:noProof/>
          <w:vertAlign w:val="superscript"/>
        </w:rPr>
        <w:t>44</w:t>
      </w:r>
      <w:r>
        <w:rPr>
          <w:iCs/>
        </w:rPr>
        <w:fldChar w:fldCharType="end"/>
      </w:r>
      <w:r>
        <w:rPr>
          <w:iCs/>
        </w:rPr>
        <w:t>.</w:t>
      </w:r>
      <w:r w:rsidRPr="00860424">
        <w:rPr>
          <w:iCs/>
        </w:rPr>
        <w:t xml:space="preserve"> It was started to test the effects of </w:t>
      </w:r>
      <w:r w:rsidRPr="00860424">
        <w:t xml:space="preserve">different combinations of mineral fertilisers and organic manures on the productivity of permanent grassland cut for hay. </w:t>
      </w:r>
      <w:r w:rsidRPr="00860424">
        <w:rPr>
          <w:iCs/>
        </w:rPr>
        <w:t xml:space="preserve">The treatments include, an unfertilised control against which different amounts and combinations of mineral fertilisers (including N, P, K, Na, Mg and farmyard manure/poultry manure) are compared </w:t>
      </w:r>
      <w:r>
        <w:rPr>
          <w:iCs/>
        </w:rPr>
        <w:fldChar w:fldCharType="begin" w:fldLock="1"/>
      </w:r>
      <w:r w:rsidR="00741C1A">
        <w:rPr>
          <w:iCs/>
        </w:rPr>
        <w:instrText>ADDIN CSL_CITATION {"citationItems":[{"id":"ITEM-1","itemData":{"DOI":"10.1111/j.1365-2745.2006.01145.x","ISBN":"1365-2745","abstract":"* 1 The Park Grass Experiment, begun in 1856, is the oldest ecological experiment in existence. Its value to science has changed and grown since it was founded to answer agricultural questions. In recent times the experiment has shown inter alia how: plant species richness, biomass and pH are related; community composition responds to climatic perturbation and nutrient additions; soil is acidified and corrected by liming. It also provided one of the first demonstrations of the evolution of adaptation at a very local scale and contains a putative case of the evolution of reproductive isolation by reinforcement. The application of molecular genetic markers to archived plant material promises to reveal a whole new chapter of genetic detail about the long-term dynamics of plant populations. * 2 Over the range of values observed at Park Grass, biomass (productivity) has a negative effect upon species richness. Any positive effect of species richness on productivity could only be weak by comparison. The experiment provides support for both the competitive exclusion and pool size hypotheses for determination of species density. * 3 Instantaneous comparisons of species richness between plots do not accurately reflect temporal rates of loss which may be multiplicative rather than additive. This suggests that comparisons among sites, nutrient inputs, especially N treatments, or soil acidity may in general underestimate the threat posed to plant species diversity by long-term changes in plant nutrient availability, both enrichment and depletion. * 4 Differences between plots at the community level are maintained despite a flow of propagules between plots. There is no strong evidence for a spatial mass effect. * 5 Guild (grass/legume/other) compositions of plant communities have equilibrated, but the species composition within guilds is more dynamic and continues to change over time, suggesting that species and guild abundances are independently regulated. * 6 At least some members of all the major trophic levels, including predators (spiders), herbivores (leafhoppers) and detritivores (springtails) are treatment-specific in their distributions. * 7 Plant populations on Park Grass are subdivided by treatments which, to some degree, have led to plots becoming genetically isolated from one another and decoupled demographically. This subdivision has created a metapopulation structure in each species, characterized by species-specific rates of local colonization and ex…","author":[{"dropping-particle":"","family":"Silvertown","given":"Jonathan","non-dropping-particle":"","parse-names":false,"suffix":""},{"dropping-particle":"","family":"Poulton","given":"Paul","non-dropping-particle":"","parse-names":false,"suffix":""},{"dropping-particle":"","family":"Johnston","given":"Edward","non-dropping-particle":"","parse-names":false,"suffix":""},{"dropping-particle":"","family":"Edwards","given":"Grant","non-dropping-particle":"","parse-names":false,"suffix":""},{"dropping-particle":"","family":"Heard","given":"Matthew","non-dropping-particle":"","parse-names":false,"suffix":""},{"dropping-particle":"","family":"Biss","given":"Pamela M","non-dropping-particle":"","parse-names":false,"suffix":""}],"container-title":"Journal of Ecology","id":"ITEM-1","issue":"4","issued":{"date-parts":[["2006"]]},"page":"801-814","publisher":"Blackwell Publishing Ltd","title":"The Park Grass Experiment 1856–2006: its contribution to ecology","type":"article-journal","volume":"94"},"uris":["http://www.mendeley.com/documents/?uuid=9efbf7d8-303c-42b9-a7d1-03dce7c480e9"]}],"mendeley":{"formattedCitation":"&lt;sup&gt;44&lt;/sup&gt;","plainTextFormattedCitation":"44","previouslyFormattedCitation":"&lt;sup&gt;44&lt;/sup&gt;"},"properties":{"noteIndex":0},"schema":"https://github.com/citation-style-language/schema/raw/master/csl-citation.json"}</w:instrText>
      </w:r>
      <w:r>
        <w:rPr>
          <w:iCs/>
        </w:rPr>
        <w:fldChar w:fldCharType="separate"/>
      </w:r>
      <w:r w:rsidR="00CB44EE" w:rsidRPr="00CB44EE">
        <w:rPr>
          <w:iCs/>
          <w:noProof/>
          <w:vertAlign w:val="superscript"/>
        </w:rPr>
        <w:t>44</w:t>
      </w:r>
      <w:r>
        <w:rPr>
          <w:iCs/>
        </w:rPr>
        <w:fldChar w:fldCharType="end"/>
      </w:r>
      <w:r w:rsidRPr="00860424">
        <w:rPr>
          <w:iCs/>
        </w:rPr>
        <w:t>. In 1903 most plots were divided into two and lime (CaCO</w:t>
      </w:r>
      <w:r w:rsidRPr="00860424">
        <w:rPr>
          <w:iCs/>
          <w:vertAlign w:val="subscript"/>
        </w:rPr>
        <w:t>3</w:t>
      </w:r>
      <w:r w:rsidRPr="00860424">
        <w:rPr>
          <w:iCs/>
        </w:rPr>
        <w:t>) was applied to one half at 4 t ha</w:t>
      </w:r>
      <w:r w:rsidRPr="00860424">
        <w:rPr>
          <w:iCs/>
          <w:vertAlign w:val="superscript"/>
        </w:rPr>
        <w:t>-1</w:t>
      </w:r>
      <w:r w:rsidRPr="00860424">
        <w:rPr>
          <w:iCs/>
        </w:rPr>
        <w:t xml:space="preserve"> every four years. In 1965 most of the plots were divided further into four </w:t>
      </w:r>
      <w:r w:rsidRPr="00860424">
        <w:rPr>
          <w:iCs/>
          <w:noProof/>
        </w:rPr>
        <w:t>sub-plots</w:t>
      </w:r>
      <w:r w:rsidRPr="00860424">
        <w:rPr>
          <w:iCs/>
        </w:rPr>
        <w:t xml:space="preserve">, which now receive lime every third year to maintain soil pH at 7 (sub-plot ‘a’), 6 (sub-plot ‘b’), and 5 (sub-plot ‘c’), respectively. The fourth </w:t>
      </w:r>
      <w:r w:rsidRPr="00860424">
        <w:rPr>
          <w:iCs/>
          <w:noProof/>
        </w:rPr>
        <w:t>sub-plot</w:t>
      </w:r>
      <w:r w:rsidRPr="00860424">
        <w:rPr>
          <w:iCs/>
        </w:rPr>
        <w:t xml:space="preserve"> (‘d’) does not receive lime and its pH varies depending on the </w:t>
      </w:r>
      <w:r w:rsidRPr="00860424">
        <w:rPr>
          <w:iCs/>
          <w:noProof/>
        </w:rPr>
        <w:t>treatment</w:t>
      </w:r>
      <w:r w:rsidRPr="00860424">
        <w:rPr>
          <w:iCs/>
        </w:rPr>
        <w:t xml:space="preserve"> but is usually around pH 4 or 5. </w:t>
      </w:r>
      <w:r w:rsidR="00F8088C" w:rsidRPr="00F8088C">
        <w:rPr>
          <w:iCs/>
        </w:rPr>
        <w:t>T</w:t>
      </w:r>
      <w:r w:rsidR="00F8088C" w:rsidRPr="0049777A">
        <w:rPr>
          <w:iCs/>
        </w:rPr>
        <w:t xml:space="preserve">he soil is a chromic </w:t>
      </w:r>
      <w:proofErr w:type="spellStart"/>
      <w:r w:rsidR="00F8088C" w:rsidRPr="0049777A">
        <w:rPr>
          <w:iCs/>
        </w:rPr>
        <w:t>luvisol</w:t>
      </w:r>
      <w:proofErr w:type="spellEnd"/>
      <w:r w:rsidR="00F8088C" w:rsidRPr="0049777A">
        <w:rPr>
          <w:iCs/>
        </w:rPr>
        <w:t xml:space="preserve"> (FAO), referred to locally as a </w:t>
      </w:r>
      <w:proofErr w:type="spellStart"/>
      <w:r w:rsidR="00F8088C" w:rsidRPr="0049777A">
        <w:rPr>
          <w:iCs/>
        </w:rPr>
        <w:t>Stagnogleyic</w:t>
      </w:r>
      <w:proofErr w:type="spellEnd"/>
      <w:r w:rsidR="00F8088C" w:rsidRPr="0049777A">
        <w:rPr>
          <w:iCs/>
        </w:rPr>
        <w:t xml:space="preserve"> paleo-argillic brown earth of the </w:t>
      </w:r>
      <w:proofErr w:type="spellStart"/>
      <w:r w:rsidR="00F8088C" w:rsidRPr="0049777A">
        <w:rPr>
          <w:iCs/>
        </w:rPr>
        <w:t>Batcombe</w:t>
      </w:r>
      <w:proofErr w:type="spellEnd"/>
      <w:r w:rsidR="00F8088C" w:rsidRPr="0049777A">
        <w:rPr>
          <w:iCs/>
        </w:rPr>
        <w:t xml:space="preserve"> series</w:t>
      </w:r>
      <w:r w:rsidR="00514FE3">
        <w:rPr>
          <w:iCs/>
        </w:rPr>
        <w:t xml:space="preserve"> </w:t>
      </w:r>
      <w:r w:rsidR="00514FE3">
        <w:rPr>
          <w:iCs/>
        </w:rPr>
        <w:fldChar w:fldCharType="begin" w:fldLock="1"/>
      </w:r>
      <w:r w:rsidR="00B07AC5">
        <w:rPr>
          <w:iCs/>
        </w:rPr>
        <w:instrText>ADDIN CSL_CITATION {"citationItems":[{"id":"ITEM-1","itemData":{"ISBN":"0951445650","author":[{"dropping-particle":"","family":"Avery","given":"Brian William","non-dropping-particle":"","parse-names":false,"suffix":""},{"dropping-particle":"","family":"Catt","given":"John Alfred","non-dropping-particle":"","parse-names":false,"suffix":""}],"id":"ITEM-1","issued":{"date-parts":[["1995"]]},"publisher":"Lawes Agricultural Trust","title":"The soil at Rothamsted","type":"book"},"uris":["http://www.mendeley.com/documents/?uuid=15fb6350-40e3-42ff-9270-d8afe9ceaaff"]}],"mendeley":{"formattedCitation":"&lt;sup&gt;45&lt;/sup&gt;","plainTextFormattedCitation":"45","previouslyFormattedCitation":"&lt;sup&gt;45&lt;/sup&gt;"},"properties":{"noteIndex":0},"schema":"https://github.com/citation-style-language/schema/raw/master/csl-citation.json"}</w:instrText>
      </w:r>
      <w:r w:rsidR="00514FE3">
        <w:rPr>
          <w:iCs/>
        </w:rPr>
        <w:fldChar w:fldCharType="separate"/>
      </w:r>
      <w:r w:rsidR="00514FE3" w:rsidRPr="00514FE3">
        <w:rPr>
          <w:iCs/>
          <w:noProof/>
          <w:vertAlign w:val="superscript"/>
        </w:rPr>
        <w:t>45</w:t>
      </w:r>
      <w:r w:rsidR="00514FE3">
        <w:rPr>
          <w:iCs/>
        </w:rPr>
        <w:fldChar w:fldCharType="end"/>
      </w:r>
      <w:r w:rsidR="00F8088C" w:rsidRPr="0049777A">
        <w:rPr>
          <w:iCs/>
        </w:rPr>
        <w:t>.</w:t>
      </w:r>
    </w:p>
    <w:p w14:paraId="2402990F" w14:textId="0AB66A84" w:rsidR="000D282B" w:rsidRPr="000D282B" w:rsidRDefault="000D282B" w:rsidP="00F8088C">
      <w:pPr>
        <w:spacing w:line="360" w:lineRule="auto"/>
      </w:pPr>
      <w:r>
        <w:t xml:space="preserve">Having been designed before the pioneering research of R.A. Fisher at Rothamsted in the early 1900s, the Park Grass Experiment does not have the key statistical properties of replication and randomisation that are needed for most formal statistical analyses of data from designed experiments. Additional constraints in this study meant that samples could be collected and processed for only 6 plots with soil samples then obtained for three separate depths. Any formal statistical analysis would have to make very strong assumptions about the sources of variation, for example assessing the variation due to the main effects of the factors (fertiliser treatment, liming, depth) against the variation due to interactions amongst these </w:t>
      </w:r>
      <w:r>
        <w:lastRenderedPageBreak/>
        <w:t>factors. Any such analyses would also have low power to detect differences as statistically significant. As the aim of the study was to demonstrate the potential of the oxygen isotope ratio methodology to detect variation in P cycling responses under a range of fertiliser and pH conditions, rather than to test for differences due to these treatments, no formal statistical analysis has been performed, with observed values for the 18 treatment combinations presented to demonstrate patterns of response associated with changes in the soil system, and stimulate further study using this methodology.</w:t>
      </w:r>
    </w:p>
    <w:p w14:paraId="17C7A39D" w14:textId="77777777" w:rsidR="001F6353" w:rsidRPr="000A5EF8" w:rsidRDefault="001F6353" w:rsidP="001F6353">
      <w:pPr>
        <w:spacing w:line="360" w:lineRule="auto"/>
        <w:rPr>
          <w:bCs/>
          <w:i/>
          <w:iCs/>
        </w:rPr>
      </w:pPr>
      <w:r w:rsidRPr="000A5EF8">
        <w:rPr>
          <w:bCs/>
          <w:i/>
          <w:iCs/>
        </w:rPr>
        <w:t>Sampling and sample preparation</w:t>
      </w:r>
    </w:p>
    <w:p w14:paraId="3F440950" w14:textId="1834096F" w:rsidR="001F6353" w:rsidRDefault="001F6353" w:rsidP="001F6353">
      <w:pPr>
        <w:spacing w:line="360" w:lineRule="auto"/>
      </w:pPr>
      <w:r>
        <w:rPr>
          <w:iCs/>
        </w:rPr>
        <w:t>Our aim was to obtain a wide range of soil pH values. We therefore</w:t>
      </w:r>
      <w:r w:rsidRPr="00860424">
        <w:rPr>
          <w:iCs/>
        </w:rPr>
        <w:t xml:space="preserve"> </w:t>
      </w:r>
      <w:r>
        <w:rPr>
          <w:iCs/>
        </w:rPr>
        <w:t xml:space="preserve">included treatments with </w:t>
      </w:r>
      <w:r w:rsidR="00290434">
        <w:rPr>
          <w:iCs/>
        </w:rPr>
        <w:t xml:space="preserve">triple superphosphate </w:t>
      </w:r>
      <w:r>
        <w:rPr>
          <w:iCs/>
        </w:rPr>
        <w:t xml:space="preserve">and </w:t>
      </w:r>
      <w:r w:rsidR="00290434">
        <w:rPr>
          <w:iCs/>
        </w:rPr>
        <w:t xml:space="preserve">either with or </w:t>
      </w:r>
      <w:r>
        <w:rPr>
          <w:iCs/>
        </w:rPr>
        <w:t xml:space="preserve">without application of ammonium sulphate </w:t>
      </w:r>
      <w:r w:rsidRPr="00860424">
        <w:rPr>
          <w:iCs/>
        </w:rPr>
        <w:t>(plots 11/1</w:t>
      </w:r>
      <w:r>
        <w:rPr>
          <w:iCs/>
        </w:rPr>
        <w:t xml:space="preserve"> (referred to hereafter as “+N+P”)</w:t>
      </w:r>
      <w:r w:rsidRPr="00860424">
        <w:rPr>
          <w:iCs/>
        </w:rPr>
        <w:t xml:space="preserve"> and 7/2</w:t>
      </w:r>
      <w:r>
        <w:rPr>
          <w:iCs/>
        </w:rPr>
        <w:t xml:space="preserve"> (referred to hereafter as “-N+P”)</w:t>
      </w:r>
      <w:r w:rsidRPr="00860424">
        <w:rPr>
          <w:iCs/>
        </w:rPr>
        <w:t xml:space="preserve">) </w:t>
      </w:r>
      <w:r>
        <w:rPr>
          <w:iCs/>
        </w:rPr>
        <w:t>and</w:t>
      </w:r>
      <w:r w:rsidRPr="00860424">
        <w:rPr>
          <w:iCs/>
        </w:rPr>
        <w:t xml:space="preserve"> an </w:t>
      </w:r>
      <w:r w:rsidRPr="00860424">
        <w:rPr>
          <w:iCs/>
          <w:noProof/>
        </w:rPr>
        <w:t>unfertilised</w:t>
      </w:r>
      <w:r w:rsidRPr="00860424">
        <w:rPr>
          <w:iCs/>
        </w:rPr>
        <w:t xml:space="preserve"> control (plot 12; referred to </w:t>
      </w:r>
      <w:r w:rsidRPr="00860424">
        <w:rPr>
          <w:iCs/>
          <w:noProof/>
        </w:rPr>
        <w:t>hereafter</w:t>
      </w:r>
      <w:r w:rsidRPr="00860424">
        <w:rPr>
          <w:iCs/>
        </w:rPr>
        <w:t xml:space="preserve"> as “-N-P”) (Table </w:t>
      </w:r>
      <w:r w:rsidR="00580859">
        <w:rPr>
          <w:iCs/>
        </w:rPr>
        <w:t>5</w:t>
      </w:r>
      <w:r w:rsidRPr="00860424">
        <w:rPr>
          <w:iCs/>
        </w:rPr>
        <w:t xml:space="preserve">). </w:t>
      </w:r>
      <w:r>
        <w:rPr>
          <w:iCs/>
        </w:rPr>
        <w:t xml:space="preserve"> </w:t>
      </w:r>
      <w:r w:rsidRPr="00860424">
        <w:rPr>
          <w:iCs/>
        </w:rPr>
        <w:t xml:space="preserve">Within each of the three selected treatments, soil samples were taken from the ‘a’ and ‘d’ sub-plots. </w:t>
      </w:r>
      <w:r w:rsidRPr="00860424">
        <w:rPr>
          <w:iCs/>
          <w:noProof/>
        </w:rPr>
        <w:t>Sub-plot</w:t>
      </w:r>
      <w:r w:rsidRPr="00860424">
        <w:rPr>
          <w:iCs/>
        </w:rPr>
        <w:t xml:space="preserve"> ‘a’, which received lime to maintain soil at pH 7, is referred to as ‘+L’ and sub-plot ‘d’, which never receives lime as ‘-L’ hereafter. Lime is applied every third year </w:t>
      </w:r>
      <w:r>
        <w:rPr>
          <w:iCs/>
        </w:rPr>
        <w:t>and was last applied in February 2015</w:t>
      </w:r>
      <w:r w:rsidRPr="00860424">
        <w:rPr>
          <w:iCs/>
        </w:rPr>
        <w:t xml:space="preserve">. </w:t>
      </w:r>
      <w:r w:rsidRPr="00860424">
        <w:t>Sampling took place on 1 March 2016</w:t>
      </w:r>
      <w:r>
        <w:t xml:space="preserve">, about one and a half months before application of N fertiliser (applied 19.4.2016) but about three months after the application of the other fertilisers </w:t>
      </w:r>
      <w:r w:rsidR="00225126">
        <w:t xml:space="preserve">including P fertiliser </w:t>
      </w:r>
      <w:r>
        <w:t xml:space="preserve">(applied 02.12.2015) (Table </w:t>
      </w:r>
      <w:r w:rsidR="00580859">
        <w:t>5</w:t>
      </w:r>
      <w:r>
        <w:t>)</w:t>
      </w:r>
      <w:r w:rsidRPr="00860424">
        <w:t>.</w:t>
      </w:r>
    </w:p>
    <w:p w14:paraId="2F9E0161" w14:textId="77777777" w:rsidR="007F529E" w:rsidRDefault="007F529E" w:rsidP="001F6353">
      <w:pPr>
        <w:spacing w:line="360" w:lineRule="auto"/>
      </w:pPr>
      <w:r>
        <w:t>Table 5</w:t>
      </w:r>
    </w:p>
    <w:p w14:paraId="086719FF" w14:textId="77FFE917" w:rsidR="001F6353" w:rsidRPr="001F6353" w:rsidRDefault="001F6353" w:rsidP="001F6353">
      <w:pPr>
        <w:spacing w:line="360" w:lineRule="auto"/>
        <w:rPr>
          <w:rFonts w:ascii="Calibri" w:hAnsi="Calibri" w:cs="Calibri"/>
        </w:rPr>
      </w:pPr>
      <w:r>
        <w:t>A</w:t>
      </w:r>
      <w:r w:rsidRPr="00860424">
        <w:t xml:space="preserve"> mat of partially decomposed plant material </w:t>
      </w:r>
      <w:r>
        <w:t xml:space="preserve">had </w:t>
      </w:r>
      <w:r w:rsidRPr="00860424">
        <w:t xml:space="preserve">developed as a result </w:t>
      </w:r>
      <w:r>
        <w:t>of</w:t>
      </w:r>
      <w:r w:rsidRPr="00860424">
        <w:t xml:space="preserve"> the low soil pH</w:t>
      </w:r>
      <w:r>
        <w:t xml:space="preserve"> on the surface of the </w:t>
      </w:r>
      <w:r w:rsidRPr="00860424">
        <w:t>+N+P-L</w:t>
      </w:r>
      <w:r>
        <w:t xml:space="preserve"> treatment. This mat was removed prior to soil sampling. </w:t>
      </w:r>
      <w:r w:rsidRPr="00860424">
        <w:t xml:space="preserve">From each of the selected treatments, 18 soil cores were taken by hand in a W-sampling pattern to a depth of 30 cm using a soil corer (internal diameter 2 cm). The cores were divided into three depths: 0-10 cm, 10-20 cm, and 20-30 cm. They were bulked to give one sample per depth; a total of three samples per plot. The fresh soil samples were immediately sieved &lt;2 mm, removing </w:t>
      </w:r>
      <w:r>
        <w:t xml:space="preserve">large stones, </w:t>
      </w:r>
      <w:r w:rsidRPr="00860424">
        <w:t>visible plant material and soil fauna</w:t>
      </w:r>
      <w:r>
        <w:t xml:space="preserve"> and ensuring complete</w:t>
      </w:r>
      <w:r w:rsidRPr="00860424">
        <w:t xml:space="preserve"> mix</w:t>
      </w:r>
      <w:r>
        <w:t xml:space="preserve">ing. </w:t>
      </w:r>
      <w:r w:rsidRPr="00860424">
        <w:t>Three subsamples were taken from each sieved</w:t>
      </w:r>
      <w:r>
        <w:t xml:space="preserve"> and fresh</w:t>
      </w:r>
      <w:r w:rsidRPr="00860424">
        <w:t xml:space="preserve"> soil sample: 1) </w:t>
      </w:r>
      <w:r w:rsidRPr="00860424">
        <w:rPr>
          <w:rFonts w:cs="Times New Roman"/>
        </w:rPr>
        <w:t xml:space="preserve">approximately </w:t>
      </w:r>
      <w:r w:rsidRPr="00860424">
        <w:t>10 g for extraction of soil water, stored in tightly closed vacutainers at -20</w:t>
      </w:r>
      <w:r w:rsidRPr="00860424">
        <w:rPr>
          <w:rFonts w:ascii="Calibri" w:hAnsi="Calibri" w:cs="Calibri"/>
        </w:rPr>
        <w:t>°</w:t>
      </w:r>
      <w:r w:rsidRPr="00860424">
        <w:rPr>
          <w:rFonts w:cs="Times New Roman"/>
        </w:rPr>
        <w:t xml:space="preserve">C, </w:t>
      </w:r>
      <w:r w:rsidRPr="00860424">
        <w:t xml:space="preserve">2) </w:t>
      </w:r>
      <w:r w:rsidRPr="00860424">
        <w:rPr>
          <w:rFonts w:cs="Times New Roman"/>
        </w:rPr>
        <w:t xml:space="preserve">approximately </w:t>
      </w:r>
      <w:r w:rsidRPr="00860424">
        <w:t>50 g for soil moisture content,</w:t>
      </w:r>
      <w:r w:rsidRPr="00860424">
        <w:rPr>
          <w:rFonts w:cs="Times New Roman"/>
        </w:rPr>
        <w:t xml:space="preserve"> dried at 105°C for 24 hours; 3) approximately 10 g for the determination of soil pH, total carbon (C), nitrogen (N) and P</w:t>
      </w:r>
      <w:r>
        <w:rPr>
          <w:rFonts w:cs="Times New Roman"/>
        </w:rPr>
        <w:t>,</w:t>
      </w:r>
      <w:r w:rsidRPr="00860424">
        <w:rPr>
          <w:rFonts w:cs="Times New Roman"/>
        </w:rPr>
        <w:t xml:space="preserve"> air-dried, milled and sieved &lt;2 mm. </w:t>
      </w:r>
      <w:r>
        <w:rPr>
          <w:rFonts w:cs="Times New Roman"/>
        </w:rPr>
        <w:t xml:space="preserve">The remaining sample </w:t>
      </w:r>
      <w:r>
        <w:t xml:space="preserve">was </w:t>
      </w:r>
      <w:r w:rsidRPr="00860424">
        <w:t>stored at 4</w:t>
      </w:r>
      <w:r w:rsidRPr="00860424">
        <w:rPr>
          <w:rFonts w:ascii="Calibri" w:hAnsi="Calibri" w:cs="Calibri"/>
        </w:rPr>
        <w:t>°</w:t>
      </w:r>
      <w:r w:rsidRPr="00860424">
        <w:t xml:space="preserve">C prior to extraction of resin and </w:t>
      </w:r>
      <w:r>
        <w:t>hexanol</w:t>
      </w:r>
      <w:r w:rsidRPr="00860424">
        <w:t xml:space="preserve"> P</w:t>
      </w:r>
      <w:r>
        <w:t xml:space="preserve"> for </w:t>
      </w:r>
      <w:r w:rsidRPr="00860424">
        <w:lastRenderedPageBreak/>
        <w:t>δ</w:t>
      </w:r>
      <w:r w:rsidRPr="00860424">
        <w:rPr>
          <w:vertAlign w:val="superscript"/>
        </w:rPr>
        <w:t>18</w:t>
      </w:r>
      <w:r w:rsidRPr="00860424">
        <w:t>O</w:t>
      </w:r>
      <w:r w:rsidRPr="00860424">
        <w:rPr>
          <w:vertAlign w:val="subscript"/>
        </w:rPr>
        <w:t>P</w:t>
      </w:r>
      <w:r w:rsidRPr="00860424">
        <w:t>.</w:t>
      </w:r>
      <w:r>
        <w:rPr>
          <w:rFonts w:ascii="Calibri" w:hAnsi="Calibri" w:cs="Calibri"/>
        </w:rPr>
        <w:t xml:space="preserve"> </w:t>
      </w:r>
      <w:r>
        <w:t>For the a</w:t>
      </w:r>
      <w:r w:rsidRPr="00860424">
        <w:t>boveground</w:t>
      </w:r>
      <w:r w:rsidRPr="00860424">
        <w:rPr>
          <w:b/>
        </w:rPr>
        <w:t xml:space="preserve"> </w:t>
      </w:r>
      <w:r w:rsidRPr="00860424">
        <w:t>vegetation samples</w:t>
      </w:r>
      <w:r>
        <w:t xml:space="preserve">, vegetation was cut at ground level with scissors </w:t>
      </w:r>
      <w:r w:rsidRPr="00860424">
        <w:t>from the same locations as the soil cores and bulked per plot, giving six vegetation samples in total. From each sample, a small subsample (</w:t>
      </w:r>
      <w:r w:rsidRPr="00860424">
        <w:rPr>
          <w:rFonts w:cs="Times New Roman"/>
        </w:rPr>
        <w:t xml:space="preserve">approximately </w:t>
      </w:r>
      <w:r w:rsidRPr="00860424">
        <w:t>2 g) was stored in a tightly closed vacutainer at -20</w:t>
      </w:r>
      <w:r w:rsidRPr="00860424">
        <w:rPr>
          <w:rFonts w:ascii="Calibri" w:hAnsi="Calibri" w:cs="Calibri"/>
        </w:rPr>
        <w:t>°</w:t>
      </w:r>
      <w:r w:rsidRPr="00860424">
        <w:rPr>
          <w:rFonts w:cs="Times New Roman"/>
        </w:rPr>
        <w:t xml:space="preserve">C for the extraction of plant water. The remaining vegetation samples were stored in plastic bags at </w:t>
      </w:r>
      <w:r w:rsidRPr="00860424">
        <w:t>-20</w:t>
      </w:r>
      <w:r w:rsidRPr="00860424">
        <w:rPr>
          <w:rFonts w:ascii="Calibri" w:hAnsi="Calibri" w:cs="Calibri"/>
        </w:rPr>
        <w:t>°</w:t>
      </w:r>
      <w:r w:rsidRPr="00860424">
        <w:rPr>
          <w:rFonts w:cs="Times New Roman"/>
        </w:rPr>
        <w:t>C.</w:t>
      </w:r>
      <w:r>
        <w:rPr>
          <w:rFonts w:ascii="Calibri" w:hAnsi="Calibri" w:cs="Calibri"/>
        </w:rPr>
        <w:t xml:space="preserve"> </w:t>
      </w:r>
      <w:r w:rsidRPr="00860424">
        <w:t>Soil temperatures were obtained from the electronic Rothamsted archive (</w:t>
      </w:r>
      <w:r w:rsidRPr="00860424">
        <w:rPr>
          <w:noProof/>
        </w:rPr>
        <w:t>e-RA)</w:t>
      </w:r>
      <w:r w:rsidRPr="00860424">
        <w:t xml:space="preserve"> of Rothamsted Research. The meteorological station is approximately 1 km from Park Grass. Soil temperatures are measured by Rothamsted Research hourly at a depth of 10, 20 and 30 cm in soil under grass. </w:t>
      </w:r>
    </w:p>
    <w:p w14:paraId="765D0999" w14:textId="77777777" w:rsidR="001F6353" w:rsidRPr="000A5EF8" w:rsidRDefault="001F6353" w:rsidP="001F6353">
      <w:pPr>
        <w:spacing w:line="360" w:lineRule="auto"/>
        <w:rPr>
          <w:rStyle w:val="Emphasis"/>
          <w:i w:val="0"/>
          <w:iCs w:val="0"/>
        </w:rPr>
      </w:pPr>
      <w:r w:rsidRPr="000A5EF8">
        <w:rPr>
          <w:i/>
          <w:iCs/>
        </w:rPr>
        <w:t>P</w:t>
      </w:r>
      <w:r w:rsidRPr="000A5EF8">
        <w:rPr>
          <w:rStyle w:val="Emphasis"/>
          <w:bCs/>
          <w:iCs w:val="0"/>
        </w:rPr>
        <w:t xml:space="preserve">hosphorus </w:t>
      </w:r>
      <w:r>
        <w:rPr>
          <w:rStyle w:val="Emphasis"/>
          <w:bCs/>
          <w:iCs w:val="0"/>
        </w:rPr>
        <w:t>in</w:t>
      </w:r>
      <w:r w:rsidRPr="000A5EF8">
        <w:rPr>
          <w:rStyle w:val="Emphasis"/>
          <w:bCs/>
          <w:iCs w:val="0"/>
        </w:rPr>
        <w:t xml:space="preserve"> plants, lime and soil </w:t>
      </w:r>
    </w:p>
    <w:p w14:paraId="23562C7D" w14:textId="4BF0D024" w:rsidR="001F6353" w:rsidRPr="00860424" w:rsidRDefault="001F6353" w:rsidP="001F6353">
      <w:pPr>
        <w:spacing w:line="360" w:lineRule="auto"/>
      </w:pPr>
      <w:r w:rsidRPr="00860424">
        <w:t>Inorganic P (Pi) from the frozen plant material was extracted with 0.3 M trichloroacetic acid (TCA) as described by Pfahler et al</w:t>
      </w:r>
      <w:r>
        <w:t xml:space="preserve"> </w:t>
      </w:r>
      <w:r>
        <w:fldChar w:fldCharType="begin" w:fldLock="1"/>
      </w:r>
      <w:r w:rsidR="00741C1A">
        <w:instrText>ADDIN CSL_CITATION {"citationItems":[{"id":"ITEM-1","itemData":{"DOI":"10.1111/j.1469-8137.2012.04379.x","ISBN":"0028-646X","ISSN":"0028646X","abstract":"The objective of this study was to investigate the isotopic composition of oxygen bound to phosphate (δ(18)O-PO(4)) in different phosphorus (P) pools in plant leaves. As a model plant we used soybean (Glycine max cv Toliman) grown in the presence of ample P in hydroponic cultures. The leaf blades were extracted with 0.3 M trichloroacetic acid (TCA) and with 10 M nitric acid. These extractions allowed measurement of the TCA-soluble reactive P (TCA P) that is rapidly cycled within the cell and the total leaf P. The difference between total leaf P and TCA P yielded the structural P which includes organic P compounds not extractable by TCA. P uptake and its translocation and transformation within the soybean plants lead to an (18)O enrichment of TCA P (δ(18)O-PO(4) between 16.9 and 27.5‰) and structural P (δ(18)O-PO(4) between 42.6 and 68.0 ‰) compared with 12.4‰ in the phosphate in the nutrient solution. δ(18)O values of phosphate extracted from soybean leaves grown under optimal conditions are greater than the δ(18)O-PO(4) values of the provided P source. Furthermore, the δ(18)O-PO(4) of TCA P seems to be controlled by the δ(18)O of leaf water and the activity of inorganic pyrophosphatase or other pyrophosphatases.","author":[{"dropping-particle":"","family":"Pfahler","given":"Verena","non-dropping-particle":"","parse-names":false,"suffix":""},{"dropping-particle":"","family":"Dürr-Auster","given":"Thilo","non-dropping-particle":"","parse-names":false,"suffix":""},{"dropping-particle":"","family":"Tamburini","given":"Federica","non-dropping-particle":"","parse-names":false,"suffix":""},{"dropping-particle":"","family":"M. Bernasconi","given":"Stefano","non-dropping-particle":"","parse-names":false,"suffix":""},{"dropping-particle":"","family":"Frossard","given":"Emmanuel","non-dropping-particle":"","parse-names":false,"suffix":""}],"container-title":"New Phytologist","id":"ITEM-1","issue":"1","issued":{"date-parts":[["2013","1"]]},"language":"English","note":"ISI Document Delivery No.: 044GG\nTimes Cited: 0\nCited Reference Count: 40\nPfahler, Verena Duerr-Auster, Thilo Tamburini, Federica M. Bernasconi, Stefano Frossard, Emmanuel\nETH Zurich [ETH-02_10-2]\nThe authors would like to thank ETH Zurich for funding this project (grant number: ETH-02_10-2) and Delley Seeds and Plants Ltd (Delley, Switzerland) for providing the soybean seeds. We thank S. Bishop, M. Coray Strasser, S. Ragot, and C. von Sperber for their help in the laboratory and three anonymous referees for their helpful comments on our manuscript.\nWiley-blackwell\nHoboken","page":"186-193","title":"18 O enrichment in phosphorus pools extracted from soybean leaves","type":"article-journal","volume":"197"},"suppress-author":1,"uris":["http://www.mendeley.com/documents/?uuid=c19f4bec-258a-4bc1-bcde-0c60aabf593a"]}],"mendeley":{"formattedCitation":"&lt;sup&gt;36&lt;/sup&gt;","plainTextFormattedCitation":"36","previouslyFormattedCitation":"&lt;sup&gt;36&lt;/sup&gt;"},"properties":{"noteIndex":0},"schema":"https://github.com/citation-style-language/schema/raw/master/csl-citation.json"}</w:instrText>
      </w:r>
      <w:r>
        <w:fldChar w:fldCharType="separate"/>
      </w:r>
      <w:r w:rsidR="00CB44EE" w:rsidRPr="00CB44EE">
        <w:rPr>
          <w:noProof/>
          <w:vertAlign w:val="superscript"/>
        </w:rPr>
        <w:t>36</w:t>
      </w:r>
      <w:r>
        <w:fldChar w:fldCharType="end"/>
      </w:r>
      <w:r w:rsidRPr="00860424">
        <w:t xml:space="preserve"> and is afterwards referred to as TCA P. The most recent</w:t>
      </w:r>
      <w:r>
        <w:t>ly</w:t>
      </w:r>
      <w:r w:rsidRPr="00860424">
        <w:t xml:space="preserve"> available lime samples (from 2007 and 2013) and fertiliser samples (from 1986 and 2012) from the Rothamsted Sample Archive were extracted with 1 M HCl, as described below for the soil. </w:t>
      </w:r>
      <w:r w:rsidR="00CF4576">
        <w:t>The following</w:t>
      </w:r>
      <w:r w:rsidR="00667ECC">
        <w:t xml:space="preserve"> soil</w:t>
      </w:r>
      <w:r w:rsidR="00CF4576">
        <w:t xml:space="preserve"> P pools were extracted: resin, microbial, </w:t>
      </w:r>
      <w:proofErr w:type="spellStart"/>
      <w:r w:rsidR="00CF4576">
        <w:t>NaOH</w:t>
      </w:r>
      <w:proofErr w:type="spellEnd"/>
      <w:r w:rsidR="00CF4576">
        <w:t>-EDTA P</w:t>
      </w:r>
      <w:r w:rsidR="00CF4576" w:rsidRPr="001A6926">
        <w:rPr>
          <w:vertAlign w:val="subscript"/>
        </w:rPr>
        <w:t>i</w:t>
      </w:r>
      <w:r w:rsidR="00CF4576">
        <w:t xml:space="preserve">, </w:t>
      </w:r>
      <w:proofErr w:type="spellStart"/>
      <w:r w:rsidR="00CF4576">
        <w:t>NaOH</w:t>
      </w:r>
      <w:proofErr w:type="spellEnd"/>
      <w:r w:rsidR="00CF4576">
        <w:t xml:space="preserve">-EDTA </w:t>
      </w:r>
      <w:proofErr w:type="spellStart"/>
      <w:r w:rsidR="00CF4576">
        <w:t>P</w:t>
      </w:r>
      <w:r w:rsidR="00CF4576" w:rsidRPr="001A6926">
        <w:rPr>
          <w:vertAlign w:val="subscript"/>
        </w:rPr>
        <w:t>org</w:t>
      </w:r>
      <w:proofErr w:type="spellEnd"/>
      <w:r w:rsidR="00CF4576">
        <w:t xml:space="preserve">, </w:t>
      </w:r>
      <w:proofErr w:type="spellStart"/>
      <w:r w:rsidR="00CF4576">
        <w:t>HCl</w:t>
      </w:r>
      <w:proofErr w:type="spellEnd"/>
      <w:r w:rsidR="00CF4576">
        <w:t xml:space="preserve"> P, and residual P. </w:t>
      </w:r>
      <w:r w:rsidR="00B07AC5">
        <w:t xml:space="preserve">The availability of those pools decreases from resin to residual P. Resin and microbial P are considered the most labile pools, which can turnover within minutes to weeks, whereas turnover rates of HCl P are estimated to be in the order of years or even millennia </w:t>
      </w:r>
      <w:r w:rsidR="00B07AC5">
        <w:fldChar w:fldCharType="begin" w:fldLock="1"/>
      </w:r>
      <w:r w:rsidR="00DE16A0">
        <w:instrText>ADDIN CSL_CITATION {"citationItems":[{"id":"ITEM-1","itemData":{"DOI":"10.1038/s41467-018-05731-2","ISBN":"2041-1723 (Electronic)\r2041-1723 (Linking)","PMID":"30104647","abstract":"Current understanding of phosphorus (P) cycling in soils can be enhanced by integrating previously discrete findings concerning P speciation, exchange kinetics, and the underlying biological and geochemical processes. Here, we combine sequential extraction with P K-edge X-ray absorption spectroscopy and isotopic methods ((33)P and (18)O in phosphate) to characterize P cycling on a climatic gradient in Hawaii. We link P pools to P species and estimate the turnover times for commonly considered P pools. Dissolved P turned over in seconds, resin-extractable P in minutes, NaOH-extractable inorganic P in weeks to months, and HCl-extractable P in years to millennia. Furthermore, we show that in arid-zone soils, some primary mineral P remains even after 150 ky of soil development, whereas in humid-zone soils of the same age, all P in all pools has been biologically cycled. The integrative information we provide makes possible a more dynamic, process-oriented conceptual model of P cycling in soils.","author":[{"dropping-particle":"","family":"Helfenstein","given":"J","non-dropping-particle":"","parse-names":false,"suffix":""},{"dropping-particle":"","family":"Tamburini","given":"F","non-dropping-particle":"","parse-names":false,"suffix":""},{"dropping-particle":"","family":"Sperber","given":"C","non-dropping-particle":"von","parse-names":false,"suffix":""},{"dropping-particle":"","family":"Massey","given":"M S","non-dropping-particle":"","parse-names":false,"suffix":""},{"dropping-particle":"","family":"Pistocchi","given":"C","non-dropping-particle":"","parse-names":false,"suffix":""},{"dropping-particle":"","family":"Chadwick","given":"O A","non-dropping-particle":"","parse-names":false,"suffix":""},{"dropping-particle":"","family":"Vitousek","given":"P M","non-dropping-particle":"","parse-names":false,"suffix":""},{"dropping-particle":"","family":"Kretzschmar","given":"R","non-dropping-particle":"","parse-names":false,"suffix":""},{"dropping-particle":"","family":"Frossard","given":"E","non-dropping-particle":"","parse-names":false,"suffix":""}],"container-title":"Nat Commun","edition":"2018/08/15","id":"ITEM-1","issue":"1","issued":{"date-parts":[["2018"]]},"note":"Helfenstein, Julian\nTamburini, Federica\nvon Sperber, Christian\nMassey, Michael S\nPistocchi, Chiara\nChadwick, Oliver A\nVitousek, Peter M\nKretzschmar, Ruben\nFrossard, Emmanuel\neng\n200021_ 162422/Schweizerischer Nationalfonds zur Forderung der Wissenschaftlichen Forschung (Swiss National Science Foundation)\nEngland\nNat Commun. 2018 Aug 13;9(1):3226. doi: 10.1038/s41467-018-05731-2.","page":"3226","title":"Combining spectroscopic and isotopic techniques gives a dynamic view of phosphorus cycling in soil","type":"article-journal","volume":"9"},"uris":["http://www.mendeley.com/documents/?uuid=b1a45c40-78d8-4c11-a51e-6b135ec1038a"]}],"mendeley":{"formattedCitation":"&lt;sup&gt;35&lt;/sup&gt;","plainTextFormattedCitation":"35","previouslyFormattedCitation":"&lt;sup&gt;35&lt;/sup&gt;"},"properties":{"noteIndex":0},"schema":"https://github.com/citation-style-language/schema/raw/master/csl-citation.json"}</w:instrText>
      </w:r>
      <w:r w:rsidR="00B07AC5">
        <w:fldChar w:fldCharType="separate"/>
      </w:r>
      <w:r w:rsidR="00B07AC5" w:rsidRPr="00B07AC5">
        <w:rPr>
          <w:noProof/>
          <w:vertAlign w:val="superscript"/>
        </w:rPr>
        <w:t>35</w:t>
      </w:r>
      <w:r w:rsidR="00B07AC5">
        <w:fldChar w:fldCharType="end"/>
      </w:r>
      <w:r w:rsidR="00B07AC5">
        <w:t xml:space="preserve">. </w:t>
      </w:r>
      <w:r w:rsidRPr="00860424">
        <w:rPr>
          <w:rStyle w:val="Emphasis"/>
          <w:i w:val="0"/>
        </w:rPr>
        <w:t>Within two weeks</w:t>
      </w:r>
      <w:r w:rsidRPr="00860424">
        <w:rPr>
          <w:rStyle w:val="Emphasis"/>
          <w:b/>
          <w:i w:val="0"/>
        </w:rPr>
        <w:t xml:space="preserve"> </w:t>
      </w:r>
      <w:r w:rsidRPr="00860424">
        <w:rPr>
          <w:rStyle w:val="Emphasis"/>
          <w:i w:val="0"/>
        </w:rPr>
        <w:t>of sampling</w:t>
      </w:r>
      <w:r>
        <w:rPr>
          <w:rStyle w:val="Emphasis"/>
          <w:i w:val="0"/>
        </w:rPr>
        <w:t>,</w:t>
      </w:r>
      <w:r w:rsidRPr="00860424">
        <w:rPr>
          <w:rStyle w:val="Emphasis"/>
          <w:b/>
          <w:i w:val="0"/>
        </w:rPr>
        <w:t xml:space="preserve"> </w:t>
      </w:r>
      <w:r w:rsidRPr="00860424">
        <w:t>resin</w:t>
      </w:r>
      <w:r>
        <w:t>, an approximation for available P,</w:t>
      </w:r>
      <w:r w:rsidRPr="00860424">
        <w:t xml:space="preserve"> and microbial P were extracted from fresh soil with anion exchange membranes, conditioned with bicarbonate, with or without the </w:t>
      </w:r>
      <w:r w:rsidRPr="00860424">
        <w:rPr>
          <w:noProof/>
        </w:rPr>
        <w:t>addition</w:t>
      </w:r>
      <w:r w:rsidRPr="00860424">
        <w:t xml:space="preserve"> of hexanol </w:t>
      </w:r>
      <w:r>
        <w:fldChar w:fldCharType="begin" w:fldLock="1"/>
      </w:r>
      <w:r w:rsidR="00DE16A0">
        <w:instrText>ADDIN CSL_CITATION {"citationItems":[{"id":"ITEM-1","itemData":{"DOI":"10.1016/0038-0717(95)00057-L","ISSN":"00380717","abstract":"A method to measure soil microbial biomass phosphorus (biomass P) in granitic soils and andosols of high P retention capacity is described. Strips of anion exchange membrane (AEM) were shaken with suspensions of soil in (1) distilled water, (2) a mixture of distilled water and alcohol free chloroform (CHCl3) liquid, and (3) a standard inorganic P solution (2.5 mg KH2PO4</w:instrText>
      </w:r>
      <w:r w:rsidR="00DE16A0">
        <w:rPr>
          <w:rFonts w:hint="eastAsia"/>
        </w:rPr>
        <w:instrText></w:instrText>
      </w:r>
      <w:r w:rsidR="00DE16A0">
        <w:instrText>P1−1), to estimate the recovery of CHCl3-released P. After shaking, the AEM strips were rinsed with distilled water to remove the soils from the AEM strips. Phosphorus adsorbed by the AEM strips was then eluted by 0.5 m HCl, and determined colorimetrically. The amount of CHCl3-released P was calculated from the difference between the amount of inorganic P adsorbed by AEM in unfumigated and fumigated soils. The high P retention capacity of soils, and the dark color of the extracts solution due to humic substances did not interfere with the measurement of P by this method. Biomass P was calculated from: biomass P = EpKp × 100R, where Ep = (inorganic P released by CHCl3 and extracted by distilled water) minus (inorganic P released from unfumigated soil), Kp = Biomass P released by CHCl3 and extracted as inorganic P by distilled water (Kp = 0.40 at 25°C), R = percentage recovery (82.0–91.2%) of added P. Compared to the original CHCl3-fumigation extraction (FE)-method, the AEM-method is simpler, more accurate, and more flexible, allowing assay of biomass P in soils of high P retention capacity, e.g. andosols. The use of AEM allows quick and efficient adsorption of P in the soil suspensions, and is analytically very convenient.","author":[{"dropping-particle":"","family":"Kouno","given":"Kenji","non-dropping-particle":"","parse-names":false,"suffix":""},{"dropping-particle":"","family":"Tuchiya","given":"Yasuhiro","non-dropping-particle":"","parse-names":false,"suffix":""},{"dropping-particle":"","family":"Ando","given":"Tadao","non-dropping-particle":"","parse-names":false,"suffix":""}],"container-title":"Soil Biology and Biochemistry","id":"ITEM-1","issue":"10","issued":{"date-parts":[["1995","10"]]},"page":"1353-1357","title":"Measurement of soil microbial biomass phosphorus by an anion exchange membrane method","type":"article-journal","volume":"27"},"uris":["http://www.mendeley.com/documents/?uuid=dea89de6-92f2-40b7-84b6-10acaad3d2db"]}],"mendeley":{"formattedCitation":"&lt;sup&gt;46&lt;/sup&gt;","plainTextFormattedCitation":"46","previouslyFormattedCitation":"&lt;sup&gt;47&lt;/sup&gt;"},"properties":{"noteIndex":0},"schema":"https://github.com/citation-style-language/schema/raw/master/csl-citation.json"}</w:instrText>
      </w:r>
      <w:r>
        <w:fldChar w:fldCharType="separate"/>
      </w:r>
      <w:r w:rsidR="00DE16A0" w:rsidRPr="00DE16A0">
        <w:rPr>
          <w:noProof/>
          <w:vertAlign w:val="superscript"/>
        </w:rPr>
        <w:t>46</w:t>
      </w:r>
      <w:r>
        <w:fldChar w:fldCharType="end"/>
      </w:r>
      <w:r w:rsidRPr="00860424">
        <w:t xml:space="preserve">. For resin P 100 g of fresh soil, and 4 resin strips (12.5 x 12.5 cm) </w:t>
      </w:r>
      <w:r w:rsidRPr="00860424">
        <w:rPr>
          <w:noProof/>
        </w:rPr>
        <w:t>were</w:t>
      </w:r>
      <w:r w:rsidRPr="00860424">
        <w:t xml:space="preserve"> shaken for 16 hours at 4°C in 5 L ultra</w:t>
      </w:r>
      <w:r w:rsidRPr="00860424">
        <w:rPr>
          <w:rFonts w:ascii="Cambria Math" w:hAnsi="Cambria Math" w:cs="Cambria Math"/>
        </w:rPr>
        <w:t>‐</w:t>
      </w:r>
      <w:r w:rsidRPr="00860424">
        <w:t>pure water (ddH</w:t>
      </w:r>
      <w:r w:rsidRPr="00860424">
        <w:rPr>
          <w:vertAlign w:val="subscript"/>
        </w:rPr>
        <w:t>2</w:t>
      </w:r>
      <w:r w:rsidRPr="00860424">
        <w:t xml:space="preserve">O) </w:t>
      </w:r>
      <w:r>
        <w:fldChar w:fldCharType="begin" w:fldLock="1"/>
      </w:r>
      <w:r w:rsidR="00DE16A0">
        <w:instrText>ADDIN CSL_CITATION {"citationItems":[{"id":"ITEM-1","itemData":{"DOI":"10.1002/rcm.4899","ISBN":"09514198","author":[{"dropping-particle":"","family":"Weiner","given":"Tal","non-dropping-particle":"","parse-names":false,"suffix":""},{"dropping-particle":"","family":"Mazeh","given":"Shunit","non-dropping-particle":"","parse-names":false,"suffix":""},{"dropping-particle":"","family":"Tamburini","given":"Federica","non-dropping-particle":"","parse-names":false,"suffix":""},{"dropping-particle":"","family":"Frossard","given":"Emmanuel","non-dropping-particle":"","parse-names":false,"suffix":""},{"dropping-particle":"","family":"Bernasconi","given":"Stefano M","non-dropping-particle":"","parse-names":false,"suffix":""},{"dropping-particle":"","family":"Chiti","given":"Tommaso","non-dropping-particle":"","parse-names":false,"suffix":""},{"dropping-particle":"","family":"Angert","given":"Alon","non-dropping-particle":"","parse-names":false,"suffix":""}],"container-title":"Rapid Communications in Mass Spectrometry","id":"ITEM-1","issue":"5","issued":{"date-parts":[["2011"]]},"page":"624-628","title":"A method for analyzing the δ18O of resin-extractable soil inorganic phosphate","type":"article-journal","volume":"25"},"uris":["http://www.mendeley.com/documents/?uuid=3442ff54-fcea-4823-b53e-c7f38b876c65"]}],"mendeley":{"formattedCitation":"&lt;sup&gt;47&lt;/sup&gt;","plainTextFormattedCitation":"47","previouslyFormattedCitation":"&lt;sup&gt;48&lt;/sup&gt;"},"properties":{"noteIndex":0},"schema":"https://github.com/citation-style-language/schema/raw/master/csl-citation.json"}</w:instrText>
      </w:r>
      <w:r>
        <w:fldChar w:fldCharType="separate"/>
      </w:r>
      <w:r w:rsidR="00DE16A0" w:rsidRPr="00DE16A0">
        <w:rPr>
          <w:noProof/>
          <w:vertAlign w:val="superscript"/>
        </w:rPr>
        <w:t>47</w:t>
      </w:r>
      <w:r>
        <w:fldChar w:fldCharType="end"/>
      </w:r>
      <w:r w:rsidRPr="00860424">
        <w:t>. For microbial P, the process was the same but with the addition of 30 ml of hexanol. The recovered resin strips were washed thoroughly with ddH</w:t>
      </w:r>
      <w:r w:rsidRPr="00860424">
        <w:rPr>
          <w:vertAlign w:val="subscript"/>
        </w:rPr>
        <w:t>2</w:t>
      </w:r>
      <w:r w:rsidRPr="00860424">
        <w:t>O to remove any attached soil particles. The resin strips were eluted by shaking overnight in 75 mL of 0.2M HNO</w:t>
      </w:r>
      <w:r w:rsidRPr="00860424">
        <w:rPr>
          <w:vertAlign w:val="subscript"/>
        </w:rPr>
        <w:t>3</w:t>
      </w:r>
      <w:r w:rsidRPr="00860424">
        <w:t xml:space="preserve">.  As the soil to solution ratios in this extraction were elevated to enable sufficient P to be collected for analysis, a separate sequential extraction was conducted for subsequent pools using the more conventional soil to solution ratio of 1:10 </w:t>
      </w:r>
      <w:r>
        <w:fldChar w:fldCharType="begin" w:fldLock="1"/>
      </w:r>
      <w:r w:rsidR="00DE16A0">
        <w:instrText>ADDIN CSL_CITATION {"citationItems":[{"id":"ITEM-1","itemData":{"DOI":"10.1007/s00374-013-0868-5","ISBN":"0178-2762","abstract":"Microbial activity is known to be high under permanent grassland, but consequences for soil phosphorus (P) dynamics and availability are not well understood. Our main objective was to assess the microbial P turnover derived from the seasonal fluctuations in microbial P (measured as hexanol-labile P (P-hex) at 13 sampling times during 9 months) in a permanent grassland in Switzerland as affected by different P fertilization treatments (P inputs of 0 (NK) or 17 kg P ha(-1) year(-1) in the form of superphosphate (NPK) or dairy slurry (DS)). Plant P uptake, available inorganic P measured as resin-extractable P (P-res), potential organic P mineralization indicated by acid phosphomonoesterase activity and climatic conditions were also recorded. Despite significant differences in plant P uptake and P-res (NPK &gt; DS &gt; NK), the turnover rate of P-hex was similar in all treatments (approximately once per growing season). Thus, the seasonal P flux through P-hex was similar to the stock of P-hex, which was about 18, 25 and 37 kg P ha(-1) in NK, NPK and DS, respectively, and larger than the corresponding seasonal plant P uptake of 6, 17 and 12 kg P ha(-1). The estimate of P-hex turnover based on seasonal dynamics did not confirm previous tracer-based findings of a much faster P-hex turnover under low availability of inorganic P, and the magnitude of P-hex turnover depended on the number of sampling points taken into account. Fluctuations in P-res and P-hex were related to soil moisture and indicated competition between plants and microorganisms for available P.","author":[{"dropping-particle":"","family":"Liebisch","given":"F","non-dropping-particle":"","parse-names":false,"suffix":""},{"dropping-particle":"","family":"Keller","given":"F","non-dropping-particle":"","parse-names":false,"suffix":""},{"dropping-particle":"","family":"Huguenin-Elie","given":"O","non-dropping-particle":"","parse-names":false,"suffix":""},{"dropping-particle":"","family":"Frossard","given":"E","non-dropping-particle":"","parse-names":false,"suffix":""},{"dropping-particle":"","family":"Oberson","given":"A","non-dropping-particle":"","parse-names":false,"suffix":""},{"dropping-particle":"","family":"Bunemann","given":"E K","non-dropping-particle":"","parse-names":false,"suffix":""}],"container-title":"Biology and Fertility of Soils","id":"ITEM-1","issue":"3","issued":{"date-parts":[["2014"]]},"language":"English","note":"ISI Document Delivery No.: AD1VW\nTimes Cited: 1\nCited Reference Count: 48\nLiebisch, F. Keller, F. Huguenin-Elie, O. Frossard, E. Oberson, A. Buenemann, E. K.\nSwiss State Secretariat for Education and Research\nWe are grateful to Angela Erb for analysing the soil phosphomonoesterase activity. This study was conducted within COST action 869 in a project funded by the Swiss State Secretariat for Education and Research.\n1\n6\n36\nSpringer\nNew york\n1432-0789","page":"465-475","title":"Seasonal dynamics and turnover of microbial phosphorus in a permanent grassland","type":"article-journal","volume":"50"},"uris":["http://www.mendeley.com/documents/?uuid=a1def58d-7455-42ec-9b97-593e784d5f59"]}],"mendeley":{"formattedCitation":"&lt;sup&gt;48&lt;/sup&gt;","plainTextFormattedCitation":"48","previouslyFormattedCitation":"&lt;sup&gt;49&lt;/sup&gt;"},"properties":{"noteIndex":0},"schema":"https://github.com/citation-style-language/schema/raw/master/csl-citation.json"}</w:instrText>
      </w:r>
      <w:r>
        <w:fldChar w:fldCharType="separate"/>
      </w:r>
      <w:r w:rsidR="00DE16A0" w:rsidRPr="00DE16A0">
        <w:rPr>
          <w:noProof/>
          <w:vertAlign w:val="superscript"/>
        </w:rPr>
        <w:t>48</w:t>
      </w:r>
      <w:r>
        <w:fldChar w:fldCharType="end"/>
      </w:r>
      <w:r w:rsidRPr="00860424">
        <w:t>. Microbial P was extracted again from 30 g soil (dry weight equivalent) before the soil was sequentially extracted with 0.25 M NaOH – 0.05 M EDTA</w:t>
      </w:r>
      <w:r>
        <w:t>, targeting oxide bound inorganic and organic P,</w:t>
      </w:r>
      <w:r w:rsidRPr="00860424">
        <w:t xml:space="preserve"> and 1 M HCl</w:t>
      </w:r>
      <w:r>
        <w:t>, targeting mineral P</w:t>
      </w:r>
      <w:r w:rsidRPr="00860424">
        <w:t xml:space="preserve">. To account for any hydrolysis of organic P or polyphosphates during the 1 M HCl step, </w:t>
      </w:r>
      <w:r w:rsidRPr="00860424">
        <w:rPr>
          <w:vertAlign w:val="superscript"/>
        </w:rPr>
        <w:t>18</w:t>
      </w:r>
      <w:r w:rsidRPr="00860424">
        <w:t xml:space="preserve">O-labelled (three batches: </w:t>
      </w:r>
      <w:r w:rsidRPr="00860424">
        <w:rPr>
          <w:rFonts w:cs="Times New Roman"/>
        </w:rPr>
        <w:t>δ</w:t>
      </w:r>
      <w:r w:rsidRPr="00860424">
        <w:rPr>
          <w:vertAlign w:val="superscript"/>
        </w:rPr>
        <w:t>18</w:t>
      </w:r>
      <w:r w:rsidRPr="00860424">
        <w:t xml:space="preserve">O value of 46.1‰, 14.2‰, and 22.4‰) and unlabelled 1M HCl (two batches: </w:t>
      </w:r>
      <w:r w:rsidRPr="00860424">
        <w:rPr>
          <w:rFonts w:cs="Times New Roman"/>
        </w:rPr>
        <w:t>δ</w:t>
      </w:r>
      <w:r w:rsidRPr="00860424">
        <w:rPr>
          <w:vertAlign w:val="superscript"/>
        </w:rPr>
        <w:t>18</w:t>
      </w:r>
      <w:r w:rsidRPr="00860424">
        <w:t>O value of -6.4‰ and -</w:t>
      </w:r>
      <w:r w:rsidRPr="00860424">
        <w:lastRenderedPageBreak/>
        <w:t xml:space="preserve">7.1‰) was used </w:t>
      </w:r>
      <w:r>
        <w:fldChar w:fldCharType="begin" w:fldLock="1"/>
      </w:r>
      <w:r w:rsidR="00DE16A0">
        <w:instrText>ADDIN CSL_CITATION {"citationItems":[{"id":"ITEM-1","itemData":{"DOI":"10.1111/j.1365-2389.2010.01290.x","ISSN":"13510754","author":[{"dropping-particle":"","family":"Tamburini","given":"Federica","non-dropping-particle":"","parse-names":false,"suffix":""},{"dropping-particle":"","family":"Bernasconi","given":"Stefano M","non-dropping-particle":"","parse-names":false,"suffix":""},{"dropping-particle":"","family":"Angert","given":"Alon","non-dropping-particle":"","parse-names":false,"suffix":""},{"dropping-particle":"","family":"Weiner","given":"T.","non-dropping-particle":"","parse-names":false,"suffix":""},{"dropping-particle":"","family":"Frossard","given":"Emmanuel","non-dropping-particle":"","parse-names":false,"suffix":""}],"container-title":"European Journal of Soil Science","id":"ITEM-1","issue":"6","issued":{"date-parts":[["2010","12"]]},"page":"1025-1032","title":"A method for the analysis of the δ18O of inorganic phosphate extracted from soils with HCl","type":"article-journal","volume":"61"},"uris":["http://www.mendeley.com/documents/?uuid=384aaafc-b76f-4940-83e8-3fc5cdce8704"]}],"mendeley":{"formattedCitation":"&lt;sup&gt;49&lt;/sup&gt;","plainTextFormattedCitation":"49","previouslyFormattedCitation":"&lt;sup&gt;50&lt;/sup&gt;"},"properties":{"noteIndex":0},"schema":"https://github.com/citation-style-language/schema/raw/master/csl-citation.json"}</w:instrText>
      </w:r>
      <w:r>
        <w:fldChar w:fldCharType="separate"/>
      </w:r>
      <w:r w:rsidR="00DE16A0" w:rsidRPr="00DE16A0">
        <w:rPr>
          <w:noProof/>
          <w:vertAlign w:val="superscript"/>
        </w:rPr>
        <w:t>49</w:t>
      </w:r>
      <w:r>
        <w:fldChar w:fldCharType="end"/>
      </w:r>
      <w:r>
        <w:t>.</w:t>
      </w:r>
      <w:r w:rsidRPr="00860424">
        <w:t xml:space="preserve"> Therefore, the soil, which was recovered from the NaOH-EDTA step, was dried at 40</w:t>
      </w:r>
      <w:r w:rsidRPr="00860424">
        <w:rPr>
          <w:rFonts w:cs="Times New Roman"/>
        </w:rPr>
        <w:t>˚</w:t>
      </w:r>
      <w:r w:rsidRPr="00860424">
        <w:t xml:space="preserve">C, milled to &lt;2 mm and divided into two equal parts. One part was extracted with </w:t>
      </w:r>
      <w:r w:rsidRPr="00860424">
        <w:rPr>
          <w:vertAlign w:val="superscript"/>
        </w:rPr>
        <w:t>18</w:t>
      </w:r>
      <w:r w:rsidRPr="00860424">
        <w:t xml:space="preserve">O-labelled 1M HCl, the other part was extracted with unlabelled 1 M HCl. The NaOH-EDTA extract was freeze-dried and homogenised afterwards with a pestle and mortar. The freeze-dried material </w:t>
      </w:r>
      <w:r>
        <w:t xml:space="preserve">from selected samples </w:t>
      </w:r>
      <w:r w:rsidRPr="00860424">
        <w:t>was used for the determination of the δ</w:t>
      </w:r>
      <w:r w:rsidRPr="00860424">
        <w:rPr>
          <w:vertAlign w:val="superscript"/>
        </w:rPr>
        <w:t>18</w:t>
      </w:r>
      <w:r w:rsidRPr="00860424">
        <w:t>O</w:t>
      </w:r>
      <w:r w:rsidRPr="00860424">
        <w:rPr>
          <w:vertAlign w:val="subscript"/>
        </w:rPr>
        <w:t>P</w:t>
      </w:r>
      <w:r w:rsidRPr="00860424">
        <w:t xml:space="preserve"> of the inorganic P as described by </w:t>
      </w:r>
      <w:r>
        <w:t xml:space="preserve">Tamburini et al. </w:t>
      </w:r>
      <w:r>
        <w:fldChar w:fldCharType="begin" w:fldLock="1"/>
      </w:r>
      <w:r w:rsidR="00741C1A">
        <w:instrText>ADDIN CSL_CITATION {"citationItems":[{"id":"ITEM-1","itemData":{"DOI":"10.1111/ejss.12693","ISSN":"13510754","abstract":"The isotopic composition of oxygen bound to phosphorus (P) in phosphate (δ18O-P) has been used to improve our understanding of P cycling in the soil–plant system. The determination of δ18O-P in the inorganic (Pi) and organic (Po) soil P pools obtained from soil sequential extractions would further our knowledge. Although methods exist for the purification of inorganic soil P pools, there is no published method for organic P at present. Without this information, it is impossible to determine the signature of the inorganic P released by enzyme hydrolysis. In this paper, we present a protocol for the separation and purification of the organic and inorganic P extracted by NaOH-EDTA in sequential extraction. The procedure was tested on different reference compounds as well as soil and plant materials from temperate and tropical climates. We assessed the efficiency of separation between inorganic and organic P, and of the ultraviolet (UV) hydrolysis of organic P, and the effect of possible interfering compounds. Overall, the protocol enables 30–80% of organic P extracted by NaOH-EDTA to be purified. The measured δ18O-P of organic P ranged from 12.7 to 20.3‰ in soils and from 17 to 27‰ in plants. Although the method provides the signature of a fraction only of soil bulk organic P, it represents the best approach to assess the contribution of enzyme hydrolysis to the inorganic P pools, and it completes the set of purification schemes required to characterize δ18O-P in soil inorganic and organic P. Highlights Streamlined method to determine the oxygen isotopic signature of organic P in soils and plants. This information is currently unavailable and values are simply ‘guessed’. The oxygen isotopic signature of organic P is not necessarily similar to that of inorganic phosphate. The signature of organic P should be determined because it enables understanding of P cycling in the soil–plant system.","author":[{"dropping-particle":"","family":"Tamburini","given":"F","non-dropping-particle":"","parse-names":false,"suffix":""},{"dropping-particle":"","family":"Pistocchi","given":"C","non-dropping-particle":"","parse-names":false,"suffix":""},{"dropping-particle":"","family":"Helfenstein","given":"J","non-dropping-particle":"","parse-names":false,"suffix":""},{"dropping-particle":"","family":"Frossard","given":"E","non-dropping-particle":"","parse-names":false,"suffix":""}],"container-title":"European Journal of Soil Science","id":"ITEM-1","issue":"5","issued":{"date-parts":[["2018","9"]]},"page":"816-826","title":"A method to analyse the isotopic composition of oxygen associated with organic phosphorus in soil and plant material","type":"article-journal","volume":"69"},"suppress-author":1,"uris":["http://www.mendeley.com/documents/?uuid=d7541558-2a55-4341-884f-83540f8b93d9"]}],"mendeley":{"formattedCitation":"&lt;sup&gt;37&lt;/sup&gt;","plainTextFormattedCitation":"37","previouslyFormattedCitation":"&lt;sup&gt;37&lt;/sup&gt;"},"properties":{"noteIndex":0},"schema":"https://github.com/citation-style-language/schema/raw/master/csl-citation.json"}</w:instrText>
      </w:r>
      <w:r>
        <w:fldChar w:fldCharType="separate"/>
      </w:r>
      <w:r w:rsidR="00CB44EE" w:rsidRPr="00CB44EE">
        <w:rPr>
          <w:noProof/>
          <w:vertAlign w:val="superscript"/>
        </w:rPr>
        <w:t>37</w:t>
      </w:r>
      <w:r>
        <w:fldChar w:fldCharType="end"/>
      </w:r>
      <w:r w:rsidRPr="00860424">
        <w:t>.</w:t>
      </w:r>
      <w:r>
        <w:t xml:space="preserve"> </w:t>
      </w:r>
      <w:r w:rsidRPr="00860424">
        <w:t xml:space="preserve">Inorganic P </w:t>
      </w:r>
      <w:r>
        <w:t xml:space="preserve">(Pi) </w:t>
      </w:r>
      <w:r w:rsidRPr="00860424">
        <w:t xml:space="preserve">concentrations for all extracts were determined </w:t>
      </w:r>
      <w:proofErr w:type="spellStart"/>
      <w:r w:rsidRPr="00860424">
        <w:t>colourimetrically</w:t>
      </w:r>
      <w:proofErr w:type="spellEnd"/>
      <w:r w:rsidRPr="00860424">
        <w:t xml:space="preserve"> on an </w:t>
      </w:r>
      <w:proofErr w:type="spellStart"/>
      <w:r w:rsidRPr="00860424">
        <w:t>Aquachem</w:t>
      </w:r>
      <w:proofErr w:type="spellEnd"/>
      <w:r w:rsidRPr="00860424">
        <w:t xml:space="preserve"> 250 analyser using a molybdenum blue reaction </w:t>
      </w:r>
      <w:r>
        <w:fldChar w:fldCharType="begin" w:fldLock="1"/>
      </w:r>
      <w:r w:rsidR="00DE16A0">
        <w:instrText>ADDIN CSL_CITATION {"citationItems":[{"id":"ITEM-1","itemData":{"DOI":"10.1016/S0003-2670(00)88444-5","ISSN":"00032670","author":[{"dropping-particle":"","family":"Murphy","given":"J","non-dropping-particle":"","parse-names":false,"suffix":""},{"dropping-particle":"","family":"Riley","given":"J.P.","non-dropping-particle":"","parse-names":false,"suffix":""}],"container-title":"Analytica Chimica Acta","id":"ITEM-1","issued":{"date-parts":[["1962"]]},"page":"31-36","title":"A modified single solution method for the determination of phosphate in natural waters","type":"article-journal","volume":"27"},"uris":["http://www.mendeley.com/documents/?uuid=389a6fa4-a839-4e8a-872d-08a4cc6ae3d0"]}],"mendeley":{"formattedCitation":"&lt;sup&gt;50&lt;/sup&gt;","plainTextFormattedCitation":"50","previouslyFormattedCitation":"&lt;sup&gt;51&lt;/sup&gt;"},"properties":{"noteIndex":0},"schema":"https://github.com/citation-style-language/schema/raw/master/csl-citation.json"}</w:instrText>
      </w:r>
      <w:r>
        <w:fldChar w:fldCharType="separate"/>
      </w:r>
      <w:r w:rsidR="00DE16A0" w:rsidRPr="00DE16A0">
        <w:rPr>
          <w:noProof/>
          <w:vertAlign w:val="superscript"/>
        </w:rPr>
        <w:t>50</w:t>
      </w:r>
      <w:r>
        <w:fldChar w:fldCharType="end"/>
      </w:r>
      <w:r w:rsidRPr="00860424">
        <w:t xml:space="preserve">, while total P in the NaOH-EDTA extracts was analysed on the same equipment following oxidation with potassium </w:t>
      </w:r>
      <w:proofErr w:type="spellStart"/>
      <w:r w:rsidRPr="00860424">
        <w:t>persulphate</w:t>
      </w:r>
      <w:proofErr w:type="spellEnd"/>
      <w:r w:rsidRPr="00860424">
        <w:t>. The concentration of organic P (</w:t>
      </w:r>
      <w:proofErr w:type="spellStart"/>
      <w:r w:rsidRPr="00860424">
        <w:t>P</w:t>
      </w:r>
      <w:r w:rsidRPr="00860424">
        <w:rPr>
          <w:vertAlign w:val="subscript"/>
        </w:rPr>
        <w:t>org</w:t>
      </w:r>
      <w:proofErr w:type="spellEnd"/>
      <w:r w:rsidRPr="00860424">
        <w:t xml:space="preserve">) in the </w:t>
      </w:r>
      <w:proofErr w:type="spellStart"/>
      <w:r w:rsidRPr="00860424">
        <w:t>NaOH</w:t>
      </w:r>
      <w:proofErr w:type="spellEnd"/>
      <w:r w:rsidRPr="00860424">
        <w:t xml:space="preserve">-EDTA (afterwards referred to as </w:t>
      </w:r>
      <w:proofErr w:type="spellStart"/>
      <w:r w:rsidRPr="00860424">
        <w:t>NaOH</w:t>
      </w:r>
      <w:proofErr w:type="spellEnd"/>
      <w:r w:rsidRPr="00860424">
        <w:t xml:space="preserve">-EDTA </w:t>
      </w:r>
      <w:proofErr w:type="spellStart"/>
      <w:r w:rsidRPr="00860424">
        <w:t>P</w:t>
      </w:r>
      <w:r w:rsidRPr="00860424">
        <w:rPr>
          <w:vertAlign w:val="subscript"/>
        </w:rPr>
        <w:t>org</w:t>
      </w:r>
      <w:proofErr w:type="spellEnd"/>
      <w:r w:rsidRPr="00860424">
        <w:t xml:space="preserve">) extracts was calculated as the difference between total P and inorganic P concentrations in the NaOH-EDTA extracts. The </w:t>
      </w:r>
      <w:r>
        <w:t>Pi</w:t>
      </w:r>
      <w:r w:rsidRPr="00860424">
        <w:t xml:space="preserve"> in the NaOH-EDTA is afterwards referred to as NaOH-EDTA Pi. Microbial P was calculated as difference between resin and hexanol P and corrected for P adsorption </w:t>
      </w:r>
      <w:r>
        <w:fldChar w:fldCharType="begin" w:fldLock="1"/>
      </w:r>
      <w:r w:rsidR="00DE16A0">
        <w:instrText>ADDIN CSL_CITATION {"citationItems":[{"id":"ITEM-1","itemData":{"DOI":"10.1016/j.soilbio.2016.07.005","ISBN":"00380717","author":[{"dropping-particle":"","family":"Bünemann","given":"E K","non-dropping-particle":"","parse-names":false,"suffix":""},{"dropping-particle":"","family":"Augstburger","given":"S","non-dropping-particle":"","parse-names":false,"suffix":""},{"dropping-particle":"","family":"Frossard","given":"E","non-dropping-particle":"","parse-names":false,"suffix":""}],"container-title":"Soil Biology and Biochemistry","id":"ITEM-1","issued":{"date-parts":[["2016"]]},"page":"85-95","title":"Dominance of either physicochemical or biological phosphorus cycling processes in temperate forest soils of contrasting phosphate availability","type":"article-journal","volume":"101"},"uris":["http://www.mendeley.com/documents/?uuid=863e9c9a-55d6-4464-8e74-a1afcde9bff1"]}],"mendeley":{"formattedCitation":"&lt;sup&gt;51&lt;/sup&gt;","plainTextFormattedCitation":"51","previouslyFormattedCitation":"&lt;sup&gt;52&lt;/sup&gt;"},"properties":{"noteIndex":0},"schema":"https://github.com/citation-style-language/schema/raw/master/csl-citation.json"}</w:instrText>
      </w:r>
      <w:r>
        <w:fldChar w:fldCharType="separate"/>
      </w:r>
      <w:r w:rsidR="00DE16A0" w:rsidRPr="00DE16A0">
        <w:rPr>
          <w:noProof/>
          <w:vertAlign w:val="superscript"/>
        </w:rPr>
        <w:t>51</w:t>
      </w:r>
      <w:r>
        <w:fldChar w:fldCharType="end"/>
      </w:r>
      <w:r w:rsidRPr="00860424">
        <w:t>.</w:t>
      </w:r>
    </w:p>
    <w:p w14:paraId="3BF57B4C" w14:textId="77777777" w:rsidR="001F6353" w:rsidRPr="000A5EF8" w:rsidRDefault="001F6353" w:rsidP="001F6353">
      <w:pPr>
        <w:spacing w:line="360" w:lineRule="auto"/>
        <w:rPr>
          <w:rStyle w:val="Emphasis"/>
          <w:bCs/>
          <w:iCs w:val="0"/>
        </w:rPr>
      </w:pPr>
      <w:r w:rsidRPr="000A5EF8">
        <w:rPr>
          <w:rStyle w:val="Emphasis"/>
          <w:bCs/>
          <w:iCs w:val="0"/>
        </w:rPr>
        <w:t>Soil water extraction</w:t>
      </w:r>
    </w:p>
    <w:p w14:paraId="5387DBD0" w14:textId="772B1A88" w:rsidR="001F6353" w:rsidRPr="00860424" w:rsidRDefault="001F6353" w:rsidP="001F6353">
      <w:pPr>
        <w:spacing w:line="360" w:lineRule="auto"/>
      </w:pPr>
      <w:r w:rsidRPr="00860424">
        <w:t xml:space="preserve">Soil water was extracted cryogenically from sealed, pre-frozen samples at the NERC Isotope Geoscience Facility, British Geological Survey, UK, following the method described by </w:t>
      </w:r>
      <w:r>
        <w:t xml:space="preserve">West et al. </w:t>
      </w:r>
      <w:r>
        <w:fldChar w:fldCharType="begin" w:fldLock="1"/>
      </w:r>
      <w:r w:rsidR="00DE16A0">
        <w:instrText>ADDIN CSL_CITATION {"citationItems":[{"id":"ITEM-1","itemData":{"DOI":"10.1002/rcm.2456","ISSN":"0951-4198","abstract":"Stable isotopic analysis of water for many ecological applications commonly requires extractions of water from dozens to hundreds of plant and soil samples. With recent advances in mass spectrometry, water extraction, rather than the isotopic analysis itself, is the bottleneck in sample processing. Using cryogenic vacuum distillation, we have created extraction timing curves to determine how much time (Tmin) is required to extract an unfractionated water sample. Our results indicated that Tmin values are 60 to 75 min for stems, 40 min for clay soils, 30 min for sandy soils and 20 to 30 min for leaves. While the extraction times reported here may allow for some reductions relative to times reported in the literature, the extraction process will continue to be a rate-limiting step in plant water analyses. Ultimately, technological advances eliminating the need for extraction are required to greatly increase throughput rates in water isotope analysis for ecological research. Copyright © 2006 John Wiley &amp; Sons, Ltd.","author":[{"dropping-particle":"","family":"West","given":"Adam G.","non-dropping-particle":"","parse-names":false,"suffix":""},{"dropping-particle":"","family":"Patrickson","given":"Shela J.","non-dropping-particle":"","parse-names":false,"suffix":""},{"dropping-particle":"","family":"Ehleringer","given":"James R.","non-dropping-particle":"","parse-names":false,"suffix":""}],"container-title":"Rapid Communications in Mass Spectrometry","id":"ITEM-1","issue":"8","issued":{"date-parts":[["2006","4","30"]]},"page":"1317-1321","title":"Water extraction times for plant and soil materials used in stable isotope analysis","type":"article-journal","volume":"20"},"suppress-author":1,"uris":["http://www.mendeley.com/documents/?uuid=22e96f28-1003-400f-bb73-fb96f77bd191"]}],"mendeley":{"formattedCitation":"&lt;sup&gt;52&lt;/sup&gt;","plainTextFormattedCitation":"52","previouslyFormattedCitation":"&lt;sup&gt;53&lt;/sup&gt;"},"properties":{"noteIndex":0},"schema":"https://github.com/citation-style-language/schema/raw/master/csl-citation.json"}</w:instrText>
      </w:r>
      <w:r>
        <w:fldChar w:fldCharType="separate"/>
      </w:r>
      <w:r w:rsidR="00DE16A0" w:rsidRPr="00DE16A0">
        <w:rPr>
          <w:noProof/>
          <w:vertAlign w:val="superscript"/>
        </w:rPr>
        <w:t>52</w:t>
      </w:r>
      <w:r>
        <w:fldChar w:fldCharType="end"/>
      </w:r>
      <w:r w:rsidRPr="00860424">
        <w:t xml:space="preserve">. Frozen samples (approximately 10 g frozen soil) were unsealed and placed in a U-shaped vacuum tube (borosilicate glass), the sample containing </w:t>
      </w:r>
      <w:r w:rsidRPr="00860424">
        <w:rPr>
          <w:noProof/>
        </w:rPr>
        <w:t>side</w:t>
      </w:r>
      <w:r w:rsidRPr="00860424">
        <w:t xml:space="preserve"> of which was immersed in liquid N to ensure complete freezing and no loss of soil water. The U tube was then evacuated to a pressure of &lt;10</w:t>
      </w:r>
      <w:r w:rsidRPr="00860424">
        <w:rPr>
          <w:vertAlign w:val="superscript"/>
        </w:rPr>
        <w:t>-2</w:t>
      </w:r>
      <w:r w:rsidRPr="00860424">
        <w:t xml:space="preserve"> </w:t>
      </w:r>
      <w:r w:rsidRPr="00860424">
        <w:rPr>
          <w:noProof/>
        </w:rPr>
        <w:t>mbar</w:t>
      </w:r>
      <w:r w:rsidRPr="00860424">
        <w:t xml:space="preserve">, removing all residual atmospherics. Once under stable </w:t>
      </w:r>
      <w:r w:rsidRPr="00860424">
        <w:rPr>
          <w:noProof/>
        </w:rPr>
        <w:t>vacuum,</w:t>
      </w:r>
      <w:r w:rsidRPr="00860424">
        <w:t xml:space="preserve"> the U tube was sealed, removed from the vacuum line and the sample side of the tube placed in a furnace at 100</w:t>
      </w:r>
      <w:r w:rsidRPr="00860424">
        <w:rPr>
          <w:rFonts w:cs="Times New Roman"/>
        </w:rPr>
        <w:t>º</w:t>
      </w:r>
      <w:r w:rsidRPr="00860424">
        <w:t>C. Soil water collection was achieved by immersing the opposite side of the glass U tube in liquid nitrogen, forcing evaporating soil water to condense and collect. This set up was maintained for &gt;1hour to ensure complete water transfer. Soil water was collected and stored refrigerated in 1.5 ml vials with no headspace until isotope analysis.</w:t>
      </w:r>
    </w:p>
    <w:p w14:paraId="1E08A629" w14:textId="77777777" w:rsidR="001F6353" w:rsidRPr="000A5EF8" w:rsidRDefault="001F6353" w:rsidP="001F6353">
      <w:pPr>
        <w:spacing w:line="360" w:lineRule="auto"/>
        <w:rPr>
          <w:rStyle w:val="Emphasis"/>
          <w:bCs/>
          <w:iCs w:val="0"/>
        </w:rPr>
      </w:pPr>
      <w:r w:rsidRPr="000A5EF8">
        <w:rPr>
          <w:rStyle w:val="Emphasis"/>
          <w:bCs/>
          <w:iCs w:val="0"/>
        </w:rPr>
        <w:t>Further soil analyses</w:t>
      </w:r>
    </w:p>
    <w:p w14:paraId="4CDB4670" w14:textId="0FA1FA37" w:rsidR="001F6353" w:rsidRPr="00860424" w:rsidRDefault="001F6353" w:rsidP="001F6353">
      <w:pPr>
        <w:spacing w:line="360" w:lineRule="auto"/>
        <w:rPr>
          <w:iCs/>
        </w:rPr>
      </w:pPr>
      <w:r w:rsidRPr="00860424">
        <w:rPr>
          <w:rStyle w:val="Emphasis"/>
          <w:i w:val="0"/>
        </w:rPr>
        <w:t>Sieved and air-dried soil was used to determine the soil pH in water as described by</w:t>
      </w:r>
      <w:r>
        <w:rPr>
          <w:rStyle w:val="Emphasis"/>
          <w:i w:val="0"/>
        </w:rPr>
        <w:t xml:space="preserve"> Faithfull </w:t>
      </w:r>
      <w:r w:rsidRPr="00860424">
        <w:rPr>
          <w:rStyle w:val="Emphasis"/>
          <w:i w:val="0"/>
        </w:rPr>
        <w:t xml:space="preserve"> </w:t>
      </w:r>
      <w:r>
        <w:rPr>
          <w:rStyle w:val="Emphasis"/>
          <w:i w:val="0"/>
        </w:rPr>
        <w:fldChar w:fldCharType="begin" w:fldLock="1"/>
      </w:r>
      <w:r w:rsidR="00DE16A0">
        <w:rPr>
          <w:rStyle w:val="Emphasis"/>
          <w:i w:val="0"/>
        </w:rPr>
        <w:instrText>ADDIN CSL_CITATION {"citationItems":[{"id":"ITEM-1","itemData":{"ISBN":"0851997899","author":[{"dropping-particle":"","family":"Faithfull","given":"Nigel T","non-dropping-particle":"","parse-names":false,"suffix":""}],"id":"ITEM-1","issued":{"date-parts":[["2002"]]},"publisher":"Cabi","title":"Methods in agricultural chemical analysis: a practical handbook","type":"book"},"suppress-author":1,"uris":["http://www.mendeley.com/documents/?uuid=2523fe55-b909-4800-8b34-80963b673076"]}],"mendeley":{"formattedCitation":"&lt;sup&gt;53&lt;/sup&gt;","plainTextFormattedCitation":"53","previouslyFormattedCitation":"&lt;sup&gt;54&lt;/sup&gt;"},"properties":{"noteIndex":0},"schema":"https://github.com/citation-style-language/schema/raw/master/csl-citation.json"}</w:instrText>
      </w:r>
      <w:r>
        <w:rPr>
          <w:rStyle w:val="Emphasis"/>
          <w:i w:val="0"/>
        </w:rPr>
        <w:fldChar w:fldCharType="separate"/>
      </w:r>
      <w:r w:rsidR="00DE16A0" w:rsidRPr="00DE16A0">
        <w:rPr>
          <w:rStyle w:val="Emphasis"/>
          <w:i w:val="0"/>
          <w:noProof/>
          <w:vertAlign w:val="superscript"/>
        </w:rPr>
        <w:t>53</w:t>
      </w:r>
      <w:r>
        <w:rPr>
          <w:rStyle w:val="Emphasis"/>
          <w:i w:val="0"/>
        </w:rPr>
        <w:fldChar w:fldCharType="end"/>
      </w:r>
      <w:r w:rsidRPr="00860424">
        <w:rPr>
          <w:rStyle w:val="Emphasis"/>
          <w:i w:val="0"/>
        </w:rPr>
        <w:t xml:space="preserve">. Total carbon (TC) and total nitrogen (TN), was determined using finely ground and air-dried soil, with an elemental analyser (NA2000, Carlo </w:t>
      </w:r>
      <w:proofErr w:type="spellStart"/>
      <w:r w:rsidRPr="00860424">
        <w:rPr>
          <w:rStyle w:val="Emphasis"/>
          <w:i w:val="0"/>
        </w:rPr>
        <w:t>Erba</w:t>
      </w:r>
      <w:proofErr w:type="spellEnd"/>
      <w:r w:rsidRPr="00860424">
        <w:rPr>
          <w:rStyle w:val="Emphasis"/>
          <w:i w:val="0"/>
        </w:rPr>
        <w:t xml:space="preserve"> Instruments, Milan, Italy). Total </w:t>
      </w:r>
      <w:r w:rsidRPr="00860424">
        <w:rPr>
          <w:rStyle w:val="Emphasis"/>
          <w:i w:val="0"/>
        </w:rPr>
        <w:lastRenderedPageBreak/>
        <w:t xml:space="preserve">P in the soil was determined on air-dried and milled soil via aqua regia digestion </w:t>
      </w:r>
      <w:r>
        <w:rPr>
          <w:rStyle w:val="Emphasis"/>
          <w:i w:val="0"/>
        </w:rPr>
        <w:fldChar w:fldCharType="begin" w:fldLock="1"/>
      </w:r>
      <w:r w:rsidR="00DE16A0">
        <w:rPr>
          <w:rStyle w:val="Emphasis"/>
          <w:i w:val="0"/>
        </w:rPr>
        <w:instrText xml:space="preserve">ADDIN CSL_CITATION {"citationItems":[{"id":"ITEM-1","itemData":{"DOI":"10.1016/j.envpol.2013.05.034","ISBN":"0269-7491","ISSN":"02697491","abstract":"Archived samples from the Park Grass Experiment, established in 1856, were analysed to determine the impacts of long-term phosphate fertiliser applications on arsenic concentrations in soil and herbage. In plots receiving 35 kg P ha−1 annually (+P), topsoil As concentrations almost doubled from an initial value of </w:instrText>
      </w:r>
      <w:r w:rsidR="00DE16A0">
        <w:rPr>
          <w:rStyle w:val="Emphasis"/>
          <w:rFonts w:ascii="Cambria Math" w:hAnsi="Cambria Math" w:cs="Cambria Math"/>
          <w:i w:val="0"/>
        </w:rPr>
        <w:instrText>∼</w:instrText>
      </w:r>
      <w:r w:rsidR="00DE16A0">
        <w:rPr>
          <w:rStyle w:val="Emphasis"/>
          <w:i w:val="0"/>
        </w:rPr>
        <w:instrText>10 mg kg−1 during 1888–1947 and remained stable thereafter. The phosphate fertilisers used before 1948 contained 401–1575 mg As kg−1, compared to 1.6–20.3 mg As kg−1 in the later samples. Herbage samples from the +P plots collected during 1888–1947 contained significantly more As than those from the −P plots, but later samples did not differ significantly. Mass-balance calculations show that the increase in soil As can be explained by the As input from P fertiliser applications before 1948. The results demonstrate that the P fertilisers used on the Park Grass Experiment before 1948 caused substantial As contamination of the soil.","author":[{"dropping-particle":"","family":"Hartley","given":"Tom N","non-dropping-particle":"","parse-names":false,"suffix":""},{"dropping-particle":"","family":"Macdonald","given":"Andy J","non-dropping-particle":"","parse-names":false,"suffix":""},{"dropping-particle":"","family":"McGrath","given":"Steve P","non-dropping-particle":"","parse-names":false,"suffix":""},{"dropping-particle":"","family":"Zhao","given":"Fang-Jie","non-dropping-particle":"","parse-names":false,"suffix":""}],"container-title":"Environmental Pollution","id":"ITEM-1","issued":{"date-parts":[["2013","9"]]},"page":"259-264","title":"Historical arsenic contamination of soil due to long-term phosphate fertiliser applications","type":"article-journal","volume":"180"},"uris":["http://www.mendeley.com/documents/?uuid=2dbfabcf-d393-414f-acc5-5b226ca16a60"]}],"mendeley":{"formattedCitation":"&lt;sup&gt;54&lt;/sup&gt;","plainTextFormattedCitation":"54","previouslyFormattedCitation":"&lt;sup&gt;55&lt;/sup&gt;"},"properties":{"noteIndex":0},"schema":"https://github.com/citation-style-language/schema/raw/master/csl-citation.json"}</w:instrText>
      </w:r>
      <w:r>
        <w:rPr>
          <w:rStyle w:val="Emphasis"/>
          <w:i w:val="0"/>
        </w:rPr>
        <w:fldChar w:fldCharType="separate"/>
      </w:r>
      <w:r w:rsidR="00DE16A0" w:rsidRPr="00DE16A0">
        <w:rPr>
          <w:rStyle w:val="Emphasis"/>
          <w:i w:val="0"/>
          <w:noProof/>
          <w:vertAlign w:val="superscript"/>
        </w:rPr>
        <w:t>54</w:t>
      </w:r>
      <w:r>
        <w:rPr>
          <w:rStyle w:val="Emphasis"/>
          <w:i w:val="0"/>
        </w:rPr>
        <w:fldChar w:fldCharType="end"/>
      </w:r>
      <w:r w:rsidRPr="00860424">
        <w:rPr>
          <w:rStyle w:val="Emphasis"/>
          <w:i w:val="0"/>
        </w:rPr>
        <w:t>. Concentrations in the total P extracts were then determined by ICP-OES.</w:t>
      </w:r>
    </w:p>
    <w:p w14:paraId="132A24D6" w14:textId="77777777" w:rsidR="001F6353" w:rsidRPr="000A5EF8" w:rsidRDefault="001F6353" w:rsidP="001F6353">
      <w:pPr>
        <w:spacing w:line="360" w:lineRule="auto"/>
        <w:rPr>
          <w:rStyle w:val="Emphasis"/>
          <w:bCs/>
          <w:iCs w:val="0"/>
        </w:rPr>
      </w:pPr>
      <w:r>
        <w:rPr>
          <w:rStyle w:val="Emphasis"/>
          <w:bCs/>
          <w:iCs w:val="0"/>
        </w:rPr>
        <w:t>Oxygen isotopes in water and phosphate</w:t>
      </w:r>
    </w:p>
    <w:p w14:paraId="24524A3E" w14:textId="1138063A" w:rsidR="001F6353" w:rsidRDefault="001F6353" w:rsidP="001F6353">
      <w:pPr>
        <w:spacing w:line="360" w:lineRule="auto"/>
      </w:pPr>
      <w:r w:rsidRPr="00860424">
        <w:t>Purification of the TCA, resin, microbial and HCl P extracts and precipitation of silver phosphate (Ag</w:t>
      </w:r>
      <w:r w:rsidRPr="00860424">
        <w:rPr>
          <w:vertAlign w:val="subscript"/>
        </w:rPr>
        <w:t>3</w:t>
      </w:r>
      <w:r w:rsidRPr="00860424">
        <w:t>PO</w:t>
      </w:r>
      <w:r w:rsidRPr="00860424">
        <w:rPr>
          <w:vertAlign w:val="subscript"/>
        </w:rPr>
        <w:t>4</w:t>
      </w:r>
      <w:r w:rsidRPr="00860424">
        <w:t xml:space="preserve">) followed the protocol by </w:t>
      </w:r>
      <w:r>
        <w:t xml:space="preserve">Tamburini et al. </w:t>
      </w:r>
      <w:r>
        <w:fldChar w:fldCharType="begin" w:fldLock="1"/>
      </w:r>
      <w:r w:rsidR="00DE16A0">
        <w:instrText>ADDIN CSL_CITATION {"citationItems":[{"id":"ITEM-1","itemData":{"DOI":"10.1111/j.1365-2389.2010.01290.x","ISSN":"13510754","author":[{"dropping-particle":"","family":"Tamburini","given":"Federica","non-dropping-particle":"","parse-names":false,"suffix":""},{"dropping-particle":"","family":"Bernasconi","given":"Stefano M","non-dropping-particle":"","parse-names":false,"suffix":""},{"dropping-particle":"","family":"Angert","given":"Alon","non-dropping-particle":"","parse-names":false,"suffix":""},{"dropping-particle":"","family":"Weiner","given":"T.","non-dropping-particle":"","parse-names":false,"suffix":""},{"dropping-particle":"","family":"Frossard","given":"Emmanuel","non-dropping-particle":"","parse-names":false,"suffix":""}],"container-title":"European Journal of Soil Science","id":"ITEM-1","issue":"6","issued":{"date-parts":[["2010","12"]]},"page":"1025-1032","title":"A method for the analysis of the δ18O of inorganic phosphate extracted from soils with HCl","type":"article-journal","volume":"61"},"suppress-author":1,"uris":["http://www.mendeley.com/documents/?uuid=384aaafc-b76f-4940-83e8-3fc5cdce8704"]}],"mendeley":{"formattedCitation":"&lt;sup&gt;49&lt;/sup&gt;","plainTextFormattedCitation":"49","previouslyFormattedCitation":"&lt;sup&gt;50&lt;/sup&gt;"},"properties":{"noteIndex":0},"schema":"https://github.com/citation-style-language/schema/raw/master/csl-citation.json"}</w:instrText>
      </w:r>
      <w:r>
        <w:fldChar w:fldCharType="separate"/>
      </w:r>
      <w:r w:rsidR="00DE16A0" w:rsidRPr="00DE16A0">
        <w:rPr>
          <w:noProof/>
          <w:vertAlign w:val="superscript"/>
        </w:rPr>
        <w:t>49</w:t>
      </w:r>
      <w:r>
        <w:fldChar w:fldCharType="end"/>
      </w:r>
      <w:r w:rsidRPr="00860424">
        <w:t>. Modifications to this method were: 1 ml of concentrated H</w:t>
      </w:r>
      <w:r w:rsidRPr="00860424">
        <w:rPr>
          <w:vertAlign w:val="subscript"/>
        </w:rPr>
        <w:t>2</w:t>
      </w:r>
      <w:r w:rsidRPr="00860424">
        <w:t>SO</w:t>
      </w:r>
      <w:r w:rsidRPr="00860424">
        <w:rPr>
          <w:vertAlign w:val="subscript"/>
        </w:rPr>
        <w:t>4</w:t>
      </w:r>
      <w:r w:rsidRPr="00860424">
        <w:t xml:space="preserve"> was added during the ammonium phosphomolybdate (APM) step during the purification of the TCA, resin and microbial P extracts to facilitate the precipitation of APM. Also a few silver nitrate (AgNO</w:t>
      </w:r>
      <w:r w:rsidRPr="00860424">
        <w:rPr>
          <w:vertAlign w:val="subscript"/>
        </w:rPr>
        <w:t>3</w:t>
      </w:r>
      <w:r w:rsidRPr="00860424">
        <w:t>) crystals were added prior to precipitation of Ag</w:t>
      </w:r>
      <w:r w:rsidRPr="00860424">
        <w:rPr>
          <w:vertAlign w:val="subscript"/>
        </w:rPr>
        <w:t>3</w:t>
      </w:r>
      <w:r w:rsidRPr="00860424">
        <w:t>PO</w:t>
      </w:r>
      <w:r w:rsidRPr="00860424">
        <w:rPr>
          <w:vertAlign w:val="subscript"/>
        </w:rPr>
        <w:t>4</w:t>
      </w:r>
      <w:r w:rsidRPr="00860424">
        <w:t xml:space="preserve"> to ensure complete removal of Cl as silver chloride</w:t>
      </w:r>
      <w:r>
        <w:t xml:space="preserve"> (AgCl)</w:t>
      </w:r>
      <w:r w:rsidRPr="00860424">
        <w:t xml:space="preserve">. Precipitated </w:t>
      </w:r>
      <w:r>
        <w:t>AgCl</w:t>
      </w:r>
      <w:r w:rsidRPr="00860424">
        <w:t xml:space="preserve"> was filtered out using 0.2 </w:t>
      </w:r>
      <w:r w:rsidRPr="00860424">
        <w:rPr>
          <w:rFonts w:cs="Times New Roman"/>
        </w:rPr>
        <w:t>µ</w:t>
      </w:r>
      <w:r w:rsidRPr="00860424">
        <w:t>m polycarbonate filters.</w:t>
      </w:r>
      <w:r>
        <w:t xml:space="preserve"> Using size exclusion gel chromatography, selected freeze-dried and re-dissolved NaOH-EDTA extracts were separated in an organic and inorganic P fraction </w:t>
      </w:r>
      <w:r>
        <w:fldChar w:fldCharType="begin" w:fldLock="1"/>
      </w:r>
      <w:r w:rsidR="00741C1A">
        <w:instrText>ADDIN CSL_CITATION {"citationItems":[{"id":"ITEM-1","itemData":{"DOI":"10.1111/ejss.12693","ISSN":"13510754","abstract":"The isotopic composition of oxygen bound to phosphorus (P) in phosphate (δ18O-P) has been used to improve our understanding of P cycling in the soil–plant system. The determination of δ18O-P in the inorganic (Pi) and organic (Po) soil P pools obtained from soil sequential extractions would further our knowledge. Although methods exist for the purification of inorganic soil P pools, there is no published method for organic P at present. Without this information, it is impossible to determine the signature of the inorganic P released by enzyme hydrolysis. In this paper, we present a protocol for the separation and purification of the organic and inorganic P extracted by NaOH-EDTA in sequential extraction. The procedure was tested on different reference compounds as well as soil and plant materials from temperate and tropical climates. We assessed the efficiency of separation between inorganic and organic P, and of the ultraviolet (UV) hydrolysis of organic P, and the effect of possible interfering compounds. Overall, the protocol enables 30–80% of organic P extracted by NaOH-EDTA to be purified. The measured δ18O-P of organic P ranged from 12.7 to 20.3‰ in soils and from 17 to 27‰ in plants. Although the method provides the signature of a fraction only of soil bulk organic P, it represents the best approach to assess the contribution of enzyme hydrolysis to the inorganic P pools, and it completes the set of purification schemes required to characterize δ18O-P in soil inorganic and organic P. Highlights Streamlined method to determine the oxygen isotopic signature of organic P in soils and plants. This information is currently unavailable and values are simply ‘guessed’. The oxygen isotopic signature of organic P is not necessarily similar to that of inorganic phosphate. The signature of organic P should be determined because it enables understanding of P cycling in the soil–plant system.","author":[{"dropping-particle":"","family":"Tamburini","given":"F","non-dropping-particle":"","parse-names":false,"suffix":""},{"dropping-particle":"","family":"Pistocchi","given":"C","non-dropping-particle":"","parse-names":false,"suffix":""},{"dropping-particle":"","family":"Helfenstein","given":"J","non-dropping-particle":"","parse-names":false,"suffix":""},{"dropping-particle":"","family":"Frossard","given":"E","non-dropping-particle":"","parse-names":false,"suffix":""}],"container-title":"European Journal of Soil Science","id":"ITEM-1","issue":"5","issued":{"date-parts":[["2018","9"]]},"page":"816-826","title":"A method to analyse the isotopic composition of oxygen associated with organic phosphorus in soil and plant material","type":"article-journal","volume":"69"},"uris":["http://www.mendeley.com/documents/?uuid=d7541558-2a55-4341-884f-83540f8b93d9"]}],"mendeley":{"formattedCitation":"&lt;sup&gt;37&lt;/sup&gt;","plainTextFormattedCitation":"37","previouslyFormattedCitation":"&lt;sup&gt;37&lt;/sup&gt;"},"properties":{"noteIndex":0},"schema":"https://github.com/citation-style-language/schema/raw/master/csl-citation.json"}</w:instrText>
      </w:r>
      <w:r>
        <w:fldChar w:fldCharType="separate"/>
      </w:r>
      <w:r w:rsidR="00CB44EE" w:rsidRPr="00CB44EE">
        <w:rPr>
          <w:noProof/>
          <w:vertAlign w:val="superscript"/>
        </w:rPr>
        <w:t>37</w:t>
      </w:r>
      <w:r>
        <w:fldChar w:fldCharType="end"/>
      </w:r>
      <w:r>
        <w:t xml:space="preserve">. Only the inorganic P fraction of the NaOH-EDTA extraction was purified as described above. </w:t>
      </w:r>
      <w:r w:rsidRPr="00860424">
        <w:t xml:space="preserve">Analysis of phosphate </w:t>
      </w:r>
      <w:r w:rsidRPr="00860424">
        <w:rPr>
          <w:vertAlign w:val="superscript"/>
        </w:rPr>
        <w:t>18</w:t>
      </w:r>
      <w:r w:rsidRPr="00860424">
        <w:t>O:</w:t>
      </w:r>
      <w:r w:rsidRPr="00860424">
        <w:rPr>
          <w:vertAlign w:val="superscript"/>
        </w:rPr>
        <w:t>16</w:t>
      </w:r>
      <w:r w:rsidRPr="00860424">
        <w:t>O (</w:t>
      </w:r>
      <w:r w:rsidRPr="00860424">
        <w:rPr>
          <w:rFonts w:cs="Times New Roman"/>
        </w:rPr>
        <w:t>δ</w:t>
      </w:r>
      <w:r w:rsidRPr="00860424">
        <w:rPr>
          <w:vertAlign w:val="superscript"/>
        </w:rPr>
        <w:t>18</w:t>
      </w:r>
      <w:r w:rsidRPr="00860424">
        <w:t xml:space="preserve">O) was undertaken by weighing approximately 300 </w:t>
      </w:r>
      <w:proofErr w:type="spellStart"/>
      <w:r w:rsidRPr="00860424">
        <w:t>μg</w:t>
      </w:r>
      <w:proofErr w:type="spellEnd"/>
      <w:r w:rsidRPr="00860424">
        <w:t xml:space="preserve"> of Ag</w:t>
      </w:r>
      <w:r w:rsidRPr="00860424">
        <w:rPr>
          <w:vertAlign w:val="subscript"/>
        </w:rPr>
        <w:t>3</w:t>
      </w:r>
      <w:r w:rsidRPr="00860424">
        <w:t>PO</w:t>
      </w:r>
      <w:r w:rsidRPr="00860424">
        <w:rPr>
          <w:vertAlign w:val="subscript"/>
        </w:rPr>
        <w:t>4</w:t>
      </w:r>
      <w:r w:rsidRPr="00860424">
        <w:t xml:space="preserve"> into a silver capsule to which a small amount of fine glassy carbon powder was added </w:t>
      </w:r>
      <w:r>
        <w:fldChar w:fldCharType="begin" w:fldLock="1"/>
      </w:r>
      <w:r w:rsidR="00DE16A0">
        <w:instrText>ADDIN CSL_CITATION {"citationItems":[{"id":"ITEM-1","itemData":{"DOI":"10.1111/j.1365-2389.2010.01290.x","ISSN":"13510754","author":[{"dropping-particle":"","family":"Tamburini","given":"Federica","non-dropping-particle":"","parse-names":false,"suffix":""},{"dropping-particle":"","family":"Bernasconi","given":"Stefano M","non-dropping-particle":"","parse-names":false,"suffix":""},{"dropping-particle":"","family":"Angert","given":"Alon","non-dropping-particle":"","parse-names":false,"suffix":""},{"dropping-particle":"","family":"Weiner","given":"T.","non-dropping-particle":"","parse-names":false,"suffix":""},{"dropping-particle":"","family":"Frossard","given":"Emmanuel","non-dropping-particle":"","parse-names":false,"suffix":""}],"container-title":"European Journal of Soil Science","id":"ITEM-1","issue":"6","issued":{"date-parts":[["2010","12"]]},"page":"1025-1032","title":"A method for the analysis of the δ18O of inorganic phosphate extracted from soils with HCl","type":"article-journal","volume":"61"},"uris":["http://www.mendeley.com/documents/?uuid=384aaafc-b76f-4940-83e8-3fc5cdce8704"]}],"mendeley":{"formattedCitation":"&lt;sup&gt;49&lt;/sup&gt;","plainTextFormattedCitation":"49","previouslyFormattedCitation":"&lt;sup&gt;50&lt;/sup&gt;"},"properties":{"noteIndex":0},"schema":"https://github.com/citation-style-language/schema/raw/master/csl-citation.json"}</w:instrText>
      </w:r>
      <w:r>
        <w:fldChar w:fldCharType="separate"/>
      </w:r>
      <w:r w:rsidR="00DE16A0" w:rsidRPr="00DE16A0">
        <w:rPr>
          <w:noProof/>
          <w:vertAlign w:val="superscript"/>
        </w:rPr>
        <w:t>49</w:t>
      </w:r>
      <w:r>
        <w:fldChar w:fldCharType="end"/>
      </w:r>
      <w:r w:rsidRPr="00860424">
        <w:t>. The sample was converted to carbon monoxide by dropping it into a thermal conversion elemental analyser (</w:t>
      </w:r>
      <w:proofErr w:type="spellStart"/>
      <w:r w:rsidRPr="00860424">
        <w:t>ThermoFinnigan</w:t>
      </w:r>
      <w:proofErr w:type="spellEnd"/>
      <w:r w:rsidRPr="00860424">
        <w:t>, Germany) at 1400°C, the resultant CO mixed with a helium carrier gas passes through a GC column into a Delta + XL mass spectrometer (</w:t>
      </w:r>
      <w:proofErr w:type="spellStart"/>
      <w:r w:rsidRPr="00860424">
        <w:t>ThermoFinnigan</w:t>
      </w:r>
      <w:proofErr w:type="spellEnd"/>
      <w:r w:rsidRPr="00860424">
        <w:t xml:space="preserve">, Germany). </w:t>
      </w:r>
      <w:r w:rsidRPr="00860424">
        <w:rPr>
          <w:rFonts w:cs="Times New Roman"/>
        </w:rPr>
        <w:t>δ</w:t>
      </w:r>
      <w:r w:rsidRPr="00860424">
        <w:rPr>
          <w:vertAlign w:val="superscript"/>
        </w:rPr>
        <w:t>18</w:t>
      </w:r>
      <w:r w:rsidRPr="00860424">
        <w:t>O</w:t>
      </w:r>
      <w:r w:rsidRPr="00860424">
        <w:rPr>
          <w:vertAlign w:val="subscript"/>
        </w:rPr>
        <w:t>P</w:t>
      </w:r>
      <w:r w:rsidRPr="00860424">
        <w:t xml:space="preserve"> was calculated by comparison to internal Ag</w:t>
      </w:r>
      <w:r w:rsidRPr="00860424">
        <w:rPr>
          <w:vertAlign w:val="subscript"/>
        </w:rPr>
        <w:t>3</w:t>
      </w:r>
      <w:r w:rsidRPr="00860424">
        <w:t>PO</w:t>
      </w:r>
      <w:r w:rsidRPr="00860424">
        <w:rPr>
          <w:vertAlign w:val="subscript"/>
        </w:rPr>
        <w:t>4</w:t>
      </w:r>
      <w:r w:rsidRPr="00860424">
        <w:t xml:space="preserve"> laboratory standard, ALFA-1 (ALFA-1= δ</w:t>
      </w:r>
      <w:r w:rsidRPr="00860424">
        <w:rPr>
          <w:vertAlign w:val="superscript"/>
        </w:rPr>
        <w:t>18</w:t>
      </w:r>
      <w:r w:rsidRPr="00860424">
        <w:t>O VSMOW value of 14.2‰). In the absence of an international Ag</w:t>
      </w:r>
      <w:r w:rsidRPr="00860424">
        <w:rPr>
          <w:vertAlign w:val="subscript"/>
        </w:rPr>
        <w:t>3</w:t>
      </w:r>
      <w:r w:rsidRPr="00860424">
        <w:t>PO</w:t>
      </w:r>
      <w:r w:rsidRPr="00860424">
        <w:rPr>
          <w:vertAlign w:val="subscript"/>
        </w:rPr>
        <w:t>4</w:t>
      </w:r>
      <w:r w:rsidRPr="00860424">
        <w:t xml:space="preserve"> reference </w:t>
      </w:r>
      <w:r w:rsidRPr="00860424">
        <w:rPr>
          <w:noProof/>
        </w:rPr>
        <w:t>material,</w:t>
      </w:r>
      <w:r w:rsidRPr="00860424">
        <w:t xml:space="preserve"> we derived this value for ALFA-1 by comparison to the Ag</w:t>
      </w:r>
      <w:r w:rsidRPr="00860424">
        <w:rPr>
          <w:vertAlign w:val="subscript"/>
        </w:rPr>
        <w:t>3</w:t>
      </w:r>
      <w:r w:rsidRPr="00860424">
        <w:t>PO</w:t>
      </w:r>
      <w:r w:rsidRPr="00860424">
        <w:rPr>
          <w:vertAlign w:val="subscript"/>
        </w:rPr>
        <w:t>4</w:t>
      </w:r>
      <w:r w:rsidRPr="00860424">
        <w:t xml:space="preserve"> standard ‘B2207’ (Elemental Microanalysis Ltd., England), which has been measured in an inter-laboratory comparison study to have a δ</w:t>
      </w:r>
      <w:r w:rsidRPr="00860424">
        <w:rPr>
          <w:vertAlign w:val="superscript"/>
        </w:rPr>
        <w:t>18</w:t>
      </w:r>
      <w:r w:rsidRPr="00860424">
        <w:t xml:space="preserve">O value of 21.7‰ versus VSMOW. Samples were run in triplicate, with a typical precision σ ≤ 0.3‰. </w:t>
      </w:r>
    </w:p>
    <w:p w14:paraId="2D24F4AC" w14:textId="7951ABD1" w:rsidR="001F6353" w:rsidRDefault="001F6353" w:rsidP="00E627AF">
      <w:pPr>
        <w:spacing w:line="360" w:lineRule="auto"/>
      </w:pPr>
      <w:r w:rsidRPr="00860424">
        <w:t xml:space="preserve">Soil water </w:t>
      </w:r>
      <w:r w:rsidRPr="00860424">
        <w:rPr>
          <w:rFonts w:cs="Times New Roman"/>
        </w:rPr>
        <w:t>δ</w:t>
      </w:r>
      <w:r w:rsidRPr="00860424">
        <w:rPr>
          <w:vertAlign w:val="superscript"/>
        </w:rPr>
        <w:t>18</w:t>
      </w:r>
      <w:r w:rsidRPr="00860424">
        <w:t xml:space="preserve">O was determined on an </w:t>
      </w:r>
      <w:proofErr w:type="spellStart"/>
      <w:r w:rsidRPr="00860424">
        <w:t>Isoprime</w:t>
      </w:r>
      <w:proofErr w:type="spellEnd"/>
      <w:r w:rsidRPr="00860424">
        <w:t xml:space="preserve"> </w:t>
      </w:r>
      <w:proofErr w:type="spellStart"/>
      <w:r w:rsidRPr="00860424">
        <w:t>Aquaprep</w:t>
      </w:r>
      <w:proofErr w:type="spellEnd"/>
      <w:r w:rsidRPr="00860424">
        <w:t xml:space="preserve"> coupled to an </w:t>
      </w:r>
      <w:proofErr w:type="spellStart"/>
      <w:r w:rsidRPr="00860424">
        <w:t>Isoprime</w:t>
      </w:r>
      <w:proofErr w:type="spellEnd"/>
      <w:r w:rsidRPr="00860424">
        <w:t xml:space="preserve"> 100 dual-inlet mass spectrometer (</w:t>
      </w:r>
      <w:proofErr w:type="spellStart"/>
      <w:r w:rsidRPr="00860424">
        <w:t>Isoprime</w:t>
      </w:r>
      <w:proofErr w:type="spellEnd"/>
      <w:r w:rsidRPr="00860424">
        <w:t xml:space="preserve"> Ltd., Cheadle, England) through a process of headspace CO</w:t>
      </w:r>
      <w:r w:rsidRPr="00860424">
        <w:rPr>
          <w:vertAlign w:val="subscript"/>
        </w:rPr>
        <w:t>2</w:t>
      </w:r>
      <w:r w:rsidRPr="00860424">
        <w:t xml:space="preserve"> equilibration with water samples. The isotope ratios are reported as δ</w:t>
      </w:r>
      <w:r w:rsidRPr="00860424">
        <w:rPr>
          <w:vertAlign w:val="superscript"/>
        </w:rPr>
        <w:t>18</w:t>
      </w:r>
      <w:r w:rsidRPr="00860424">
        <w:t>O</w:t>
      </w:r>
      <w:r w:rsidRPr="00860424">
        <w:rPr>
          <w:vertAlign w:val="subscript"/>
        </w:rPr>
        <w:t>H2O</w:t>
      </w:r>
      <w:r w:rsidRPr="00860424">
        <w:t xml:space="preserve"> values versus VSMOW, based on comparison with laboratory standards calibrated against IAEA standards VSMOW and SLAP, with analytical precision typically σ ≤ 0.05‰.</w:t>
      </w:r>
      <w:r>
        <w:t xml:space="preserve"> </w:t>
      </w:r>
      <w:r w:rsidRPr="00860424">
        <w:t xml:space="preserve">The theoretical equilibrium between O in soil water and O in phosphate was calculated </w:t>
      </w:r>
      <w:r>
        <w:t xml:space="preserve">for each depth and treatment </w:t>
      </w:r>
      <w:r w:rsidRPr="00860424">
        <w:t xml:space="preserve">using a modified version of the equation given by Chang and Blake </w:t>
      </w:r>
      <w:r>
        <w:fldChar w:fldCharType="begin" w:fldLock="1"/>
      </w:r>
      <w:r w:rsidR="00CB44EE">
        <w:instrText>ADDIN CSL_CITATION {"citationItems":[{"id":"ITEM-1","itemData":{"DOI":"10.1016/j.gca.2014.10.030","ISBN":"0016-7037","ISSN":"00167037","abstract":"The stable oxygen isotope composition of orthophosphate (δ18OPO4) is a widely used (paleo)temperature indicator and more recently, a useful tracer of phosphorus-cycling. In natural aqueous systems (e.g., oceans, rivers, soil/ground water) the largest reactive phosphorus pool is dissolved inorganic phosphate. Here, we present a new experimentally-determined equation for thermodynamic equilibrium O-isotope fractionations between dissolved phosphate and water, catalyzed by the enzyme inorganic pyrophosphatase (PPase) between 3 and 37 °C; 1000 ln α ( PO 4 - H 2 O ) = 14.43 ( ± 0.39 ) 1000 / T ( K ) - 26.54 ( ± 1.33 ) r 2 = 0.99 The new equation is slightly offset by +0.5 to +0.7‰ from recent empirically-determined fractionations based on biogenic apatite, with both based on modern cf-irms TC/EA analysis of Ag3PO4. Dissolved phosphate–water fractionations are offset by +0.9 to +2.3‰ from the earlier empirical relation for biogenic phosphate–water fractionation determined using fluorination of BiPO4. The equation presented here is thus, specific to equilibrium fractions between dissolved phosphate and water and appropriate for use in recent/future oxygen isotope studies of dissolved phosphate using similar cf-irms TC/EA analytical methods.","author":[{"dropping-particle":"","family":"Chang","given":"Sae Jung","non-dropping-particle":"","parse-names":false,"suffix":""},{"dropping-particle":"","family":"Blake","given":"Ruth E","non-dropping-particle":"","parse-names":false,"suffix":""}],"container-title":"Geochimica et Cosmochimica Acta","id":"ITEM-1","issue":"0","issued":{"date-parts":[["2015","2"]]},"page":"314-329","title":"Precise calibration of equilibrium oxygen isotope fractionations between dissolved phosphate and water from 3 to 37 °C","type":"article-journal","volume":"150"},"suppress-author":1,"uris":["http://www.mendeley.com/documents/?uuid=a11847f4-ef5e-47e9-b609-d2e177e7704a"]}],"mendeley":{"formattedCitation":"&lt;sup&gt;22&lt;/sup&gt;","plainTextFormattedCitation":"22","previouslyFormattedCitation":"&lt;sup&gt;22&lt;/sup&gt;"},"properties":{"noteIndex":0},"schema":"https://github.com/citation-style-language/schema/raw/master/csl-citation.json"}</w:instrText>
      </w:r>
      <w:r>
        <w:fldChar w:fldCharType="separate"/>
      </w:r>
      <w:r w:rsidRPr="00667D65">
        <w:rPr>
          <w:noProof/>
          <w:vertAlign w:val="superscript"/>
        </w:rPr>
        <w:t>22</w:t>
      </w:r>
      <w:r>
        <w:fldChar w:fldCharType="end"/>
      </w:r>
      <w:r w:rsidRPr="00860424">
        <w:t>: δ</w:t>
      </w:r>
      <w:r w:rsidRPr="00860424">
        <w:rPr>
          <w:vertAlign w:val="superscript"/>
        </w:rPr>
        <w:t>18</w:t>
      </w:r>
      <w:r w:rsidRPr="00860424">
        <w:t>O</w:t>
      </w:r>
      <w:r w:rsidRPr="00860424">
        <w:rPr>
          <w:vertAlign w:val="subscript"/>
        </w:rPr>
        <w:t>P</w:t>
      </w:r>
      <w:r w:rsidRPr="00860424">
        <w:t xml:space="preserve"> = −0.18T + 26.3 + δ</w:t>
      </w:r>
      <w:r w:rsidRPr="00860424">
        <w:rPr>
          <w:vertAlign w:val="superscript"/>
        </w:rPr>
        <w:t>18</w:t>
      </w:r>
      <w:r w:rsidRPr="00860424">
        <w:t>O</w:t>
      </w:r>
      <w:r w:rsidRPr="00860424">
        <w:rPr>
          <w:vertAlign w:val="subscript"/>
        </w:rPr>
        <w:t>H2O</w:t>
      </w:r>
      <w:r w:rsidRPr="00860424">
        <w:t>, where δ</w:t>
      </w:r>
      <w:r w:rsidRPr="00860424">
        <w:rPr>
          <w:vertAlign w:val="superscript"/>
        </w:rPr>
        <w:t>18</w:t>
      </w:r>
      <w:r w:rsidRPr="00860424">
        <w:t>O</w:t>
      </w:r>
      <w:r w:rsidRPr="00860424">
        <w:rPr>
          <w:vertAlign w:val="subscript"/>
        </w:rPr>
        <w:t>P</w:t>
      </w:r>
      <w:r w:rsidRPr="00860424">
        <w:t xml:space="preserve"> is the stable oxygen isotope ratio of phosphate at </w:t>
      </w:r>
      <w:r w:rsidRPr="00860424">
        <w:lastRenderedPageBreak/>
        <w:t>equilibrium in ‰, T is the temperature in degrees Celsius and δ</w:t>
      </w:r>
      <w:r w:rsidRPr="00860424">
        <w:rPr>
          <w:vertAlign w:val="superscript"/>
        </w:rPr>
        <w:t>18</w:t>
      </w:r>
      <w:r w:rsidRPr="00860424">
        <w:t>O</w:t>
      </w:r>
      <w:r w:rsidRPr="00860424">
        <w:rPr>
          <w:vertAlign w:val="subscript"/>
        </w:rPr>
        <w:t>H2O</w:t>
      </w:r>
      <w:r w:rsidRPr="00860424">
        <w:t xml:space="preserve"> is the stable oxygen isotope ratio of the soil water in ‰. The minimum and maximum soil temperatures in the 24 hours prior to the soil sample were used for calculating the equilibrium values as it can take up to 24 hours until the equilibrium is reached </w:t>
      </w:r>
      <w:r>
        <w:fldChar w:fldCharType="begin" w:fldLock="1"/>
      </w:r>
      <w:r w:rsidR="00CB44EE">
        <w:instrText>ADDIN CSL_CITATION {"citationItems":[{"id":"ITEM-1","itemData":{"DOI":"10.1016/j.gca.2014.10.030","ISBN":"0016-7037","ISSN":"00167037","abstract":"The stable oxygen isotope composition of orthophosphate (δ18OPO4) is a widely used (paleo)temperature indicator and more recently, a useful tracer of phosphorus-cycling. In natural aqueous systems (e.g., oceans, rivers, soil/ground water) the largest reactive phosphorus pool is dissolved inorganic phosphate. Here, we present a new experimentally-determined equation for thermodynamic equilibrium O-isotope fractionations between dissolved phosphate and water, catalyzed by the enzyme inorganic pyrophosphatase (PPase) between 3 and 37 °C; 1000 ln α ( PO 4 - H 2 O ) = 14.43 ( ± 0.39 ) 1000 / T ( K ) - 26.54 ( ± 1.33 ) r 2 = 0.99 The new equation is slightly offset by +0.5 to +0.7‰ from recent empirically-determined fractionations based on biogenic apatite, with both based on modern cf-irms TC/EA analysis of Ag3PO4. Dissolved phosphate–water fractionations are offset by +0.9 to +2.3‰ from the earlier empirical relation for biogenic phosphate–water fractionation determined using fluorination of BiPO4. The equation presented here is thus, specific to equilibrium fractions between dissolved phosphate and water and appropriate for use in recent/future oxygen isotope studies of dissolved phosphate using similar cf-irms TC/EA analytical methods.","author":[{"dropping-particle":"","family":"Chang","given":"Sae Jung","non-dropping-particle":"","parse-names":false,"suffix":""},{"dropping-particle":"","family":"Blake","given":"Ruth E","non-dropping-particle":"","parse-names":false,"suffix":""}],"container-title":"Geochimica et Cosmochimica Acta","id":"ITEM-1","issue":"0","issued":{"date-parts":[["2015","2"]]},"page":"314-329","title":"Precise calibration of equilibrium oxygen isotope fractionations between dissolved phosphate and water from 3 to 37 °C","type":"article-journal","volume":"150"},"uris":["http://www.mendeley.com/documents/?uuid=a11847f4-ef5e-47e9-b609-d2e177e7704a"]}],"mendeley":{"formattedCitation":"&lt;sup&gt;22&lt;/sup&gt;","plainTextFormattedCitation":"22","previouslyFormattedCitation":"&lt;sup&gt;22&lt;/sup&gt;"},"properties":{"noteIndex":0},"schema":"https://github.com/citation-style-language/schema/raw/master/csl-citation.json"}</w:instrText>
      </w:r>
      <w:r>
        <w:fldChar w:fldCharType="separate"/>
      </w:r>
      <w:r w:rsidRPr="00667D65">
        <w:rPr>
          <w:noProof/>
          <w:vertAlign w:val="superscript"/>
        </w:rPr>
        <w:t>22</w:t>
      </w:r>
      <w:r>
        <w:fldChar w:fldCharType="end"/>
      </w:r>
      <w:r w:rsidRPr="00860424">
        <w:t>. The microbial P δ</w:t>
      </w:r>
      <w:r w:rsidRPr="00860424">
        <w:rPr>
          <w:vertAlign w:val="superscript"/>
        </w:rPr>
        <w:t>18</w:t>
      </w:r>
      <w:r w:rsidRPr="00860424">
        <w:t>O</w:t>
      </w:r>
      <w:r w:rsidRPr="00860424">
        <w:rPr>
          <w:vertAlign w:val="subscript"/>
        </w:rPr>
        <w:t>P</w:t>
      </w:r>
      <w:r w:rsidRPr="00860424">
        <w:t xml:space="preserve"> was determined via mass balance using the concentrations of the resin, hexanol and microbial P and the δ</w:t>
      </w:r>
      <w:r w:rsidRPr="00860424">
        <w:rPr>
          <w:vertAlign w:val="superscript"/>
        </w:rPr>
        <w:t>18</w:t>
      </w:r>
      <w:r w:rsidRPr="00860424">
        <w:t>O</w:t>
      </w:r>
      <w:r w:rsidRPr="00860424">
        <w:rPr>
          <w:vertAlign w:val="subscript"/>
        </w:rPr>
        <w:t>P</w:t>
      </w:r>
      <w:r w:rsidRPr="00860424">
        <w:t xml:space="preserve"> values of resin and hexanol P </w:t>
      </w:r>
      <w:r>
        <w:fldChar w:fldCharType="begin" w:fldLock="1"/>
      </w:r>
      <w:r w:rsidR="00CB44EE">
        <w:instrText>ADDIN CSL_CITATION {"citationItems":[{"id":"ITEM-1","itemData":{"DOI":"10.1021/es300311h","ISBN":"0013-936X","ISSN":"0013936X","abstract":"Phosphorus (P) is considered the ultimate limiting nutrient for plants in most natural systems and changes in the distribution of inorganic and organic P forms during soil development have been well documented. In particular, microbial activity has been shown to be an important control on P cycling but its contribution in building up the pool of plant-available P during soil development is still poorly quantified. To determine the importance of different biological processes on P cycling, we analyzed the isotopic composition of oxygen in phosphate (δ 18 O-Pi) from the parent material, soil microorganisms, the available P pool, and from the vegetation along a 150-year soil chronosequence of a glacier forefield. Our results show that at all sites, δ 18 O-Pi of microbial Pi is within the range expected for the temperature-dependent equilibrium between phosphate and water. In addition, the isotopic signature of available Pi is close to the signature of microbial Pi, independently of the contribution of parent material Pi, vegetation Pi or Pi released from organic matter mineralization. Thus, we show that phosphate is cycled through soil microorganisms before being released to the available pool. This isotopic approach demonstrates for the first time in the field and over long time scales, and not only through controlled experiments, the role of the microbial activity in cycling of P in soils. © 2012 American Chemical Society.","author":[{"dropping-particle":"","family":"Tamburini","given":"Federica","non-dropping-particle":"","parse-names":false,"suffix":""},{"dropping-particle":"","family":"Pfahler","given":"Verena","non-dropping-particle":"","parse-names":false,"suffix":""},{"dropping-particle":"","family":"Bünemann","given":"Else K","non-dropping-particle":"","parse-names":false,"suffix":""},{"dropping-particle":"","family":"Guelland","given":"Kathi","non-dropping-particle":"","parse-names":false,"suffix":""},{"dropping-particle":"","family":"Bernasconi","given":"Stefano M","non-dropping-particle":"","parse-names":false,"suffix":""},{"dropping-particle":"","family":"Frossard","given":"Emmanuel","non-dropping-particle":"","parse-names":false,"suffix":""}],"container-title":"Environmental Science &amp; Technology","id":"ITEM-1","issue":"11","issued":{"date-parts":[["2012"]]},"page":"5956-5962","publisher":"American Chemical Society","title":"Oxygen isotopes unravel the role of microorganisms in phosphate cycling in soils","type":"article-journal","volume":"46"},"uris":["http://www.mendeley.com/documents/?uuid=ca634f93-349c-4dff-bc1a-85a17323e9b1"]}],"mendeley":{"formattedCitation":"&lt;sup&gt;23&lt;/sup&gt;","plainTextFormattedCitation":"23","previouslyFormattedCitation":"&lt;sup&gt;23&lt;/sup&gt;"},"properties":{"noteIndex":0},"schema":"https://github.com/citation-style-language/schema/raw/master/csl-citation.json"}</w:instrText>
      </w:r>
      <w:r>
        <w:fldChar w:fldCharType="separate"/>
      </w:r>
      <w:r w:rsidRPr="00667D65">
        <w:rPr>
          <w:noProof/>
          <w:vertAlign w:val="superscript"/>
        </w:rPr>
        <w:t>23</w:t>
      </w:r>
      <w:r>
        <w:fldChar w:fldCharType="end"/>
      </w:r>
      <w:r w:rsidRPr="00860424">
        <w:t>.</w:t>
      </w:r>
    </w:p>
    <w:bookmarkEnd w:id="6"/>
    <w:p w14:paraId="0369667B" w14:textId="77777777" w:rsidR="006F0BED" w:rsidRPr="00860424" w:rsidRDefault="006F0BED" w:rsidP="00E627AF">
      <w:pPr>
        <w:spacing w:line="360" w:lineRule="auto"/>
        <w:rPr>
          <w:b/>
        </w:rPr>
      </w:pPr>
      <w:r w:rsidRPr="00860424">
        <w:rPr>
          <w:b/>
        </w:rPr>
        <w:t>References</w:t>
      </w:r>
    </w:p>
    <w:p w14:paraId="23BBEE01" w14:textId="34225CCD" w:rsidR="00DE16A0" w:rsidRPr="00DE16A0" w:rsidRDefault="00F922AB" w:rsidP="00DE16A0">
      <w:pPr>
        <w:widowControl w:val="0"/>
        <w:autoSpaceDE w:val="0"/>
        <w:autoSpaceDN w:val="0"/>
        <w:adjustRightInd w:val="0"/>
        <w:spacing w:line="360" w:lineRule="auto"/>
        <w:ind w:left="640" w:hanging="640"/>
        <w:rPr>
          <w:rFonts w:cs="Times New Roman"/>
          <w:noProof/>
        </w:rPr>
      </w:pPr>
      <w:r>
        <w:fldChar w:fldCharType="begin" w:fldLock="1"/>
      </w:r>
      <w:r>
        <w:instrText xml:space="preserve">ADDIN Mendeley Bibliography CSL_BIBLIOGRAPHY </w:instrText>
      </w:r>
      <w:r>
        <w:fldChar w:fldCharType="separate"/>
      </w:r>
      <w:r w:rsidR="00DE16A0" w:rsidRPr="00DE16A0">
        <w:rPr>
          <w:rFonts w:cs="Times New Roman"/>
          <w:noProof/>
        </w:rPr>
        <w:t>1.</w:t>
      </w:r>
      <w:r w:rsidR="00DE16A0" w:rsidRPr="00DE16A0">
        <w:rPr>
          <w:rFonts w:cs="Times New Roman"/>
          <w:noProof/>
        </w:rPr>
        <w:tab/>
        <w:t xml:space="preserve">The Crop Site. World Reserves of Phosphate Rock - Dynamic, Unfolding Story - The Crop Site. </w:t>
      </w:r>
      <w:r w:rsidR="00DE16A0" w:rsidRPr="00DE16A0">
        <w:rPr>
          <w:rFonts w:cs="Times New Roman"/>
          <w:i/>
          <w:iCs/>
          <w:noProof/>
        </w:rPr>
        <w:t>Better Crop. With Plant Food</w:t>
      </w:r>
      <w:r w:rsidR="00DE16A0" w:rsidRPr="00DE16A0">
        <w:rPr>
          <w:rFonts w:cs="Times New Roman"/>
          <w:noProof/>
        </w:rPr>
        <w:t xml:space="preserve"> </w:t>
      </w:r>
      <w:r w:rsidR="00DE16A0" w:rsidRPr="00DE16A0">
        <w:rPr>
          <w:rFonts w:cs="Times New Roman"/>
          <w:b/>
          <w:bCs/>
          <w:noProof/>
        </w:rPr>
        <w:t>97</w:t>
      </w:r>
      <w:r w:rsidR="00DE16A0" w:rsidRPr="00DE16A0">
        <w:rPr>
          <w:rFonts w:cs="Times New Roman"/>
          <w:noProof/>
        </w:rPr>
        <w:t>, 18–20 (2013).</w:t>
      </w:r>
    </w:p>
    <w:p w14:paraId="7BA65BF9"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2.</w:t>
      </w:r>
      <w:r w:rsidRPr="00DE16A0">
        <w:rPr>
          <w:rFonts w:cs="Times New Roman"/>
          <w:noProof/>
        </w:rPr>
        <w:tab/>
        <w:t xml:space="preserve">Sattari, S. Z., Bouwman, A. F., Martinez Rodriguez, R., Beusen, A. H. W. &amp; van Ittersum, M. K. Negative global phosphorus budgets challenge sustainable intensification of grasslands. </w:t>
      </w:r>
      <w:r w:rsidRPr="00DE16A0">
        <w:rPr>
          <w:rFonts w:cs="Times New Roman"/>
          <w:i/>
          <w:iCs/>
          <w:noProof/>
        </w:rPr>
        <w:t>Nat Commun</w:t>
      </w:r>
      <w:r w:rsidRPr="00DE16A0">
        <w:rPr>
          <w:rFonts w:cs="Times New Roman"/>
          <w:noProof/>
        </w:rPr>
        <w:t xml:space="preserve"> </w:t>
      </w:r>
      <w:r w:rsidRPr="00DE16A0">
        <w:rPr>
          <w:rFonts w:cs="Times New Roman"/>
          <w:b/>
          <w:bCs/>
          <w:noProof/>
        </w:rPr>
        <w:t>7</w:t>
      </w:r>
      <w:r w:rsidRPr="00DE16A0">
        <w:rPr>
          <w:rFonts w:cs="Times New Roman"/>
          <w:noProof/>
        </w:rPr>
        <w:t>, (2016).</w:t>
      </w:r>
    </w:p>
    <w:p w14:paraId="382367D4"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3.</w:t>
      </w:r>
      <w:r w:rsidRPr="00DE16A0">
        <w:rPr>
          <w:rFonts w:cs="Times New Roman"/>
          <w:noProof/>
        </w:rPr>
        <w:tab/>
        <w:t xml:space="preserve">Fay, P. A. </w:t>
      </w:r>
      <w:r w:rsidRPr="00DE16A0">
        <w:rPr>
          <w:rFonts w:cs="Times New Roman"/>
          <w:i/>
          <w:iCs/>
          <w:noProof/>
        </w:rPr>
        <w:t>et al.</w:t>
      </w:r>
      <w:r w:rsidRPr="00DE16A0">
        <w:rPr>
          <w:rFonts w:cs="Times New Roman"/>
          <w:noProof/>
        </w:rPr>
        <w:t xml:space="preserve"> Grassland productivity limited by multiple nutrients. </w:t>
      </w:r>
      <w:r w:rsidRPr="00DE16A0">
        <w:rPr>
          <w:rFonts w:cs="Times New Roman"/>
          <w:i/>
          <w:iCs/>
          <w:noProof/>
        </w:rPr>
        <w:t>Nat. Plants</w:t>
      </w:r>
      <w:r w:rsidRPr="00DE16A0">
        <w:rPr>
          <w:rFonts w:cs="Times New Roman"/>
          <w:noProof/>
        </w:rPr>
        <w:t xml:space="preserve"> </w:t>
      </w:r>
      <w:r w:rsidRPr="00DE16A0">
        <w:rPr>
          <w:rFonts w:cs="Times New Roman"/>
          <w:b/>
          <w:bCs/>
          <w:noProof/>
        </w:rPr>
        <w:t>1</w:t>
      </w:r>
      <w:r w:rsidRPr="00DE16A0">
        <w:rPr>
          <w:rFonts w:cs="Times New Roman"/>
          <w:noProof/>
        </w:rPr>
        <w:t>, 15080 (2015).</w:t>
      </w:r>
    </w:p>
    <w:p w14:paraId="4152F9F8"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4.</w:t>
      </w:r>
      <w:r w:rsidRPr="00DE16A0">
        <w:rPr>
          <w:rFonts w:cs="Times New Roman"/>
          <w:noProof/>
        </w:rPr>
        <w:tab/>
        <w:t xml:space="preserve">Haygarth, P. M., Chapman, P. J., Jarvis, S. C. &amp; Smith, R. V. Phosphorus budgets for two contrasting grassland farming systems in the UK. </w:t>
      </w:r>
      <w:r w:rsidRPr="00DE16A0">
        <w:rPr>
          <w:rFonts w:cs="Times New Roman"/>
          <w:i/>
          <w:iCs/>
          <w:noProof/>
        </w:rPr>
        <w:t>Soil Use Manag.</w:t>
      </w:r>
      <w:r w:rsidRPr="00DE16A0">
        <w:rPr>
          <w:rFonts w:cs="Times New Roman"/>
          <w:noProof/>
        </w:rPr>
        <w:t xml:space="preserve"> </w:t>
      </w:r>
      <w:r w:rsidRPr="00DE16A0">
        <w:rPr>
          <w:rFonts w:cs="Times New Roman"/>
          <w:b/>
          <w:bCs/>
          <w:noProof/>
        </w:rPr>
        <w:t>14</w:t>
      </w:r>
      <w:r w:rsidRPr="00DE16A0">
        <w:rPr>
          <w:rFonts w:cs="Times New Roman"/>
          <w:noProof/>
        </w:rPr>
        <w:t>, 160–167 (1998).</w:t>
      </w:r>
    </w:p>
    <w:p w14:paraId="274C83A6"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5.</w:t>
      </w:r>
      <w:r w:rsidRPr="00DE16A0">
        <w:rPr>
          <w:rFonts w:cs="Times New Roman"/>
          <w:noProof/>
        </w:rPr>
        <w:tab/>
        <w:t xml:space="preserve">Arai, Y. &amp; Sparks, D. L. Phosphate reaction dynamics in soils and soil components: A multiscale approach. in </w:t>
      </w:r>
      <w:r w:rsidRPr="00DE16A0">
        <w:rPr>
          <w:rFonts w:cs="Times New Roman"/>
          <w:i/>
          <w:iCs/>
          <w:noProof/>
        </w:rPr>
        <w:t>Advances</w:t>
      </w:r>
      <w:r w:rsidRPr="00DE16A0">
        <w:rPr>
          <w:rFonts w:cs="Times New Roman"/>
          <w:noProof/>
        </w:rPr>
        <w:t xml:space="preserve"> </w:t>
      </w:r>
      <w:r w:rsidRPr="00DE16A0">
        <w:rPr>
          <w:rFonts w:cs="Times New Roman"/>
          <w:b/>
          <w:bCs/>
          <w:noProof/>
        </w:rPr>
        <w:t>94</w:t>
      </w:r>
      <w:r w:rsidRPr="00DE16A0">
        <w:rPr>
          <w:rFonts w:cs="Times New Roman"/>
          <w:noProof/>
        </w:rPr>
        <w:t>, 135–179 (Academic Press, 2007).</w:t>
      </w:r>
    </w:p>
    <w:p w14:paraId="3D634801"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6.</w:t>
      </w:r>
      <w:r w:rsidRPr="00DE16A0">
        <w:rPr>
          <w:rFonts w:cs="Times New Roman"/>
          <w:noProof/>
        </w:rPr>
        <w:tab/>
        <w:t xml:space="preserve">Richardson, A. E. </w:t>
      </w:r>
      <w:r w:rsidRPr="00DE16A0">
        <w:rPr>
          <w:rFonts w:cs="Times New Roman"/>
          <w:i/>
          <w:iCs/>
          <w:noProof/>
        </w:rPr>
        <w:t>et al.</w:t>
      </w:r>
      <w:r w:rsidRPr="00DE16A0">
        <w:rPr>
          <w:rFonts w:cs="Times New Roman"/>
          <w:noProof/>
        </w:rPr>
        <w:t xml:space="preserve"> Plant and microbial strategies to improve the phosphorus efficiency of agriculture. </w:t>
      </w:r>
      <w:r w:rsidRPr="00DE16A0">
        <w:rPr>
          <w:rFonts w:cs="Times New Roman"/>
          <w:i/>
          <w:iCs/>
          <w:noProof/>
        </w:rPr>
        <w:t>Plant Soil</w:t>
      </w:r>
      <w:r w:rsidRPr="00DE16A0">
        <w:rPr>
          <w:rFonts w:cs="Times New Roman"/>
          <w:noProof/>
        </w:rPr>
        <w:t xml:space="preserve"> </w:t>
      </w:r>
      <w:r w:rsidRPr="00DE16A0">
        <w:rPr>
          <w:rFonts w:cs="Times New Roman"/>
          <w:b/>
          <w:bCs/>
          <w:noProof/>
        </w:rPr>
        <w:t>349</w:t>
      </w:r>
      <w:r w:rsidRPr="00DE16A0">
        <w:rPr>
          <w:rFonts w:cs="Times New Roman"/>
          <w:noProof/>
        </w:rPr>
        <w:t>, 121–156 (2011).</w:t>
      </w:r>
    </w:p>
    <w:p w14:paraId="24CE19E5" w14:textId="77777777" w:rsidR="00DE16A0" w:rsidRPr="001A6926" w:rsidRDefault="00DE16A0" w:rsidP="00DE16A0">
      <w:pPr>
        <w:widowControl w:val="0"/>
        <w:autoSpaceDE w:val="0"/>
        <w:autoSpaceDN w:val="0"/>
        <w:adjustRightInd w:val="0"/>
        <w:spacing w:line="360" w:lineRule="auto"/>
        <w:ind w:left="640" w:hanging="640"/>
        <w:rPr>
          <w:rFonts w:cs="Times New Roman"/>
          <w:noProof/>
          <w:lang w:val="de-DE"/>
        </w:rPr>
      </w:pPr>
      <w:r w:rsidRPr="00DE16A0">
        <w:rPr>
          <w:rFonts w:cs="Times New Roman"/>
          <w:noProof/>
        </w:rPr>
        <w:t>7.</w:t>
      </w:r>
      <w:r w:rsidRPr="00DE16A0">
        <w:rPr>
          <w:rFonts w:cs="Times New Roman"/>
          <w:noProof/>
        </w:rPr>
        <w:tab/>
        <w:t xml:space="preserve">Lidbury, I. D. E. A. </w:t>
      </w:r>
      <w:r w:rsidRPr="00DE16A0">
        <w:rPr>
          <w:rFonts w:cs="Times New Roman"/>
          <w:i/>
          <w:iCs/>
          <w:noProof/>
        </w:rPr>
        <w:t>et al.</w:t>
      </w:r>
      <w:r w:rsidRPr="00DE16A0">
        <w:rPr>
          <w:rFonts w:cs="Times New Roman"/>
          <w:noProof/>
        </w:rPr>
        <w:t xml:space="preserve"> The ‘known’ genetic potential for microbial communities to degrade organic phosphorus is reduced in low-pH soils. </w:t>
      </w:r>
      <w:r w:rsidRPr="001A6926">
        <w:rPr>
          <w:rFonts w:cs="Times New Roman"/>
          <w:i/>
          <w:iCs/>
          <w:noProof/>
          <w:lang w:val="de-DE"/>
        </w:rPr>
        <w:t>Microbiologyopen</w:t>
      </w:r>
      <w:r w:rsidRPr="001A6926">
        <w:rPr>
          <w:rFonts w:cs="Times New Roman"/>
          <w:noProof/>
          <w:lang w:val="de-DE"/>
        </w:rPr>
        <w:t xml:space="preserve"> </w:t>
      </w:r>
      <w:r w:rsidRPr="001A6926">
        <w:rPr>
          <w:rFonts w:cs="Times New Roman"/>
          <w:b/>
          <w:bCs/>
          <w:noProof/>
          <w:lang w:val="de-DE"/>
        </w:rPr>
        <w:t>6</w:t>
      </w:r>
      <w:r w:rsidRPr="001A6926">
        <w:rPr>
          <w:rFonts w:cs="Times New Roman"/>
          <w:noProof/>
          <w:lang w:val="de-DE"/>
        </w:rPr>
        <w:t>, e00474 (2017).</w:t>
      </w:r>
    </w:p>
    <w:p w14:paraId="11C41D44"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1A6926">
        <w:rPr>
          <w:rFonts w:cs="Times New Roman"/>
          <w:noProof/>
          <w:lang w:val="de-DE"/>
        </w:rPr>
        <w:t>8.</w:t>
      </w:r>
      <w:r w:rsidRPr="001A6926">
        <w:rPr>
          <w:rFonts w:cs="Times New Roman"/>
          <w:noProof/>
          <w:lang w:val="de-DE"/>
        </w:rPr>
        <w:tab/>
        <w:t xml:space="preserve">Scheffer, F. &amp; Schachtschabel, P. </w:t>
      </w:r>
      <w:r w:rsidRPr="001A6926">
        <w:rPr>
          <w:rFonts w:cs="Times New Roman"/>
          <w:i/>
          <w:iCs/>
          <w:noProof/>
          <w:lang w:val="de-DE"/>
        </w:rPr>
        <w:t>Lehrbuch der Bodenkunde: 100 Tabellen</w:t>
      </w:r>
      <w:r w:rsidRPr="001A6926">
        <w:rPr>
          <w:rFonts w:cs="Times New Roman"/>
          <w:noProof/>
          <w:lang w:val="de-DE"/>
        </w:rPr>
        <w:t xml:space="preserve">. </w:t>
      </w:r>
      <w:r w:rsidRPr="00DE16A0">
        <w:rPr>
          <w:rFonts w:cs="Times New Roman"/>
          <w:noProof/>
        </w:rPr>
        <w:t>(Enke, 1998).</w:t>
      </w:r>
    </w:p>
    <w:p w14:paraId="2BA38096"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9.</w:t>
      </w:r>
      <w:r w:rsidRPr="00DE16A0">
        <w:rPr>
          <w:rFonts w:cs="Times New Roman"/>
          <w:noProof/>
        </w:rPr>
        <w:tab/>
        <w:t xml:space="preserve">Tian, D. &amp; Niu, S. A global analysis of soil acidification caused by nitrogen addition. </w:t>
      </w:r>
      <w:r w:rsidRPr="00DE16A0">
        <w:rPr>
          <w:rFonts w:cs="Times New Roman"/>
          <w:i/>
          <w:iCs/>
          <w:noProof/>
        </w:rPr>
        <w:t>Environ. Res. Lett.</w:t>
      </w:r>
      <w:r w:rsidRPr="00DE16A0">
        <w:rPr>
          <w:rFonts w:cs="Times New Roman"/>
          <w:noProof/>
        </w:rPr>
        <w:t xml:space="preserve"> </w:t>
      </w:r>
      <w:r w:rsidRPr="00DE16A0">
        <w:rPr>
          <w:rFonts w:cs="Times New Roman"/>
          <w:b/>
          <w:bCs/>
          <w:noProof/>
        </w:rPr>
        <w:t>10</w:t>
      </w:r>
      <w:r w:rsidRPr="00DE16A0">
        <w:rPr>
          <w:rFonts w:cs="Times New Roman"/>
          <w:noProof/>
        </w:rPr>
        <w:t>, 24019 (2015).</w:t>
      </w:r>
    </w:p>
    <w:p w14:paraId="3A88CDE3"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lastRenderedPageBreak/>
        <w:t>10.</w:t>
      </w:r>
      <w:r w:rsidRPr="00DE16A0">
        <w:rPr>
          <w:rFonts w:cs="Times New Roman"/>
          <w:noProof/>
        </w:rPr>
        <w:tab/>
        <w:t xml:space="preserve">Slessarev, E. W. </w:t>
      </w:r>
      <w:r w:rsidRPr="00DE16A0">
        <w:rPr>
          <w:rFonts w:cs="Times New Roman"/>
          <w:i/>
          <w:iCs/>
          <w:noProof/>
        </w:rPr>
        <w:t>et al.</w:t>
      </w:r>
      <w:r w:rsidRPr="00DE16A0">
        <w:rPr>
          <w:rFonts w:cs="Times New Roman"/>
          <w:noProof/>
        </w:rPr>
        <w:t xml:space="preserve"> Water balance creates a threshold in soil pH at the global scale. </w:t>
      </w:r>
      <w:r w:rsidRPr="00DE16A0">
        <w:rPr>
          <w:rFonts w:cs="Times New Roman"/>
          <w:i/>
          <w:iCs/>
          <w:noProof/>
        </w:rPr>
        <w:t>Nature</w:t>
      </w:r>
      <w:r w:rsidRPr="00DE16A0">
        <w:rPr>
          <w:rFonts w:cs="Times New Roman"/>
          <w:noProof/>
        </w:rPr>
        <w:t xml:space="preserve"> </w:t>
      </w:r>
      <w:r w:rsidRPr="00DE16A0">
        <w:rPr>
          <w:rFonts w:cs="Times New Roman"/>
          <w:b/>
          <w:bCs/>
          <w:noProof/>
        </w:rPr>
        <w:t>540</w:t>
      </w:r>
      <w:r w:rsidRPr="00DE16A0">
        <w:rPr>
          <w:rFonts w:cs="Times New Roman"/>
          <w:noProof/>
        </w:rPr>
        <w:t>, 567 (2016).</w:t>
      </w:r>
    </w:p>
    <w:p w14:paraId="2D4F5DAD"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11.</w:t>
      </w:r>
      <w:r w:rsidRPr="00DE16A0">
        <w:rPr>
          <w:rFonts w:cs="Times New Roman"/>
          <w:noProof/>
        </w:rPr>
        <w:tab/>
        <w:t xml:space="preserve">Barrow, N. J. The effects of pH on phosphate uptake from the soil. </w:t>
      </w:r>
      <w:r w:rsidRPr="00DE16A0">
        <w:rPr>
          <w:rFonts w:cs="Times New Roman"/>
          <w:i/>
          <w:iCs/>
          <w:noProof/>
        </w:rPr>
        <w:t>Plant Soil</w:t>
      </w:r>
      <w:r w:rsidRPr="00DE16A0">
        <w:rPr>
          <w:rFonts w:cs="Times New Roman"/>
          <w:noProof/>
        </w:rPr>
        <w:t xml:space="preserve"> </w:t>
      </w:r>
      <w:r w:rsidRPr="00DE16A0">
        <w:rPr>
          <w:rFonts w:cs="Times New Roman"/>
          <w:b/>
          <w:bCs/>
          <w:noProof/>
        </w:rPr>
        <w:t>410</w:t>
      </w:r>
      <w:r w:rsidRPr="00DE16A0">
        <w:rPr>
          <w:rFonts w:cs="Times New Roman"/>
          <w:noProof/>
        </w:rPr>
        <w:t>, 401–410 (2016).</w:t>
      </w:r>
    </w:p>
    <w:p w14:paraId="58C97204"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12.</w:t>
      </w:r>
      <w:r w:rsidRPr="00DE16A0">
        <w:rPr>
          <w:rFonts w:cs="Times New Roman"/>
          <w:noProof/>
        </w:rPr>
        <w:tab/>
        <w:t xml:space="preserve">Simonsson, M. </w:t>
      </w:r>
      <w:r w:rsidRPr="00DE16A0">
        <w:rPr>
          <w:rFonts w:cs="Times New Roman"/>
          <w:i/>
          <w:iCs/>
          <w:noProof/>
        </w:rPr>
        <w:t>et al.</w:t>
      </w:r>
      <w:r w:rsidRPr="00DE16A0">
        <w:rPr>
          <w:rFonts w:cs="Times New Roman"/>
          <w:noProof/>
        </w:rPr>
        <w:t xml:space="preserve"> Pools and solubility of soil phosphorus as affected by liming in long-term agricultural field experiments. </w:t>
      </w:r>
      <w:r w:rsidRPr="00DE16A0">
        <w:rPr>
          <w:rFonts w:cs="Times New Roman"/>
          <w:i/>
          <w:iCs/>
          <w:noProof/>
        </w:rPr>
        <w:t>Geoderma</w:t>
      </w:r>
      <w:r w:rsidRPr="00DE16A0">
        <w:rPr>
          <w:rFonts w:cs="Times New Roman"/>
          <w:noProof/>
        </w:rPr>
        <w:t xml:space="preserve"> </w:t>
      </w:r>
      <w:r w:rsidRPr="00DE16A0">
        <w:rPr>
          <w:rFonts w:cs="Times New Roman"/>
          <w:b/>
          <w:bCs/>
          <w:noProof/>
        </w:rPr>
        <w:t>315</w:t>
      </w:r>
      <w:r w:rsidRPr="00DE16A0">
        <w:rPr>
          <w:rFonts w:cs="Times New Roman"/>
          <w:noProof/>
        </w:rPr>
        <w:t>, 208–219 (2018).</w:t>
      </w:r>
    </w:p>
    <w:p w14:paraId="4327D7D3"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13.</w:t>
      </w:r>
      <w:r w:rsidRPr="00DE16A0">
        <w:rPr>
          <w:rFonts w:cs="Times New Roman"/>
          <w:noProof/>
        </w:rPr>
        <w:tab/>
        <w:t xml:space="preserve">Rothamsted Long-term Experiments. </w:t>
      </w:r>
      <w:r w:rsidRPr="00DE16A0">
        <w:rPr>
          <w:rFonts w:cs="Times New Roman"/>
          <w:i/>
          <w:iCs/>
          <w:noProof/>
        </w:rPr>
        <w:t>Rothamsted research: guide to the classical and other long-term experiments, datasets and sample archive</w:t>
      </w:r>
      <w:r w:rsidRPr="00DE16A0">
        <w:rPr>
          <w:rFonts w:cs="Times New Roman"/>
          <w:noProof/>
        </w:rPr>
        <w:t>. (2018).</w:t>
      </w:r>
    </w:p>
    <w:p w14:paraId="6A8F815B"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14.</w:t>
      </w:r>
      <w:r w:rsidRPr="00DE16A0">
        <w:rPr>
          <w:rFonts w:cs="Times New Roman"/>
          <w:noProof/>
        </w:rPr>
        <w:tab/>
        <w:t xml:space="preserve">Crawley, M. J. </w:t>
      </w:r>
      <w:r w:rsidRPr="00DE16A0">
        <w:rPr>
          <w:rFonts w:cs="Times New Roman"/>
          <w:i/>
          <w:iCs/>
          <w:noProof/>
        </w:rPr>
        <w:t>et al.</w:t>
      </w:r>
      <w:r w:rsidRPr="00DE16A0">
        <w:rPr>
          <w:rFonts w:cs="Times New Roman"/>
          <w:noProof/>
        </w:rPr>
        <w:t xml:space="preserve"> Determinants of species richness in the park grass experiment. </w:t>
      </w:r>
      <w:r w:rsidRPr="00DE16A0">
        <w:rPr>
          <w:rFonts w:cs="Times New Roman"/>
          <w:i/>
          <w:iCs/>
          <w:noProof/>
        </w:rPr>
        <w:t>Am. Nat.</w:t>
      </w:r>
      <w:r w:rsidRPr="00DE16A0">
        <w:rPr>
          <w:rFonts w:cs="Times New Roman"/>
          <w:noProof/>
        </w:rPr>
        <w:t xml:space="preserve"> </w:t>
      </w:r>
      <w:r w:rsidRPr="00DE16A0">
        <w:rPr>
          <w:rFonts w:cs="Times New Roman"/>
          <w:b/>
          <w:bCs/>
          <w:noProof/>
        </w:rPr>
        <w:t>165</w:t>
      </w:r>
      <w:r w:rsidRPr="00DE16A0">
        <w:rPr>
          <w:rFonts w:cs="Times New Roman"/>
          <w:noProof/>
        </w:rPr>
        <w:t>, 179–192 (2005).</w:t>
      </w:r>
    </w:p>
    <w:p w14:paraId="1E6279BF"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15.</w:t>
      </w:r>
      <w:r w:rsidRPr="00DE16A0">
        <w:rPr>
          <w:rFonts w:cs="Times New Roman"/>
          <w:noProof/>
        </w:rPr>
        <w:tab/>
        <w:t xml:space="preserve">Zhalnina, K. </w:t>
      </w:r>
      <w:r w:rsidRPr="00DE16A0">
        <w:rPr>
          <w:rFonts w:cs="Times New Roman"/>
          <w:i/>
          <w:iCs/>
          <w:noProof/>
        </w:rPr>
        <w:t>et al.</w:t>
      </w:r>
      <w:r w:rsidRPr="00DE16A0">
        <w:rPr>
          <w:rFonts w:cs="Times New Roman"/>
          <w:noProof/>
        </w:rPr>
        <w:t xml:space="preserve"> Soil pH Determines Microbial Diversity and Composition in the Park Grass Experiment. </w:t>
      </w:r>
      <w:r w:rsidRPr="00DE16A0">
        <w:rPr>
          <w:rFonts w:cs="Times New Roman"/>
          <w:i/>
          <w:iCs/>
          <w:noProof/>
        </w:rPr>
        <w:t>Microb. Ecol.</w:t>
      </w:r>
      <w:r w:rsidRPr="00DE16A0">
        <w:rPr>
          <w:rFonts w:cs="Times New Roman"/>
          <w:noProof/>
        </w:rPr>
        <w:t xml:space="preserve"> </w:t>
      </w:r>
      <w:r w:rsidRPr="00DE16A0">
        <w:rPr>
          <w:rFonts w:cs="Times New Roman"/>
          <w:b/>
          <w:bCs/>
          <w:noProof/>
        </w:rPr>
        <w:t>69</w:t>
      </w:r>
      <w:r w:rsidRPr="00DE16A0">
        <w:rPr>
          <w:rFonts w:cs="Times New Roman"/>
          <w:noProof/>
        </w:rPr>
        <w:t>, 395–406 (2015).</w:t>
      </w:r>
    </w:p>
    <w:p w14:paraId="42E54743"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16.</w:t>
      </w:r>
      <w:r w:rsidRPr="00DE16A0">
        <w:rPr>
          <w:rFonts w:cs="Times New Roman"/>
          <w:noProof/>
        </w:rPr>
        <w:tab/>
        <w:t xml:space="preserve">Li, H. &amp; Jaisi, D. P. An isotope labeling technique to investigate atom exchange during phosphate sorption and desorption. </w:t>
      </w:r>
      <w:r w:rsidRPr="00DE16A0">
        <w:rPr>
          <w:rFonts w:cs="Times New Roman"/>
          <w:i/>
          <w:iCs/>
          <w:noProof/>
        </w:rPr>
        <w:t>Soil Sci. Soc. Am. J.</w:t>
      </w:r>
      <w:r w:rsidRPr="00DE16A0">
        <w:rPr>
          <w:rFonts w:cs="Times New Roman"/>
          <w:noProof/>
        </w:rPr>
        <w:t xml:space="preserve"> </w:t>
      </w:r>
      <w:r w:rsidRPr="00DE16A0">
        <w:rPr>
          <w:rFonts w:cs="Times New Roman"/>
          <w:b/>
          <w:bCs/>
          <w:noProof/>
        </w:rPr>
        <w:t>79</w:t>
      </w:r>
      <w:r w:rsidRPr="00DE16A0">
        <w:rPr>
          <w:rFonts w:cs="Times New Roman"/>
          <w:noProof/>
        </w:rPr>
        <w:t>, 1340–1351 (2015).</w:t>
      </w:r>
    </w:p>
    <w:p w14:paraId="70EBBBFD"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17.</w:t>
      </w:r>
      <w:r w:rsidRPr="00DE16A0">
        <w:rPr>
          <w:rFonts w:cs="Times New Roman"/>
          <w:noProof/>
        </w:rPr>
        <w:tab/>
        <w:t xml:space="preserve">Jaisi, D. P., Blake, R. E. &amp; Kukkadapu, R. K. Fractionation of oxygen isotopes in phosphate during its interactions with iron oxides. </w:t>
      </w:r>
      <w:r w:rsidRPr="00DE16A0">
        <w:rPr>
          <w:rFonts w:cs="Times New Roman"/>
          <w:i/>
          <w:iCs/>
          <w:noProof/>
        </w:rPr>
        <w:t>Geochim. Cosmochim. Acta</w:t>
      </w:r>
      <w:r w:rsidRPr="00DE16A0">
        <w:rPr>
          <w:rFonts w:cs="Times New Roman"/>
          <w:noProof/>
        </w:rPr>
        <w:t xml:space="preserve"> </w:t>
      </w:r>
      <w:r w:rsidRPr="00DE16A0">
        <w:rPr>
          <w:rFonts w:cs="Times New Roman"/>
          <w:b/>
          <w:bCs/>
          <w:noProof/>
        </w:rPr>
        <w:t>74</w:t>
      </w:r>
      <w:r w:rsidRPr="00DE16A0">
        <w:rPr>
          <w:rFonts w:cs="Times New Roman"/>
          <w:noProof/>
        </w:rPr>
        <w:t>, 1309–1319 (2010).</w:t>
      </w:r>
    </w:p>
    <w:p w14:paraId="1E97D345"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18.</w:t>
      </w:r>
      <w:r w:rsidRPr="00DE16A0">
        <w:rPr>
          <w:rFonts w:cs="Times New Roman"/>
          <w:noProof/>
        </w:rPr>
        <w:tab/>
        <w:t xml:space="preserve">Jaisi, D. P. Stable isotope fractionations during reactive transport of phosphate in packed-bed sediment columns. </w:t>
      </w:r>
      <w:r w:rsidRPr="00DE16A0">
        <w:rPr>
          <w:rFonts w:cs="Times New Roman"/>
          <w:i/>
          <w:iCs/>
          <w:noProof/>
        </w:rPr>
        <w:t>J. Contam. Hydrol.</w:t>
      </w:r>
      <w:r w:rsidRPr="00DE16A0">
        <w:rPr>
          <w:rFonts w:cs="Times New Roman"/>
          <w:noProof/>
        </w:rPr>
        <w:t xml:space="preserve"> </w:t>
      </w:r>
      <w:r w:rsidRPr="00DE16A0">
        <w:rPr>
          <w:rFonts w:cs="Times New Roman"/>
          <w:b/>
          <w:bCs/>
          <w:noProof/>
        </w:rPr>
        <w:t>154</w:t>
      </w:r>
      <w:r w:rsidRPr="00DE16A0">
        <w:rPr>
          <w:rFonts w:cs="Times New Roman"/>
          <w:noProof/>
        </w:rPr>
        <w:t>, 10–19 (2013).</w:t>
      </w:r>
    </w:p>
    <w:p w14:paraId="4190C95F"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19.</w:t>
      </w:r>
      <w:r w:rsidRPr="00DE16A0">
        <w:rPr>
          <w:rFonts w:cs="Times New Roman"/>
          <w:noProof/>
        </w:rPr>
        <w:tab/>
        <w:t xml:space="preserve">Blake, R. E. Biogeochemical cycling of phosphorus: Insights from oxygen isotope effects of phosphoenzymes. </w:t>
      </w:r>
      <w:r w:rsidRPr="00DE16A0">
        <w:rPr>
          <w:rFonts w:cs="Times New Roman"/>
          <w:i/>
          <w:iCs/>
          <w:noProof/>
        </w:rPr>
        <w:t>Am. J. Sci.</w:t>
      </w:r>
      <w:r w:rsidRPr="00DE16A0">
        <w:rPr>
          <w:rFonts w:cs="Times New Roman"/>
          <w:noProof/>
        </w:rPr>
        <w:t xml:space="preserve"> </w:t>
      </w:r>
      <w:r w:rsidRPr="00DE16A0">
        <w:rPr>
          <w:rFonts w:cs="Times New Roman"/>
          <w:b/>
          <w:bCs/>
          <w:noProof/>
        </w:rPr>
        <w:t>305</w:t>
      </w:r>
      <w:r w:rsidRPr="00DE16A0">
        <w:rPr>
          <w:rFonts w:cs="Times New Roman"/>
          <w:noProof/>
        </w:rPr>
        <w:t>, 596–620 (2005).</w:t>
      </w:r>
    </w:p>
    <w:p w14:paraId="6A8A0A0A"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20.</w:t>
      </w:r>
      <w:r w:rsidRPr="00DE16A0">
        <w:rPr>
          <w:rFonts w:cs="Times New Roman"/>
          <w:noProof/>
        </w:rPr>
        <w:tab/>
        <w:t xml:space="preserve">von Sperber, C., Kries, H., Tamburini, F., Bernasconi, S. M. &amp; Frossard, E. The effect of phosphomonoesterases on the oxygen isotope composition of phosphate. </w:t>
      </w:r>
      <w:r w:rsidRPr="00DE16A0">
        <w:rPr>
          <w:rFonts w:cs="Times New Roman"/>
          <w:i/>
          <w:iCs/>
          <w:noProof/>
        </w:rPr>
        <w:t>Geochim. Cosmochim. Acta</w:t>
      </w:r>
      <w:r w:rsidRPr="00DE16A0">
        <w:rPr>
          <w:rFonts w:cs="Times New Roman"/>
          <w:noProof/>
        </w:rPr>
        <w:t xml:space="preserve"> </w:t>
      </w:r>
      <w:r w:rsidRPr="00DE16A0">
        <w:rPr>
          <w:rFonts w:cs="Times New Roman"/>
          <w:b/>
          <w:bCs/>
          <w:noProof/>
        </w:rPr>
        <w:t>125</w:t>
      </w:r>
      <w:r w:rsidRPr="00DE16A0">
        <w:rPr>
          <w:rFonts w:cs="Times New Roman"/>
          <w:noProof/>
        </w:rPr>
        <w:t>, 519–527 (2014).</w:t>
      </w:r>
    </w:p>
    <w:p w14:paraId="4CB01B3E"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21.</w:t>
      </w:r>
      <w:r w:rsidRPr="00DE16A0">
        <w:rPr>
          <w:rFonts w:cs="Times New Roman"/>
          <w:noProof/>
        </w:rPr>
        <w:tab/>
        <w:t xml:space="preserve">Liang, Y. &amp; Blake, R. E. Oxygen isotope signature of Pi regeneration from organic compounds by phosphomonoesterases and photooxidation. </w:t>
      </w:r>
      <w:r w:rsidRPr="00DE16A0">
        <w:rPr>
          <w:rFonts w:cs="Times New Roman"/>
          <w:i/>
          <w:iCs/>
          <w:noProof/>
        </w:rPr>
        <w:t>Geochim. Cosmochim. Acta</w:t>
      </w:r>
      <w:r w:rsidRPr="00DE16A0">
        <w:rPr>
          <w:rFonts w:cs="Times New Roman"/>
          <w:noProof/>
        </w:rPr>
        <w:t xml:space="preserve"> </w:t>
      </w:r>
      <w:r w:rsidRPr="00DE16A0">
        <w:rPr>
          <w:rFonts w:cs="Times New Roman"/>
          <w:b/>
          <w:bCs/>
          <w:noProof/>
        </w:rPr>
        <w:t>70</w:t>
      </w:r>
      <w:r w:rsidRPr="00DE16A0">
        <w:rPr>
          <w:rFonts w:cs="Times New Roman"/>
          <w:noProof/>
        </w:rPr>
        <w:t>, 3957–3969 (2006).</w:t>
      </w:r>
    </w:p>
    <w:p w14:paraId="1B11EBCC"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22.</w:t>
      </w:r>
      <w:r w:rsidRPr="00DE16A0">
        <w:rPr>
          <w:rFonts w:cs="Times New Roman"/>
          <w:noProof/>
        </w:rPr>
        <w:tab/>
        <w:t xml:space="preserve">Chang, S. J. &amp; Blake, R. E. Precise calibration of equilibrium oxygen isotope </w:t>
      </w:r>
      <w:r w:rsidRPr="00DE16A0">
        <w:rPr>
          <w:rFonts w:cs="Times New Roman"/>
          <w:noProof/>
        </w:rPr>
        <w:lastRenderedPageBreak/>
        <w:t xml:space="preserve">fractionations between dissolved phosphate and water from 3 to 37 °C. </w:t>
      </w:r>
      <w:r w:rsidRPr="00DE16A0">
        <w:rPr>
          <w:rFonts w:cs="Times New Roman"/>
          <w:i/>
          <w:iCs/>
          <w:noProof/>
        </w:rPr>
        <w:t>Geochim. Cosmochim. Acta</w:t>
      </w:r>
      <w:r w:rsidRPr="00DE16A0">
        <w:rPr>
          <w:rFonts w:cs="Times New Roman"/>
          <w:noProof/>
        </w:rPr>
        <w:t xml:space="preserve"> </w:t>
      </w:r>
      <w:r w:rsidRPr="00DE16A0">
        <w:rPr>
          <w:rFonts w:cs="Times New Roman"/>
          <w:b/>
          <w:bCs/>
          <w:noProof/>
        </w:rPr>
        <w:t>150</w:t>
      </w:r>
      <w:r w:rsidRPr="00DE16A0">
        <w:rPr>
          <w:rFonts w:cs="Times New Roman"/>
          <w:noProof/>
        </w:rPr>
        <w:t>, 314–329 (2015).</w:t>
      </w:r>
    </w:p>
    <w:p w14:paraId="198FB586"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23.</w:t>
      </w:r>
      <w:r w:rsidRPr="00DE16A0">
        <w:rPr>
          <w:rFonts w:cs="Times New Roman"/>
          <w:noProof/>
        </w:rPr>
        <w:tab/>
        <w:t xml:space="preserve">Tamburini, F. </w:t>
      </w:r>
      <w:r w:rsidRPr="00DE16A0">
        <w:rPr>
          <w:rFonts w:cs="Times New Roman"/>
          <w:i/>
          <w:iCs/>
          <w:noProof/>
        </w:rPr>
        <w:t>et al.</w:t>
      </w:r>
      <w:r w:rsidRPr="00DE16A0">
        <w:rPr>
          <w:rFonts w:cs="Times New Roman"/>
          <w:noProof/>
        </w:rPr>
        <w:t xml:space="preserve"> Oxygen isotopes unravel the role of microorganisms in phosphate cycling in soils. </w:t>
      </w:r>
      <w:r w:rsidRPr="00DE16A0">
        <w:rPr>
          <w:rFonts w:cs="Times New Roman"/>
          <w:i/>
          <w:iCs/>
          <w:noProof/>
        </w:rPr>
        <w:t>Environ. Sci. Technol.</w:t>
      </w:r>
      <w:r w:rsidRPr="00DE16A0">
        <w:rPr>
          <w:rFonts w:cs="Times New Roman"/>
          <w:noProof/>
        </w:rPr>
        <w:t xml:space="preserve"> </w:t>
      </w:r>
      <w:r w:rsidRPr="00DE16A0">
        <w:rPr>
          <w:rFonts w:cs="Times New Roman"/>
          <w:b/>
          <w:bCs/>
          <w:noProof/>
        </w:rPr>
        <w:t>46</w:t>
      </w:r>
      <w:r w:rsidRPr="00DE16A0">
        <w:rPr>
          <w:rFonts w:cs="Times New Roman"/>
          <w:noProof/>
        </w:rPr>
        <w:t>, 5956–5962 (2012).</w:t>
      </w:r>
    </w:p>
    <w:p w14:paraId="393382F0"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24.</w:t>
      </w:r>
      <w:r w:rsidRPr="00DE16A0">
        <w:rPr>
          <w:rFonts w:cs="Times New Roman"/>
          <w:noProof/>
        </w:rPr>
        <w:tab/>
        <w:t xml:space="preserve">Cassagne, N., Remaury, M., Gauquelin, T. &amp; Fabre, A. Forms and profile distribution of soil phosphorus in alpine Inceptisols and Spodosols (Pyrenees, France). </w:t>
      </w:r>
      <w:r w:rsidRPr="00DE16A0">
        <w:rPr>
          <w:rFonts w:cs="Times New Roman"/>
          <w:i/>
          <w:iCs/>
          <w:noProof/>
        </w:rPr>
        <w:t>Geoderma</w:t>
      </w:r>
      <w:r w:rsidRPr="00DE16A0">
        <w:rPr>
          <w:rFonts w:cs="Times New Roman"/>
          <w:noProof/>
        </w:rPr>
        <w:t xml:space="preserve"> </w:t>
      </w:r>
      <w:r w:rsidRPr="00DE16A0">
        <w:rPr>
          <w:rFonts w:cs="Times New Roman"/>
          <w:b/>
          <w:bCs/>
          <w:noProof/>
        </w:rPr>
        <w:t>95</w:t>
      </w:r>
      <w:r w:rsidRPr="00DE16A0">
        <w:rPr>
          <w:rFonts w:cs="Times New Roman"/>
          <w:noProof/>
        </w:rPr>
        <w:t>, 161–172 (2000).</w:t>
      </w:r>
    </w:p>
    <w:p w14:paraId="0832FFF1"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25.</w:t>
      </w:r>
      <w:r w:rsidRPr="00DE16A0">
        <w:rPr>
          <w:rFonts w:cs="Times New Roman"/>
          <w:noProof/>
        </w:rPr>
        <w:tab/>
        <w:t xml:space="preserve">Abdi, D., Cade-Menun, B. J., Ziadi, N. &amp; Parent, L.-É. Long-term impact of tillage practices and phosphorus fertilization on soil phosphorus forms as determined by P nuclear magnetic resonance spectroscopy. </w:t>
      </w:r>
      <w:r w:rsidRPr="00DE16A0">
        <w:rPr>
          <w:rFonts w:cs="Times New Roman"/>
          <w:i/>
          <w:iCs/>
          <w:noProof/>
        </w:rPr>
        <w:t>J. Environ. Qual.</w:t>
      </w:r>
      <w:r w:rsidRPr="00DE16A0">
        <w:rPr>
          <w:rFonts w:cs="Times New Roman"/>
          <w:noProof/>
        </w:rPr>
        <w:t xml:space="preserve"> </w:t>
      </w:r>
      <w:r w:rsidRPr="00DE16A0">
        <w:rPr>
          <w:rFonts w:cs="Times New Roman"/>
          <w:b/>
          <w:bCs/>
          <w:noProof/>
        </w:rPr>
        <w:t>43</w:t>
      </w:r>
      <w:r w:rsidRPr="00DE16A0">
        <w:rPr>
          <w:rFonts w:cs="Times New Roman"/>
          <w:noProof/>
        </w:rPr>
        <w:t>, 1431 (2014).</w:t>
      </w:r>
    </w:p>
    <w:p w14:paraId="2791705B"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26.</w:t>
      </w:r>
      <w:r w:rsidRPr="00DE16A0">
        <w:rPr>
          <w:rFonts w:cs="Times New Roman"/>
          <w:noProof/>
        </w:rPr>
        <w:tab/>
        <w:t xml:space="preserve">Crews, T. E. &amp; Brookes, P. C. Changes in soil phosphorus forms through time in perennial versus annual agroecosystems. </w:t>
      </w:r>
      <w:r w:rsidRPr="00DE16A0">
        <w:rPr>
          <w:rFonts w:cs="Times New Roman"/>
          <w:i/>
          <w:iCs/>
          <w:noProof/>
        </w:rPr>
        <w:t>Agric. Ecosyst. Environ.</w:t>
      </w:r>
      <w:r w:rsidRPr="00DE16A0">
        <w:rPr>
          <w:rFonts w:cs="Times New Roman"/>
          <w:noProof/>
        </w:rPr>
        <w:t xml:space="preserve"> </w:t>
      </w:r>
      <w:r w:rsidRPr="00DE16A0">
        <w:rPr>
          <w:rFonts w:cs="Times New Roman"/>
          <w:b/>
          <w:bCs/>
          <w:noProof/>
        </w:rPr>
        <w:t>184</w:t>
      </w:r>
      <w:r w:rsidRPr="00DE16A0">
        <w:rPr>
          <w:rFonts w:cs="Times New Roman"/>
          <w:noProof/>
        </w:rPr>
        <w:t>, 168–181 (2014).</w:t>
      </w:r>
    </w:p>
    <w:p w14:paraId="1190288E"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27.</w:t>
      </w:r>
      <w:r w:rsidRPr="00DE16A0">
        <w:rPr>
          <w:rFonts w:cs="Times New Roman"/>
          <w:noProof/>
        </w:rPr>
        <w:tab/>
        <w:t xml:space="preserve">Jobbágy, E. G. &amp; Jackson, R. B. The distribution of soil nutrients with depth: Global patterns and the imprint of plants. </w:t>
      </w:r>
      <w:r w:rsidRPr="00DE16A0">
        <w:rPr>
          <w:rFonts w:cs="Times New Roman"/>
          <w:i/>
          <w:iCs/>
          <w:noProof/>
        </w:rPr>
        <w:t>Biogeochemistry</w:t>
      </w:r>
      <w:r w:rsidRPr="00DE16A0">
        <w:rPr>
          <w:rFonts w:cs="Times New Roman"/>
          <w:noProof/>
        </w:rPr>
        <w:t xml:space="preserve"> </w:t>
      </w:r>
      <w:r w:rsidRPr="00DE16A0">
        <w:rPr>
          <w:rFonts w:cs="Times New Roman"/>
          <w:b/>
          <w:bCs/>
          <w:noProof/>
        </w:rPr>
        <w:t>53</w:t>
      </w:r>
      <w:r w:rsidRPr="00DE16A0">
        <w:rPr>
          <w:rFonts w:cs="Times New Roman"/>
          <w:noProof/>
        </w:rPr>
        <w:t>, 51–77 (2001).</w:t>
      </w:r>
    </w:p>
    <w:p w14:paraId="62708CBA"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28.</w:t>
      </w:r>
      <w:r w:rsidRPr="00DE16A0">
        <w:rPr>
          <w:rFonts w:cs="Times New Roman"/>
          <w:noProof/>
        </w:rPr>
        <w:tab/>
        <w:t xml:space="preserve">Bauke, S. L. </w:t>
      </w:r>
      <w:r w:rsidRPr="00DE16A0">
        <w:rPr>
          <w:rFonts w:cs="Times New Roman"/>
          <w:i/>
          <w:iCs/>
          <w:noProof/>
        </w:rPr>
        <w:t>et al.</w:t>
      </w:r>
      <w:r w:rsidRPr="00DE16A0">
        <w:rPr>
          <w:rFonts w:cs="Times New Roman"/>
          <w:noProof/>
        </w:rPr>
        <w:t xml:space="preserve"> Subsoil phosphorus is affected by fertilization regime in long-term agricultural experimental trials. </w:t>
      </w:r>
      <w:r w:rsidRPr="00DE16A0">
        <w:rPr>
          <w:rFonts w:cs="Times New Roman"/>
          <w:i/>
          <w:iCs/>
          <w:noProof/>
        </w:rPr>
        <w:t>Eur. J. Soil Sci.</w:t>
      </w:r>
      <w:r w:rsidRPr="00DE16A0">
        <w:rPr>
          <w:rFonts w:cs="Times New Roman"/>
          <w:noProof/>
        </w:rPr>
        <w:t xml:space="preserve"> </w:t>
      </w:r>
      <w:r w:rsidRPr="00DE16A0">
        <w:rPr>
          <w:rFonts w:cs="Times New Roman"/>
          <w:b/>
          <w:bCs/>
          <w:noProof/>
        </w:rPr>
        <w:t>69</w:t>
      </w:r>
      <w:r w:rsidRPr="00DE16A0">
        <w:rPr>
          <w:rFonts w:cs="Times New Roman"/>
          <w:noProof/>
        </w:rPr>
        <w:t>, 103–112 (2018).</w:t>
      </w:r>
    </w:p>
    <w:p w14:paraId="12D39DCE"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29.</w:t>
      </w:r>
      <w:r w:rsidRPr="00DE16A0">
        <w:rPr>
          <w:rFonts w:cs="Times New Roman"/>
          <w:noProof/>
        </w:rPr>
        <w:tab/>
        <w:t xml:space="preserve">Kemmitt, S., Wright, D., Goulding, K. &amp; Jones, D. pH regulation of carbon and nitrogen dynamics in two agricultural soils. </w:t>
      </w:r>
      <w:r w:rsidRPr="00DE16A0">
        <w:rPr>
          <w:rFonts w:cs="Times New Roman"/>
          <w:i/>
          <w:iCs/>
          <w:noProof/>
        </w:rPr>
        <w:t>Soil Biol. Biochem.</w:t>
      </w:r>
      <w:r w:rsidRPr="00DE16A0">
        <w:rPr>
          <w:rFonts w:cs="Times New Roman"/>
          <w:noProof/>
        </w:rPr>
        <w:t xml:space="preserve"> </w:t>
      </w:r>
      <w:r w:rsidRPr="00DE16A0">
        <w:rPr>
          <w:rFonts w:cs="Times New Roman"/>
          <w:b/>
          <w:bCs/>
          <w:noProof/>
        </w:rPr>
        <w:t>38</w:t>
      </w:r>
      <w:r w:rsidRPr="00DE16A0">
        <w:rPr>
          <w:rFonts w:cs="Times New Roman"/>
          <w:noProof/>
        </w:rPr>
        <w:t>, 898–911 (2006).</w:t>
      </w:r>
    </w:p>
    <w:p w14:paraId="5B59A055"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30.</w:t>
      </w:r>
      <w:r w:rsidRPr="00DE16A0">
        <w:rPr>
          <w:rFonts w:cs="Times New Roman"/>
          <w:noProof/>
        </w:rPr>
        <w:tab/>
        <w:t xml:space="preserve">Halstead, R. L., Lapensee, J. M. &amp; Ivarson, K. C. Mineralization of soil organic phosphorus with particular reference to the effect of lime. </w:t>
      </w:r>
      <w:r w:rsidRPr="00DE16A0">
        <w:rPr>
          <w:rFonts w:cs="Times New Roman"/>
          <w:i/>
          <w:iCs/>
          <w:noProof/>
        </w:rPr>
        <w:t>Can. J. Soil Sci.</w:t>
      </w:r>
      <w:r w:rsidRPr="00DE16A0">
        <w:rPr>
          <w:rFonts w:cs="Times New Roman"/>
          <w:noProof/>
        </w:rPr>
        <w:t xml:space="preserve"> </w:t>
      </w:r>
      <w:r w:rsidRPr="00DE16A0">
        <w:rPr>
          <w:rFonts w:cs="Times New Roman"/>
          <w:b/>
          <w:bCs/>
          <w:noProof/>
        </w:rPr>
        <w:t>43</w:t>
      </w:r>
      <w:r w:rsidRPr="00DE16A0">
        <w:rPr>
          <w:rFonts w:cs="Times New Roman"/>
          <w:noProof/>
        </w:rPr>
        <w:t>, 97–106 (1963).</w:t>
      </w:r>
    </w:p>
    <w:p w14:paraId="1868B512"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31.</w:t>
      </w:r>
      <w:r w:rsidRPr="00DE16A0">
        <w:rPr>
          <w:rFonts w:cs="Times New Roman"/>
          <w:noProof/>
        </w:rPr>
        <w:tab/>
        <w:t xml:space="preserve">Trasar-Cepeda, M. C., Carballas, T., Gil-Sotres, F. &amp; de Blas, E. Liming and the phosphatase activity and mineralization of phosphorus in an andic soil. </w:t>
      </w:r>
      <w:r w:rsidRPr="00DE16A0">
        <w:rPr>
          <w:rFonts w:cs="Times New Roman"/>
          <w:i/>
          <w:iCs/>
          <w:noProof/>
        </w:rPr>
        <w:t>Soil Biol. Biochem.</w:t>
      </w:r>
      <w:r w:rsidRPr="00DE16A0">
        <w:rPr>
          <w:rFonts w:cs="Times New Roman"/>
          <w:noProof/>
        </w:rPr>
        <w:t xml:space="preserve"> </w:t>
      </w:r>
      <w:r w:rsidRPr="00DE16A0">
        <w:rPr>
          <w:rFonts w:cs="Times New Roman"/>
          <w:b/>
          <w:bCs/>
          <w:noProof/>
        </w:rPr>
        <w:t>23</w:t>
      </w:r>
      <w:r w:rsidRPr="00DE16A0">
        <w:rPr>
          <w:rFonts w:cs="Times New Roman"/>
          <w:noProof/>
        </w:rPr>
        <w:t>, 209–215 (1991).</w:t>
      </w:r>
    </w:p>
    <w:p w14:paraId="03F7455D"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32.</w:t>
      </w:r>
      <w:r w:rsidRPr="00DE16A0">
        <w:rPr>
          <w:rFonts w:cs="Times New Roman"/>
          <w:noProof/>
        </w:rPr>
        <w:tab/>
        <w:t xml:space="preserve">Turner, B. L. &amp; Blackwell, M. S. A. Isolating the influence of pH on the amounts and forms of soil organic phosphorus. </w:t>
      </w:r>
      <w:r w:rsidRPr="00DE16A0">
        <w:rPr>
          <w:rFonts w:cs="Times New Roman"/>
          <w:i/>
          <w:iCs/>
          <w:noProof/>
        </w:rPr>
        <w:t>Eur. J. Soil Sci.</w:t>
      </w:r>
      <w:r w:rsidRPr="00DE16A0">
        <w:rPr>
          <w:rFonts w:cs="Times New Roman"/>
          <w:noProof/>
        </w:rPr>
        <w:t xml:space="preserve"> </w:t>
      </w:r>
      <w:r w:rsidRPr="00DE16A0">
        <w:rPr>
          <w:rFonts w:cs="Times New Roman"/>
          <w:b/>
          <w:bCs/>
          <w:noProof/>
        </w:rPr>
        <w:t>64</w:t>
      </w:r>
      <w:r w:rsidRPr="00DE16A0">
        <w:rPr>
          <w:rFonts w:cs="Times New Roman"/>
          <w:noProof/>
        </w:rPr>
        <w:t>, 249–259 (2013).</w:t>
      </w:r>
    </w:p>
    <w:p w14:paraId="402CC1C0"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33.</w:t>
      </w:r>
      <w:r w:rsidRPr="00DE16A0">
        <w:rPr>
          <w:rFonts w:cs="Times New Roman"/>
          <w:noProof/>
        </w:rPr>
        <w:tab/>
        <w:t xml:space="preserve">Chater, M. &amp; Williams, R. J. B. The chemical composition of British agricultural </w:t>
      </w:r>
      <w:r w:rsidRPr="00DE16A0">
        <w:rPr>
          <w:rFonts w:cs="Times New Roman"/>
          <w:noProof/>
        </w:rPr>
        <w:lastRenderedPageBreak/>
        <w:t xml:space="preserve">liming materials. </w:t>
      </w:r>
      <w:r w:rsidRPr="00DE16A0">
        <w:rPr>
          <w:rFonts w:cs="Times New Roman"/>
          <w:i/>
          <w:iCs/>
          <w:noProof/>
        </w:rPr>
        <w:t>J. Agric. Sci.</w:t>
      </w:r>
      <w:r w:rsidRPr="00DE16A0">
        <w:rPr>
          <w:rFonts w:cs="Times New Roman"/>
          <w:noProof/>
        </w:rPr>
        <w:t xml:space="preserve"> </w:t>
      </w:r>
      <w:r w:rsidRPr="00DE16A0">
        <w:rPr>
          <w:rFonts w:cs="Times New Roman"/>
          <w:b/>
          <w:bCs/>
          <w:noProof/>
        </w:rPr>
        <w:t>82</w:t>
      </w:r>
      <w:r w:rsidRPr="00DE16A0">
        <w:rPr>
          <w:rFonts w:cs="Times New Roman"/>
          <w:noProof/>
        </w:rPr>
        <w:t>, 193–205 (1974).</w:t>
      </w:r>
    </w:p>
    <w:p w14:paraId="1011A8BC"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34.</w:t>
      </w:r>
      <w:r w:rsidRPr="00DE16A0">
        <w:rPr>
          <w:rFonts w:cs="Times New Roman"/>
          <w:noProof/>
        </w:rPr>
        <w:tab/>
        <w:t xml:space="preserve">Pfahler, V., Tamburini, F., Bernasconi, S. M. &amp; Frossard, E. A dual isotopic approach using radioactive phosphorus and the isotopic composition of oxygen associated to phosphorus to understand plant reaction to a change in P nutrition. </w:t>
      </w:r>
      <w:r w:rsidRPr="00DE16A0">
        <w:rPr>
          <w:rFonts w:cs="Times New Roman"/>
          <w:i/>
          <w:iCs/>
          <w:noProof/>
        </w:rPr>
        <w:t>Plant Methods</w:t>
      </w:r>
      <w:r w:rsidRPr="00DE16A0">
        <w:rPr>
          <w:rFonts w:cs="Times New Roman"/>
          <w:noProof/>
        </w:rPr>
        <w:t xml:space="preserve"> </w:t>
      </w:r>
      <w:r w:rsidRPr="00DE16A0">
        <w:rPr>
          <w:rFonts w:cs="Times New Roman"/>
          <w:b/>
          <w:bCs/>
          <w:noProof/>
        </w:rPr>
        <w:t>13</w:t>
      </w:r>
      <w:r w:rsidRPr="00DE16A0">
        <w:rPr>
          <w:rFonts w:cs="Times New Roman"/>
          <w:noProof/>
        </w:rPr>
        <w:t>, (2017).</w:t>
      </w:r>
    </w:p>
    <w:p w14:paraId="108300CD"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35.</w:t>
      </w:r>
      <w:r w:rsidRPr="00DE16A0">
        <w:rPr>
          <w:rFonts w:cs="Times New Roman"/>
          <w:noProof/>
        </w:rPr>
        <w:tab/>
        <w:t xml:space="preserve">Helfenstein, J. </w:t>
      </w:r>
      <w:r w:rsidRPr="00DE16A0">
        <w:rPr>
          <w:rFonts w:cs="Times New Roman"/>
          <w:i/>
          <w:iCs/>
          <w:noProof/>
        </w:rPr>
        <w:t>et al.</w:t>
      </w:r>
      <w:r w:rsidRPr="00DE16A0">
        <w:rPr>
          <w:rFonts w:cs="Times New Roman"/>
          <w:noProof/>
        </w:rPr>
        <w:t xml:space="preserve"> Combining spectroscopic and isotopic techniques gives a dynamic view of phosphorus cycling in soil. </w:t>
      </w:r>
      <w:r w:rsidRPr="00DE16A0">
        <w:rPr>
          <w:rFonts w:cs="Times New Roman"/>
          <w:i/>
          <w:iCs/>
          <w:noProof/>
        </w:rPr>
        <w:t>Nat Commun</w:t>
      </w:r>
      <w:r w:rsidRPr="00DE16A0">
        <w:rPr>
          <w:rFonts w:cs="Times New Roman"/>
          <w:noProof/>
        </w:rPr>
        <w:t xml:space="preserve"> </w:t>
      </w:r>
      <w:r w:rsidRPr="00DE16A0">
        <w:rPr>
          <w:rFonts w:cs="Times New Roman"/>
          <w:b/>
          <w:bCs/>
          <w:noProof/>
        </w:rPr>
        <w:t>9</w:t>
      </w:r>
      <w:r w:rsidRPr="00DE16A0">
        <w:rPr>
          <w:rFonts w:cs="Times New Roman"/>
          <w:noProof/>
        </w:rPr>
        <w:t>, 3226 (2018).</w:t>
      </w:r>
    </w:p>
    <w:p w14:paraId="0CC27D69"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36.</w:t>
      </w:r>
      <w:r w:rsidRPr="00DE16A0">
        <w:rPr>
          <w:rFonts w:cs="Times New Roman"/>
          <w:noProof/>
        </w:rPr>
        <w:tab/>
        <w:t xml:space="preserve">Pfahler, V., Dürr-Auster, T., Tamburini, F., M. Bernasconi, S. &amp; Frossard, E. 18 O enrichment in phosphorus pools extracted from soybean leaves. </w:t>
      </w:r>
      <w:r w:rsidRPr="00DE16A0">
        <w:rPr>
          <w:rFonts w:cs="Times New Roman"/>
          <w:i/>
          <w:iCs/>
          <w:noProof/>
        </w:rPr>
        <w:t>New Phytol.</w:t>
      </w:r>
      <w:r w:rsidRPr="00DE16A0">
        <w:rPr>
          <w:rFonts w:cs="Times New Roman"/>
          <w:noProof/>
        </w:rPr>
        <w:t xml:space="preserve"> </w:t>
      </w:r>
      <w:r w:rsidRPr="00DE16A0">
        <w:rPr>
          <w:rFonts w:cs="Times New Roman"/>
          <w:b/>
          <w:bCs/>
          <w:noProof/>
        </w:rPr>
        <w:t>197</w:t>
      </w:r>
      <w:r w:rsidRPr="00DE16A0">
        <w:rPr>
          <w:rFonts w:cs="Times New Roman"/>
          <w:noProof/>
        </w:rPr>
        <w:t>, 186–193 (2013).</w:t>
      </w:r>
    </w:p>
    <w:p w14:paraId="1C51DCD2"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37.</w:t>
      </w:r>
      <w:r w:rsidRPr="00DE16A0">
        <w:rPr>
          <w:rFonts w:cs="Times New Roman"/>
          <w:noProof/>
        </w:rPr>
        <w:tab/>
        <w:t xml:space="preserve">Tamburini, F., Pistocchi, C., Helfenstein, J. &amp; Frossard, E. A method to analyse the isotopic composition of oxygen associated with organic phosphorus in soil and plant material. </w:t>
      </w:r>
      <w:r w:rsidRPr="00DE16A0">
        <w:rPr>
          <w:rFonts w:cs="Times New Roman"/>
          <w:i/>
          <w:iCs/>
          <w:noProof/>
        </w:rPr>
        <w:t>Eur. J. Soil Sci.</w:t>
      </w:r>
      <w:r w:rsidRPr="00DE16A0">
        <w:rPr>
          <w:rFonts w:cs="Times New Roman"/>
          <w:noProof/>
        </w:rPr>
        <w:t xml:space="preserve"> </w:t>
      </w:r>
      <w:r w:rsidRPr="00DE16A0">
        <w:rPr>
          <w:rFonts w:cs="Times New Roman"/>
          <w:b/>
          <w:bCs/>
          <w:noProof/>
        </w:rPr>
        <w:t>69</w:t>
      </w:r>
      <w:r w:rsidRPr="00DE16A0">
        <w:rPr>
          <w:rFonts w:cs="Times New Roman"/>
          <w:noProof/>
        </w:rPr>
        <w:t>, 816–826 (2018).</w:t>
      </w:r>
    </w:p>
    <w:p w14:paraId="0B911632"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38.</w:t>
      </w:r>
      <w:r w:rsidRPr="00DE16A0">
        <w:rPr>
          <w:rFonts w:cs="Times New Roman"/>
          <w:noProof/>
        </w:rPr>
        <w:tab/>
        <w:t xml:space="preserve">Pistocchi, C. </w:t>
      </w:r>
      <w:r w:rsidRPr="00DE16A0">
        <w:rPr>
          <w:rFonts w:cs="Times New Roman"/>
          <w:i/>
          <w:iCs/>
          <w:noProof/>
        </w:rPr>
        <w:t>et al.</w:t>
      </w:r>
      <w:r w:rsidRPr="00DE16A0">
        <w:rPr>
          <w:rFonts w:cs="Times New Roman"/>
          <w:noProof/>
        </w:rPr>
        <w:t xml:space="preserve"> Tracing the sources and cycling of phosphorus in river sediments using oxygen isotopes: Methodological adaptations and first results from a case study in France. </w:t>
      </w:r>
      <w:r w:rsidRPr="00DE16A0">
        <w:rPr>
          <w:rFonts w:cs="Times New Roman"/>
          <w:i/>
          <w:iCs/>
          <w:noProof/>
        </w:rPr>
        <w:t>Water Res.</w:t>
      </w:r>
      <w:r w:rsidRPr="00DE16A0">
        <w:rPr>
          <w:rFonts w:cs="Times New Roman"/>
          <w:noProof/>
        </w:rPr>
        <w:t xml:space="preserve"> </w:t>
      </w:r>
      <w:r w:rsidRPr="00DE16A0">
        <w:rPr>
          <w:rFonts w:cs="Times New Roman"/>
          <w:b/>
          <w:bCs/>
          <w:noProof/>
        </w:rPr>
        <w:t>111</w:t>
      </w:r>
      <w:r w:rsidRPr="00DE16A0">
        <w:rPr>
          <w:rFonts w:cs="Times New Roman"/>
          <w:noProof/>
        </w:rPr>
        <w:t>, 346–356 (2017).</w:t>
      </w:r>
    </w:p>
    <w:p w14:paraId="580D2E97"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39.</w:t>
      </w:r>
      <w:r w:rsidRPr="00DE16A0">
        <w:rPr>
          <w:rFonts w:cs="Times New Roman"/>
          <w:noProof/>
        </w:rPr>
        <w:tab/>
        <w:t xml:space="preserve">Gustafsson, J. P. Modelling competitive anion adsorption on oxide minerals and an allophane-containing soil. </w:t>
      </w:r>
      <w:r w:rsidRPr="00DE16A0">
        <w:rPr>
          <w:rFonts w:cs="Times New Roman"/>
          <w:i/>
          <w:iCs/>
          <w:noProof/>
        </w:rPr>
        <w:t>Eur. J. Soil Sci.</w:t>
      </w:r>
      <w:r w:rsidRPr="00DE16A0">
        <w:rPr>
          <w:rFonts w:cs="Times New Roman"/>
          <w:noProof/>
        </w:rPr>
        <w:t xml:space="preserve"> </w:t>
      </w:r>
      <w:r w:rsidRPr="00DE16A0">
        <w:rPr>
          <w:rFonts w:cs="Times New Roman"/>
          <w:b/>
          <w:bCs/>
          <w:noProof/>
        </w:rPr>
        <w:t>52</w:t>
      </w:r>
      <w:r w:rsidRPr="00DE16A0">
        <w:rPr>
          <w:rFonts w:cs="Times New Roman"/>
          <w:noProof/>
        </w:rPr>
        <w:t>, 639–653 (2001).</w:t>
      </w:r>
    </w:p>
    <w:p w14:paraId="0CC13A10"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40.</w:t>
      </w:r>
      <w:r w:rsidRPr="00DE16A0">
        <w:rPr>
          <w:rFonts w:cs="Times New Roman"/>
          <w:noProof/>
        </w:rPr>
        <w:tab/>
        <w:t xml:space="preserve">Devau, N., Cadre, E. Le, Hinsinger, P., Jaillard, B. &amp; Gérard, F. Soil pH controls the environmental availability of phosphorus: Experimental and mechanistic modelling approaches. </w:t>
      </w:r>
      <w:r w:rsidRPr="00DE16A0">
        <w:rPr>
          <w:rFonts w:cs="Times New Roman"/>
          <w:i/>
          <w:iCs/>
          <w:noProof/>
        </w:rPr>
        <w:t>Appl. Geochemistry</w:t>
      </w:r>
      <w:r w:rsidRPr="00DE16A0">
        <w:rPr>
          <w:rFonts w:cs="Times New Roman"/>
          <w:noProof/>
        </w:rPr>
        <w:t xml:space="preserve"> </w:t>
      </w:r>
      <w:r w:rsidRPr="00DE16A0">
        <w:rPr>
          <w:rFonts w:cs="Times New Roman"/>
          <w:b/>
          <w:bCs/>
          <w:noProof/>
        </w:rPr>
        <w:t>24</w:t>
      </w:r>
      <w:r w:rsidRPr="00DE16A0">
        <w:rPr>
          <w:rFonts w:cs="Times New Roman"/>
          <w:noProof/>
        </w:rPr>
        <w:t>, 2163–2174 (2009).</w:t>
      </w:r>
    </w:p>
    <w:p w14:paraId="6BDD3E2B"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41.</w:t>
      </w:r>
      <w:r w:rsidRPr="00DE16A0">
        <w:rPr>
          <w:rFonts w:cs="Times New Roman"/>
          <w:noProof/>
        </w:rPr>
        <w:tab/>
        <w:t xml:space="preserve">Tamburini, F., Pfahler, V., von Sperber, C., Frossard, E. &amp; Bernasconi, S. M. Oxygen Isotopes for Unraveling Phosphorus Transformations in the Soil–Plant System: A Review. </w:t>
      </w:r>
      <w:r w:rsidRPr="00DE16A0">
        <w:rPr>
          <w:rFonts w:cs="Times New Roman"/>
          <w:i/>
          <w:iCs/>
          <w:noProof/>
        </w:rPr>
        <w:t>Soil Sci. Soc. Am. J.</w:t>
      </w:r>
      <w:r w:rsidRPr="00DE16A0">
        <w:rPr>
          <w:rFonts w:cs="Times New Roman"/>
          <w:noProof/>
        </w:rPr>
        <w:t xml:space="preserve"> </w:t>
      </w:r>
      <w:r w:rsidRPr="00DE16A0">
        <w:rPr>
          <w:rFonts w:cs="Times New Roman"/>
          <w:b/>
          <w:bCs/>
          <w:noProof/>
        </w:rPr>
        <w:t>78</w:t>
      </w:r>
      <w:r w:rsidRPr="00DE16A0">
        <w:rPr>
          <w:rFonts w:cs="Times New Roman"/>
          <w:noProof/>
        </w:rPr>
        <w:t>, 38–46 (2014).</w:t>
      </w:r>
    </w:p>
    <w:p w14:paraId="21A6E6F7"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42.</w:t>
      </w:r>
      <w:r w:rsidRPr="00DE16A0">
        <w:rPr>
          <w:rFonts w:cs="Times New Roman"/>
          <w:noProof/>
        </w:rPr>
        <w:tab/>
        <w:t xml:space="preserve">Amelung, W. </w:t>
      </w:r>
      <w:r w:rsidRPr="00DE16A0">
        <w:rPr>
          <w:rFonts w:cs="Times New Roman"/>
          <w:i/>
          <w:iCs/>
          <w:noProof/>
        </w:rPr>
        <w:t>et al.</w:t>
      </w:r>
      <w:r w:rsidRPr="00DE16A0">
        <w:rPr>
          <w:rFonts w:cs="Times New Roman"/>
          <w:noProof/>
        </w:rPr>
        <w:t xml:space="preserve"> The delta O-18 signatures of HCl-extractable soil phosphates: methodological challenges and evidence of the cycling of biological P in arable soil. </w:t>
      </w:r>
      <w:r w:rsidRPr="00DE16A0">
        <w:rPr>
          <w:rFonts w:cs="Times New Roman"/>
          <w:i/>
          <w:iCs/>
          <w:noProof/>
        </w:rPr>
        <w:t>Eur. J. Soil Sci.</w:t>
      </w:r>
      <w:r w:rsidRPr="00DE16A0">
        <w:rPr>
          <w:rFonts w:cs="Times New Roman"/>
          <w:noProof/>
        </w:rPr>
        <w:t xml:space="preserve"> </w:t>
      </w:r>
      <w:r w:rsidRPr="00DE16A0">
        <w:rPr>
          <w:rFonts w:cs="Times New Roman"/>
          <w:b/>
          <w:bCs/>
          <w:noProof/>
        </w:rPr>
        <w:t>66</w:t>
      </w:r>
      <w:r w:rsidRPr="00DE16A0">
        <w:rPr>
          <w:rFonts w:cs="Times New Roman"/>
          <w:noProof/>
        </w:rPr>
        <w:t>, 965–972 (2015).</w:t>
      </w:r>
    </w:p>
    <w:p w14:paraId="1AF76893"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43.</w:t>
      </w:r>
      <w:r w:rsidRPr="00DE16A0">
        <w:rPr>
          <w:rFonts w:cs="Times New Roman"/>
          <w:noProof/>
        </w:rPr>
        <w:tab/>
        <w:t xml:space="preserve">McDowell, R. W. &amp; Condron, L. M. Chemical nature and potential mobility of phosphorus in fertilized grassland soils. </w:t>
      </w:r>
      <w:r w:rsidRPr="00DE16A0">
        <w:rPr>
          <w:rFonts w:cs="Times New Roman"/>
          <w:i/>
          <w:iCs/>
          <w:noProof/>
        </w:rPr>
        <w:t>Nutr. Cycl. Agroecosystems</w:t>
      </w:r>
      <w:r w:rsidRPr="00DE16A0">
        <w:rPr>
          <w:rFonts w:cs="Times New Roman"/>
          <w:noProof/>
        </w:rPr>
        <w:t xml:space="preserve"> </w:t>
      </w:r>
      <w:r w:rsidRPr="00DE16A0">
        <w:rPr>
          <w:rFonts w:cs="Times New Roman"/>
          <w:b/>
          <w:bCs/>
          <w:noProof/>
        </w:rPr>
        <w:t>57</w:t>
      </w:r>
      <w:r w:rsidRPr="00DE16A0">
        <w:rPr>
          <w:rFonts w:cs="Times New Roman"/>
          <w:noProof/>
        </w:rPr>
        <w:t xml:space="preserve">, 225–233 </w:t>
      </w:r>
      <w:r w:rsidRPr="00DE16A0">
        <w:rPr>
          <w:rFonts w:cs="Times New Roman"/>
          <w:noProof/>
        </w:rPr>
        <w:lastRenderedPageBreak/>
        <w:t>(2000).</w:t>
      </w:r>
    </w:p>
    <w:p w14:paraId="207396E3"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44.</w:t>
      </w:r>
      <w:r w:rsidRPr="00DE16A0">
        <w:rPr>
          <w:rFonts w:cs="Times New Roman"/>
          <w:noProof/>
        </w:rPr>
        <w:tab/>
        <w:t xml:space="preserve">Silvertown, J. </w:t>
      </w:r>
      <w:r w:rsidRPr="00DE16A0">
        <w:rPr>
          <w:rFonts w:cs="Times New Roman"/>
          <w:i/>
          <w:iCs/>
          <w:noProof/>
        </w:rPr>
        <w:t>et al.</w:t>
      </w:r>
      <w:r w:rsidRPr="00DE16A0">
        <w:rPr>
          <w:rFonts w:cs="Times New Roman"/>
          <w:noProof/>
        </w:rPr>
        <w:t xml:space="preserve"> The Park Grass Experiment 1856–2006: its contribution to ecology. </w:t>
      </w:r>
      <w:r w:rsidRPr="00DE16A0">
        <w:rPr>
          <w:rFonts w:cs="Times New Roman"/>
          <w:i/>
          <w:iCs/>
          <w:noProof/>
        </w:rPr>
        <w:t>J. Ecol.</w:t>
      </w:r>
      <w:r w:rsidRPr="00DE16A0">
        <w:rPr>
          <w:rFonts w:cs="Times New Roman"/>
          <w:noProof/>
        </w:rPr>
        <w:t xml:space="preserve"> </w:t>
      </w:r>
      <w:r w:rsidRPr="00DE16A0">
        <w:rPr>
          <w:rFonts w:cs="Times New Roman"/>
          <w:b/>
          <w:bCs/>
          <w:noProof/>
        </w:rPr>
        <w:t>94</w:t>
      </w:r>
      <w:r w:rsidRPr="00DE16A0">
        <w:rPr>
          <w:rFonts w:cs="Times New Roman"/>
          <w:noProof/>
        </w:rPr>
        <w:t>, 801–814 (2006).</w:t>
      </w:r>
    </w:p>
    <w:p w14:paraId="0D7040E2"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45.</w:t>
      </w:r>
      <w:r w:rsidRPr="00DE16A0">
        <w:rPr>
          <w:rFonts w:cs="Times New Roman"/>
          <w:noProof/>
        </w:rPr>
        <w:tab/>
        <w:t xml:space="preserve">Avery, B. W. &amp; Catt, J. A. </w:t>
      </w:r>
      <w:r w:rsidRPr="00DE16A0">
        <w:rPr>
          <w:rFonts w:cs="Times New Roman"/>
          <w:i/>
          <w:iCs/>
          <w:noProof/>
        </w:rPr>
        <w:t>The soil at Rothamsted</w:t>
      </w:r>
      <w:r w:rsidRPr="00DE16A0">
        <w:rPr>
          <w:rFonts w:cs="Times New Roman"/>
          <w:noProof/>
        </w:rPr>
        <w:t>. (Lawes Agricultural Trust, 1995).</w:t>
      </w:r>
    </w:p>
    <w:p w14:paraId="2675DD58"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46.</w:t>
      </w:r>
      <w:r w:rsidRPr="00DE16A0">
        <w:rPr>
          <w:rFonts w:cs="Times New Roman"/>
          <w:noProof/>
        </w:rPr>
        <w:tab/>
        <w:t xml:space="preserve">Kouno, K., Tuchiya, Y. &amp; Ando, T. Measurement of soil microbial biomass phosphorus by an anion exchange membrane method. </w:t>
      </w:r>
      <w:r w:rsidRPr="00DE16A0">
        <w:rPr>
          <w:rFonts w:cs="Times New Roman"/>
          <w:i/>
          <w:iCs/>
          <w:noProof/>
        </w:rPr>
        <w:t>Soil Biol. Biochem.</w:t>
      </w:r>
      <w:r w:rsidRPr="00DE16A0">
        <w:rPr>
          <w:rFonts w:cs="Times New Roman"/>
          <w:noProof/>
        </w:rPr>
        <w:t xml:space="preserve"> </w:t>
      </w:r>
      <w:r w:rsidRPr="00DE16A0">
        <w:rPr>
          <w:rFonts w:cs="Times New Roman"/>
          <w:b/>
          <w:bCs/>
          <w:noProof/>
        </w:rPr>
        <w:t>27</w:t>
      </w:r>
      <w:r w:rsidRPr="00DE16A0">
        <w:rPr>
          <w:rFonts w:cs="Times New Roman"/>
          <w:noProof/>
        </w:rPr>
        <w:t>, 1353–1357 (1995).</w:t>
      </w:r>
    </w:p>
    <w:p w14:paraId="12B93823"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47.</w:t>
      </w:r>
      <w:r w:rsidRPr="00DE16A0">
        <w:rPr>
          <w:rFonts w:cs="Times New Roman"/>
          <w:noProof/>
        </w:rPr>
        <w:tab/>
        <w:t xml:space="preserve">Weiner, T. </w:t>
      </w:r>
      <w:r w:rsidRPr="00DE16A0">
        <w:rPr>
          <w:rFonts w:cs="Times New Roman"/>
          <w:i/>
          <w:iCs/>
          <w:noProof/>
        </w:rPr>
        <w:t>et al.</w:t>
      </w:r>
      <w:r w:rsidRPr="00DE16A0">
        <w:rPr>
          <w:rFonts w:cs="Times New Roman"/>
          <w:noProof/>
        </w:rPr>
        <w:t xml:space="preserve"> A method for analyzing the δ18O of resin-extractable soil inorganic phosphate. </w:t>
      </w:r>
      <w:r w:rsidRPr="00DE16A0">
        <w:rPr>
          <w:rFonts w:cs="Times New Roman"/>
          <w:i/>
          <w:iCs/>
          <w:noProof/>
        </w:rPr>
        <w:t>Rapid Commun. Mass Spectrom.</w:t>
      </w:r>
      <w:r w:rsidRPr="00DE16A0">
        <w:rPr>
          <w:rFonts w:cs="Times New Roman"/>
          <w:noProof/>
        </w:rPr>
        <w:t xml:space="preserve"> </w:t>
      </w:r>
      <w:r w:rsidRPr="00DE16A0">
        <w:rPr>
          <w:rFonts w:cs="Times New Roman"/>
          <w:b/>
          <w:bCs/>
          <w:noProof/>
        </w:rPr>
        <w:t>25</w:t>
      </w:r>
      <w:r w:rsidRPr="00DE16A0">
        <w:rPr>
          <w:rFonts w:cs="Times New Roman"/>
          <w:noProof/>
        </w:rPr>
        <w:t>, 624–628 (2011).</w:t>
      </w:r>
    </w:p>
    <w:p w14:paraId="66AB4EE9"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48.</w:t>
      </w:r>
      <w:r w:rsidRPr="00DE16A0">
        <w:rPr>
          <w:rFonts w:cs="Times New Roman"/>
          <w:noProof/>
        </w:rPr>
        <w:tab/>
        <w:t xml:space="preserve">Liebisch, F. </w:t>
      </w:r>
      <w:r w:rsidRPr="00DE16A0">
        <w:rPr>
          <w:rFonts w:cs="Times New Roman"/>
          <w:i/>
          <w:iCs/>
          <w:noProof/>
        </w:rPr>
        <w:t>et al.</w:t>
      </w:r>
      <w:r w:rsidRPr="00DE16A0">
        <w:rPr>
          <w:rFonts w:cs="Times New Roman"/>
          <w:noProof/>
        </w:rPr>
        <w:t xml:space="preserve"> Seasonal dynamics and turnover of microbial phosphorus in a permanent grassland. </w:t>
      </w:r>
      <w:r w:rsidRPr="00DE16A0">
        <w:rPr>
          <w:rFonts w:cs="Times New Roman"/>
          <w:i/>
          <w:iCs/>
          <w:noProof/>
        </w:rPr>
        <w:t>Biol. Fertil. Soils</w:t>
      </w:r>
      <w:r w:rsidRPr="00DE16A0">
        <w:rPr>
          <w:rFonts w:cs="Times New Roman"/>
          <w:noProof/>
        </w:rPr>
        <w:t xml:space="preserve"> </w:t>
      </w:r>
      <w:r w:rsidRPr="00DE16A0">
        <w:rPr>
          <w:rFonts w:cs="Times New Roman"/>
          <w:b/>
          <w:bCs/>
          <w:noProof/>
        </w:rPr>
        <w:t>50</w:t>
      </w:r>
      <w:r w:rsidRPr="00DE16A0">
        <w:rPr>
          <w:rFonts w:cs="Times New Roman"/>
          <w:noProof/>
        </w:rPr>
        <w:t>, 465–475 (2014).</w:t>
      </w:r>
    </w:p>
    <w:p w14:paraId="54FF2353"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49.</w:t>
      </w:r>
      <w:r w:rsidRPr="00DE16A0">
        <w:rPr>
          <w:rFonts w:cs="Times New Roman"/>
          <w:noProof/>
        </w:rPr>
        <w:tab/>
        <w:t xml:space="preserve">Tamburini, F., Bernasconi, S. M., Angert, A., Weiner, T. &amp; Frossard, E. A method for the analysis of the δ18O of inorganic phosphate extracted from soils with HCl. </w:t>
      </w:r>
      <w:r w:rsidRPr="00DE16A0">
        <w:rPr>
          <w:rFonts w:cs="Times New Roman"/>
          <w:i/>
          <w:iCs/>
          <w:noProof/>
        </w:rPr>
        <w:t>Eur. J. Soil Sci.</w:t>
      </w:r>
      <w:r w:rsidRPr="00DE16A0">
        <w:rPr>
          <w:rFonts w:cs="Times New Roman"/>
          <w:noProof/>
        </w:rPr>
        <w:t xml:space="preserve"> </w:t>
      </w:r>
      <w:r w:rsidRPr="00DE16A0">
        <w:rPr>
          <w:rFonts w:cs="Times New Roman"/>
          <w:b/>
          <w:bCs/>
          <w:noProof/>
        </w:rPr>
        <w:t>61</w:t>
      </w:r>
      <w:r w:rsidRPr="00DE16A0">
        <w:rPr>
          <w:rFonts w:cs="Times New Roman"/>
          <w:noProof/>
        </w:rPr>
        <w:t>, 1025–1032 (2010).</w:t>
      </w:r>
    </w:p>
    <w:p w14:paraId="5AFB0975"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50.</w:t>
      </w:r>
      <w:r w:rsidRPr="00DE16A0">
        <w:rPr>
          <w:rFonts w:cs="Times New Roman"/>
          <w:noProof/>
        </w:rPr>
        <w:tab/>
        <w:t xml:space="preserve">Murphy, J. &amp; Riley, J. P. A modified single solution method for the determination of phosphate in natural waters. </w:t>
      </w:r>
      <w:r w:rsidRPr="00DE16A0">
        <w:rPr>
          <w:rFonts w:cs="Times New Roman"/>
          <w:i/>
          <w:iCs/>
          <w:noProof/>
        </w:rPr>
        <w:t>Anal. Chim. Acta</w:t>
      </w:r>
      <w:r w:rsidRPr="00DE16A0">
        <w:rPr>
          <w:rFonts w:cs="Times New Roman"/>
          <w:noProof/>
        </w:rPr>
        <w:t xml:space="preserve"> </w:t>
      </w:r>
      <w:r w:rsidRPr="00DE16A0">
        <w:rPr>
          <w:rFonts w:cs="Times New Roman"/>
          <w:b/>
          <w:bCs/>
          <w:noProof/>
        </w:rPr>
        <w:t>27</w:t>
      </w:r>
      <w:r w:rsidRPr="00DE16A0">
        <w:rPr>
          <w:rFonts w:cs="Times New Roman"/>
          <w:noProof/>
        </w:rPr>
        <w:t>, 31–36 (1962).</w:t>
      </w:r>
    </w:p>
    <w:p w14:paraId="6BA6B354"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51.</w:t>
      </w:r>
      <w:r w:rsidRPr="00DE16A0">
        <w:rPr>
          <w:rFonts w:cs="Times New Roman"/>
          <w:noProof/>
        </w:rPr>
        <w:tab/>
        <w:t xml:space="preserve">Bünemann, E. K., Augstburger, S. &amp; Frossard, E. Dominance of either physicochemical or biological phosphorus cycling processes in temperate forest soils of contrasting phosphate availability. </w:t>
      </w:r>
      <w:r w:rsidRPr="00DE16A0">
        <w:rPr>
          <w:rFonts w:cs="Times New Roman"/>
          <w:i/>
          <w:iCs/>
          <w:noProof/>
        </w:rPr>
        <w:t>Soil Biol. Biochem.</w:t>
      </w:r>
      <w:r w:rsidRPr="00DE16A0">
        <w:rPr>
          <w:rFonts w:cs="Times New Roman"/>
          <w:noProof/>
        </w:rPr>
        <w:t xml:space="preserve"> </w:t>
      </w:r>
      <w:r w:rsidRPr="00DE16A0">
        <w:rPr>
          <w:rFonts w:cs="Times New Roman"/>
          <w:b/>
          <w:bCs/>
          <w:noProof/>
        </w:rPr>
        <w:t>101</w:t>
      </w:r>
      <w:r w:rsidRPr="00DE16A0">
        <w:rPr>
          <w:rFonts w:cs="Times New Roman"/>
          <w:noProof/>
        </w:rPr>
        <w:t>, 85–95 (2016).</w:t>
      </w:r>
    </w:p>
    <w:p w14:paraId="753A97F2"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52.</w:t>
      </w:r>
      <w:r w:rsidRPr="00DE16A0">
        <w:rPr>
          <w:rFonts w:cs="Times New Roman"/>
          <w:noProof/>
        </w:rPr>
        <w:tab/>
        <w:t xml:space="preserve">West, A. G., Patrickson, S. J. &amp; Ehleringer, J. R. Water extraction times for plant and soil materials used in stable isotope analysis. </w:t>
      </w:r>
      <w:r w:rsidRPr="00DE16A0">
        <w:rPr>
          <w:rFonts w:cs="Times New Roman"/>
          <w:i/>
          <w:iCs/>
          <w:noProof/>
        </w:rPr>
        <w:t>Rapid Commun. Mass Spectrom.</w:t>
      </w:r>
      <w:r w:rsidRPr="00DE16A0">
        <w:rPr>
          <w:rFonts w:cs="Times New Roman"/>
          <w:noProof/>
        </w:rPr>
        <w:t xml:space="preserve"> </w:t>
      </w:r>
      <w:r w:rsidRPr="00DE16A0">
        <w:rPr>
          <w:rFonts w:cs="Times New Roman"/>
          <w:b/>
          <w:bCs/>
          <w:noProof/>
        </w:rPr>
        <w:t>20</w:t>
      </w:r>
      <w:r w:rsidRPr="00DE16A0">
        <w:rPr>
          <w:rFonts w:cs="Times New Roman"/>
          <w:noProof/>
        </w:rPr>
        <w:t>, 1317–1321 (2006).</w:t>
      </w:r>
    </w:p>
    <w:p w14:paraId="63E4179F"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53.</w:t>
      </w:r>
      <w:r w:rsidRPr="00DE16A0">
        <w:rPr>
          <w:rFonts w:cs="Times New Roman"/>
          <w:noProof/>
        </w:rPr>
        <w:tab/>
        <w:t xml:space="preserve">Faithfull, N. T. </w:t>
      </w:r>
      <w:r w:rsidRPr="00DE16A0">
        <w:rPr>
          <w:rFonts w:cs="Times New Roman"/>
          <w:i/>
          <w:iCs/>
          <w:noProof/>
        </w:rPr>
        <w:t>Methods in agricultural chemical analysis: a practical handbook</w:t>
      </w:r>
      <w:r w:rsidRPr="00DE16A0">
        <w:rPr>
          <w:rFonts w:cs="Times New Roman"/>
          <w:noProof/>
        </w:rPr>
        <w:t>. (Cabi, 2002).</w:t>
      </w:r>
    </w:p>
    <w:p w14:paraId="406B2094" w14:textId="77777777" w:rsidR="00DE16A0" w:rsidRPr="00DE16A0" w:rsidRDefault="00DE16A0" w:rsidP="00DE16A0">
      <w:pPr>
        <w:widowControl w:val="0"/>
        <w:autoSpaceDE w:val="0"/>
        <w:autoSpaceDN w:val="0"/>
        <w:adjustRightInd w:val="0"/>
        <w:spacing w:line="360" w:lineRule="auto"/>
        <w:ind w:left="640" w:hanging="640"/>
        <w:rPr>
          <w:rFonts w:cs="Times New Roman"/>
          <w:noProof/>
        </w:rPr>
      </w:pPr>
      <w:r w:rsidRPr="00DE16A0">
        <w:rPr>
          <w:rFonts w:cs="Times New Roman"/>
          <w:noProof/>
        </w:rPr>
        <w:t>54.</w:t>
      </w:r>
      <w:r w:rsidRPr="00DE16A0">
        <w:rPr>
          <w:rFonts w:cs="Times New Roman"/>
          <w:noProof/>
        </w:rPr>
        <w:tab/>
        <w:t xml:space="preserve">Hartley, T. N., Macdonald, A. J., McGrath, S. P. &amp; Zhao, F.-J. Historical arsenic contamination of soil due to long-term phosphate fertiliser applications. </w:t>
      </w:r>
      <w:r w:rsidRPr="00DE16A0">
        <w:rPr>
          <w:rFonts w:cs="Times New Roman"/>
          <w:i/>
          <w:iCs/>
          <w:noProof/>
        </w:rPr>
        <w:t>Environ. Pollut.</w:t>
      </w:r>
      <w:r w:rsidRPr="00DE16A0">
        <w:rPr>
          <w:rFonts w:cs="Times New Roman"/>
          <w:noProof/>
        </w:rPr>
        <w:t xml:space="preserve"> </w:t>
      </w:r>
      <w:r w:rsidRPr="00DE16A0">
        <w:rPr>
          <w:rFonts w:cs="Times New Roman"/>
          <w:b/>
          <w:bCs/>
          <w:noProof/>
        </w:rPr>
        <w:t>180</w:t>
      </w:r>
      <w:r w:rsidRPr="00DE16A0">
        <w:rPr>
          <w:rFonts w:cs="Times New Roman"/>
          <w:noProof/>
        </w:rPr>
        <w:t>, 259–264 (2013).</w:t>
      </w:r>
    </w:p>
    <w:p w14:paraId="1778CC6F" w14:textId="68CDA43B" w:rsidR="00321630" w:rsidRPr="00860424" w:rsidRDefault="00F922AB" w:rsidP="00DE16A0">
      <w:pPr>
        <w:widowControl w:val="0"/>
        <w:autoSpaceDE w:val="0"/>
        <w:autoSpaceDN w:val="0"/>
        <w:adjustRightInd w:val="0"/>
        <w:spacing w:line="360" w:lineRule="auto"/>
        <w:ind w:left="640" w:hanging="640"/>
        <w:rPr>
          <w:b/>
        </w:rPr>
      </w:pPr>
      <w:r>
        <w:fldChar w:fldCharType="end"/>
      </w:r>
      <w:r w:rsidR="00321630" w:rsidRPr="00321630">
        <w:rPr>
          <w:b/>
        </w:rPr>
        <w:t xml:space="preserve"> </w:t>
      </w:r>
      <w:r w:rsidR="00321630" w:rsidRPr="00860424">
        <w:rPr>
          <w:b/>
        </w:rPr>
        <w:t>Acknowledgments</w:t>
      </w:r>
    </w:p>
    <w:p w14:paraId="25C42F78" w14:textId="3E072A73" w:rsidR="007F529E" w:rsidRDefault="00321630" w:rsidP="00321630">
      <w:pPr>
        <w:spacing w:line="360" w:lineRule="auto"/>
      </w:pPr>
      <w:r w:rsidRPr="00860424">
        <w:lastRenderedPageBreak/>
        <w:t>This work was supported by the 2015 Rothamsted Fellowship. We thank the Lawes Agricultural Trust and Rothamsted Research for access to samples from the Rothamsted Long-term Experiments and for data from the e-RA database. The Rothamsted Long-term Experiments National Capability (LTE-NC) is supported by the UK BBSRC (Biotechnology and Biological Sciences Research Council, BBS/E/C/000</w:t>
      </w:r>
      <w:r>
        <w:t>I</w:t>
      </w:r>
      <w:r w:rsidRPr="00860424">
        <w:t>03</w:t>
      </w:r>
      <w:r>
        <w:t>2</w:t>
      </w:r>
      <w:r w:rsidRPr="00860424">
        <w:t>0) and the Lawes Agricultural Trust. The authors thank the Natural Environment Research Council (NERC) for analytical support through the award of grant IP-1715-0517. We thank Steve Freeman for his help during soil sampling</w:t>
      </w:r>
      <w:r>
        <w:t xml:space="preserve">, </w:t>
      </w:r>
      <w:r w:rsidRPr="00860424">
        <w:t xml:space="preserve">the staff </w:t>
      </w:r>
      <w:r>
        <w:t>in</w:t>
      </w:r>
      <w:r w:rsidRPr="00860424">
        <w:t xml:space="preserve"> the Computational and Analytical Sciences department of Rothamsted Research for help with the sample analyses</w:t>
      </w:r>
      <w:r>
        <w:t>, and the staff in the A</w:t>
      </w:r>
      <w:r w:rsidR="00A81248">
        <w:t xml:space="preserve">nalytical Unit for their help with the analytical sample analyses. </w:t>
      </w:r>
      <w:r w:rsidRPr="00860424">
        <w:t xml:space="preserve"> </w:t>
      </w:r>
    </w:p>
    <w:p w14:paraId="1B53EC04" w14:textId="511FC44C" w:rsidR="00321630" w:rsidRPr="00321630" w:rsidRDefault="00321630" w:rsidP="00321630">
      <w:pPr>
        <w:widowControl w:val="0"/>
        <w:autoSpaceDE w:val="0"/>
        <w:autoSpaceDN w:val="0"/>
        <w:adjustRightInd w:val="0"/>
        <w:spacing w:line="360" w:lineRule="auto"/>
        <w:ind w:left="640" w:hanging="640"/>
        <w:rPr>
          <w:b/>
          <w:bCs/>
        </w:rPr>
      </w:pPr>
      <w:r w:rsidRPr="00321630">
        <w:rPr>
          <w:b/>
          <w:bCs/>
        </w:rPr>
        <w:t>Author contributions statement</w:t>
      </w:r>
    </w:p>
    <w:p w14:paraId="22C05BAB" w14:textId="7BC7C9AF" w:rsidR="00321630" w:rsidRDefault="00321630" w:rsidP="00321630">
      <w:pPr>
        <w:widowControl w:val="0"/>
        <w:autoSpaceDE w:val="0"/>
        <w:autoSpaceDN w:val="0"/>
        <w:adjustRightInd w:val="0"/>
        <w:spacing w:line="360" w:lineRule="auto"/>
      </w:pPr>
      <w:r>
        <w:t xml:space="preserve">V.P., S.G., A.M. and M.S.A.B. designed the study, V.P. sampled the soils and vegetation, V.P. </w:t>
      </w:r>
      <w:proofErr w:type="spellStart"/>
      <w:r>
        <w:t>analyzed</w:t>
      </w:r>
      <w:proofErr w:type="spellEnd"/>
      <w:r>
        <w:t>, calculated, and evaluated the data. A.C.S. measured the isotope values. V.P., S.G., M.S.A.B, A.C.S., F.T. and A.M. interpreted the results and wrote the manuscript.</w:t>
      </w:r>
    </w:p>
    <w:p w14:paraId="0418CD24" w14:textId="77777777" w:rsidR="00321630" w:rsidRPr="00321630" w:rsidRDefault="00321630" w:rsidP="00321630">
      <w:pPr>
        <w:widowControl w:val="0"/>
        <w:autoSpaceDE w:val="0"/>
        <w:autoSpaceDN w:val="0"/>
        <w:adjustRightInd w:val="0"/>
        <w:spacing w:line="360" w:lineRule="auto"/>
        <w:rPr>
          <w:b/>
          <w:bCs/>
        </w:rPr>
      </w:pPr>
      <w:r w:rsidRPr="00321630">
        <w:rPr>
          <w:b/>
          <w:bCs/>
        </w:rPr>
        <w:t>Additional information</w:t>
      </w:r>
    </w:p>
    <w:p w14:paraId="18ACDC99" w14:textId="11C81A16" w:rsidR="00321630" w:rsidRDefault="00321630" w:rsidP="00321630">
      <w:pPr>
        <w:widowControl w:val="0"/>
        <w:autoSpaceDE w:val="0"/>
        <w:autoSpaceDN w:val="0"/>
        <w:adjustRightInd w:val="0"/>
        <w:spacing w:line="360" w:lineRule="auto"/>
        <w:sectPr w:rsidR="00321630" w:rsidSect="00D87662">
          <w:pgSz w:w="11906" w:h="16838"/>
          <w:pgMar w:top="1440" w:right="1440" w:bottom="1440" w:left="1440" w:header="708" w:footer="708" w:gutter="0"/>
          <w:lnNumType w:countBy="1" w:restart="continuous"/>
          <w:cols w:space="708"/>
          <w:docGrid w:linePitch="360"/>
        </w:sectPr>
      </w:pPr>
      <w:r>
        <w:t>Competing interests:  The authors declare no competing financial and non-financial interests.</w:t>
      </w:r>
    </w:p>
    <w:p w14:paraId="77635583" w14:textId="71E8EBFF" w:rsidR="003E4563" w:rsidRDefault="007F529E" w:rsidP="00741C1A">
      <w:pPr>
        <w:widowControl w:val="0"/>
        <w:autoSpaceDE w:val="0"/>
        <w:autoSpaceDN w:val="0"/>
        <w:adjustRightInd w:val="0"/>
        <w:spacing w:line="360" w:lineRule="auto"/>
        <w:ind w:left="640" w:hanging="640"/>
        <w:rPr>
          <w:b/>
          <w:bCs/>
        </w:rPr>
      </w:pPr>
      <w:r w:rsidRPr="007F529E">
        <w:rPr>
          <w:b/>
          <w:bCs/>
        </w:rPr>
        <w:lastRenderedPageBreak/>
        <w:t>Table</w:t>
      </w:r>
      <w:r>
        <w:rPr>
          <w:b/>
          <w:bCs/>
        </w:rPr>
        <w:t xml:space="preserve"> legends</w:t>
      </w:r>
    </w:p>
    <w:p w14:paraId="6C53B062" w14:textId="0A2B1B86" w:rsidR="006807C1" w:rsidRDefault="006807C1" w:rsidP="007F529E">
      <w:pPr>
        <w:pStyle w:val="Caption"/>
        <w:spacing w:line="360" w:lineRule="auto"/>
      </w:pPr>
      <w:r w:rsidRPr="00860424">
        <w:t xml:space="preserve">Table </w:t>
      </w:r>
      <w:r>
        <w:t>1</w:t>
      </w:r>
      <w:r w:rsidRPr="00860424">
        <w:t xml:space="preserve">. Further soil characteristics of the sampled treatments. </w:t>
      </w:r>
      <w:r w:rsidRPr="00860424">
        <w:rPr>
          <w:noProof/>
        </w:rPr>
        <w:t>+L and -L = with or without addition of lime, respectively. +N and -N = with or without addition of nitrogen (N) fertiliser. +P and -P = with or without addition of P fertiliser. Total C = total carbon. DW = dry weight.</w:t>
      </w:r>
    </w:p>
    <w:p w14:paraId="6708E919" w14:textId="55DF2322" w:rsidR="00587A3D" w:rsidRDefault="00587A3D" w:rsidP="007F529E">
      <w:pPr>
        <w:pStyle w:val="Caption"/>
        <w:spacing w:line="360" w:lineRule="auto"/>
      </w:pPr>
      <w:r>
        <w:t xml:space="preserve">Table 2 </w:t>
      </w:r>
      <w:r w:rsidRPr="00860424">
        <w:t>Phosphorus concentrations (mg P kg</w:t>
      </w:r>
      <w:r w:rsidRPr="00860424">
        <w:rPr>
          <w:vertAlign w:val="superscript"/>
        </w:rPr>
        <w:t>-1</w:t>
      </w:r>
      <w:r w:rsidRPr="00860424">
        <w:t xml:space="preserve"> soil) of different soil P pools extracted sequentially. </w:t>
      </w:r>
      <w:r w:rsidRPr="00860424">
        <w:rPr>
          <w:noProof/>
        </w:rPr>
        <w:t>+L and -L = with or without addition of lime, respectively. +N and -N = with or without addition of nitrogen (N) fertiliser. +P and -P = with or without addition of P fertiliser.</w:t>
      </w:r>
      <w:r>
        <w:t xml:space="preserve"> Bold numbers indicate the lowest concentrations for each P pool across treatments and depth, whereas underlined numbers indicate the highest concentrations.</w:t>
      </w:r>
    </w:p>
    <w:p w14:paraId="22A878D5" w14:textId="5C55EA43" w:rsidR="007F529E" w:rsidRDefault="007F529E" w:rsidP="007F529E">
      <w:pPr>
        <w:pStyle w:val="Caption"/>
        <w:spacing w:line="360" w:lineRule="auto"/>
        <w:rPr>
          <w:noProof/>
        </w:rPr>
      </w:pPr>
      <w:r w:rsidRPr="00860424">
        <w:t>Table</w:t>
      </w:r>
      <w:r>
        <w:t xml:space="preserve"> 3</w:t>
      </w:r>
      <w:r w:rsidRPr="00860424">
        <w:t>. Soil water δ</w:t>
      </w:r>
      <w:r w:rsidRPr="00860424">
        <w:rPr>
          <w:vertAlign w:val="superscript"/>
        </w:rPr>
        <w:t>18</w:t>
      </w:r>
      <w:r w:rsidRPr="00860424">
        <w:t>O</w:t>
      </w:r>
      <w:r w:rsidRPr="00860424">
        <w:rPr>
          <w:vertAlign w:val="subscript"/>
        </w:rPr>
        <w:t>H2O</w:t>
      </w:r>
      <w:r w:rsidRPr="00860424">
        <w:t>, equilibrium δ</w:t>
      </w:r>
      <w:r w:rsidRPr="00860424">
        <w:rPr>
          <w:vertAlign w:val="superscript"/>
        </w:rPr>
        <w:t>18</w:t>
      </w:r>
      <w:r w:rsidRPr="00860424">
        <w:t>O</w:t>
      </w:r>
      <w:r w:rsidRPr="00860424">
        <w:rPr>
          <w:vertAlign w:val="subscript"/>
        </w:rPr>
        <w:t>P</w:t>
      </w:r>
      <w:r w:rsidRPr="00860424">
        <w:t xml:space="preserve"> </w:t>
      </w:r>
      <w:proofErr w:type="spellStart"/>
      <w:r w:rsidRPr="00860424">
        <w:t>range</w:t>
      </w:r>
      <w:r w:rsidRPr="00860424">
        <w:rPr>
          <w:vertAlign w:val="superscript"/>
        </w:rPr>
        <w:t>a</w:t>
      </w:r>
      <w:proofErr w:type="spellEnd"/>
      <w:r w:rsidRPr="00860424">
        <w:t>, and resin and hexanol P, NaOH-EDTA inorganic P (Pi) and HCl P δ</w:t>
      </w:r>
      <w:r w:rsidRPr="00860424">
        <w:rPr>
          <w:vertAlign w:val="superscript"/>
        </w:rPr>
        <w:t>18</w:t>
      </w:r>
      <w:r w:rsidRPr="00860424">
        <w:t>O</w:t>
      </w:r>
      <w:r w:rsidRPr="00860424">
        <w:rPr>
          <w:vertAlign w:val="subscript"/>
        </w:rPr>
        <w:t>P</w:t>
      </w:r>
      <w:r w:rsidRPr="00860424">
        <w:t>. The δ</w:t>
      </w:r>
      <w:r w:rsidRPr="00860424">
        <w:rPr>
          <w:vertAlign w:val="superscript"/>
        </w:rPr>
        <w:t>18</w:t>
      </w:r>
      <w:r w:rsidRPr="00860424">
        <w:t>O</w:t>
      </w:r>
      <w:r w:rsidRPr="00860424">
        <w:rPr>
          <w:vertAlign w:val="subscript"/>
        </w:rPr>
        <w:t>P</w:t>
      </w:r>
      <w:r w:rsidRPr="00860424">
        <w:t xml:space="preserve"> values discussed within the manuscript are highlighted in bold text. </w:t>
      </w:r>
      <w:proofErr w:type="spellStart"/>
      <w:r w:rsidRPr="00860424">
        <w:t>nd</w:t>
      </w:r>
      <w:proofErr w:type="spellEnd"/>
      <w:r w:rsidRPr="00860424">
        <w:t xml:space="preserve"> = not determined. </w:t>
      </w:r>
      <w:r w:rsidRPr="00860424">
        <w:rPr>
          <w:noProof/>
        </w:rPr>
        <w:t>+L and -L = with or without addition of lime, respectively. +N and -N = with or without addition of nitrogen (N) fertiliser. +P and -P = with or without addition of P fertiliser.</w:t>
      </w:r>
    </w:p>
    <w:p w14:paraId="1A648807" w14:textId="3BAE2404" w:rsidR="007F529E" w:rsidRPr="00860424" w:rsidRDefault="007F529E" w:rsidP="007F529E">
      <w:pPr>
        <w:pStyle w:val="Caption"/>
        <w:spacing w:line="360" w:lineRule="auto"/>
      </w:pPr>
      <w:r w:rsidRPr="00860424">
        <w:t xml:space="preserve">Table </w:t>
      </w:r>
      <w:r>
        <w:t>4.</w:t>
      </w:r>
      <w:r w:rsidRPr="00860424">
        <w:t xml:space="preserve"> Resin, hexanol, and HCl P δ</w:t>
      </w:r>
      <w:r w:rsidRPr="00860424">
        <w:rPr>
          <w:vertAlign w:val="superscript"/>
        </w:rPr>
        <w:t>18</w:t>
      </w:r>
      <w:r w:rsidRPr="00860424">
        <w:t>O</w:t>
      </w:r>
      <w:r w:rsidRPr="00860424">
        <w:rPr>
          <w:vertAlign w:val="subscript"/>
        </w:rPr>
        <w:t>P</w:t>
      </w:r>
      <w:r w:rsidRPr="00860424">
        <w:t xml:space="preserve"> values</w:t>
      </w:r>
      <w:r>
        <w:t xml:space="preserve"> (in </w:t>
      </w:r>
      <w:r>
        <w:rPr>
          <w:rFonts w:cs="Times New Roman"/>
        </w:rPr>
        <w:t>‰</w:t>
      </w:r>
      <w:r>
        <w:t>)</w:t>
      </w:r>
      <w:r w:rsidRPr="00860424">
        <w:t xml:space="preserve"> expressed as mean over the three depths in each treatment and trichloroacetic acid soluble reactive (TCA) P </w:t>
      </w:r>
      <w:r w:rsidRPr="00860424">
        <w:rPr>
          <w:rFonts w:cs="Times New Roman"/>
        </w:rPr>
        <w:t>δ</w:t>
      </w:r>
      <w:r w:rsidRPr="00860424">
        <w:rPr>
          <w:rFonts w:cs="Times New Roman"/>
          <w:vertAlign w:val="superscript"/>
        </w:rPr>
        <w:t>18</w:t>
      </w:r>
      <w:r w:rsidRPr="00860424">
        <w:rPr>
          <w:rFonts w:cs="Times New Roman"/>
        </w:rPr>
        <w:t>O</w:t>
      </w:r>
      <w:r w:rsidRPr="00860424">
        <w:rPr>
          <w:rFonts w:cs="Times New Roman"/>
          <w:vertAlign w:val="subscript"/>
        </w:rPr>
        <w:t>P</w:t>
      </w:r>
      <w:r w:rsidRPr="00860424">
        <w:t xml:space="preserve"> values </w:t>
      </w:r>
      <w:r>
        <w:t xml:space="preserve">(in </w:t>
      </w:r>
      <w:r>
        <w:rPr>
          <w:rFonts w:cs="Times New Roman"/>
        </w:rPr>
        <w:t>‰</w:t>
      </w:r>
      <w:r>
        <w:t>)</w:t>
      </w:r>
      <w:r w:rsidRPr="00860424">
        <w:t xml:space="preserve"> of the vegetation. Equilibrium range </w:t>
      </w:r>
      <w:r>
        <w:t xml:space="preserve">(in </w:t>
      </w:r>
      <w:r>
        <w:rPr>
          <w:rFonts w:cs="Times New Roman"/>
        </w:rPr>
        <w:t>‰</w:t>
      </w:r>
      <w:r>
        <w:t>)</w:t>
      </w:r>
      <w:r w:rsidRPr="00860424">
        <w:t xml:space="preserve"> is the min and max equilibrium value across treatments and depth based on the min and max values of soil water δ</w:t>
      </w:r>
      <w:r w:rsidRPr="00860424">
        <w:rPr>
          <w:vertAlign w:val="superscript"/>
        </w:rPr>
        <w:t>18</w:t>
      </w:r>
      <w:r w:rsidRPr="00860424">
        <w:t>O</w:t>
      </w:r>
      <w:r w:rsidRPr="00860424">
        <w:rPr>
          <w:vertAlign w:val="subscript"/>
        </w:rPr>
        <w:t xml:space="preserve"> </w:t>
      </w:r>
      <w:r w:rsidRPr="00860424">
        <w:t xml:space="preserve">and soil temperature of the 24 hours ahead of soil sampling. </w:t>
      </w:r>
      <w:r w:rsidRPr="00860424">
        <w:rPr>
          <w:noProof/>
        </w:rPr>
        <w:t xml:space="preserve">+L and -L = with or without addition of lime, respectively. +N and -N = with or without addition of nitrogen (N) fertiliser. +P and -P = with or without addition of P fertiliser. </w:t>
      </w:r>
      <w:r>
        <w:rPr>
          <w:noProof/>
        </w:rPr>
        <w:t>nr = not relevant. nd = not determined.</w:t>
      </w:r>
    </w:p>
    <w:p w14:paraId="6B4E2AA6" w14:textId="77777777" w:rsidR="007F529E" w:rsidRPr="00860424" w:rsidRDefault="007F529E" w:rsidP="007F529E">
      <w:pPr>
        <w:pStyle w:val="Caption"/>
        <w:spacing w:line="360" w:lineRule="auto"/>
      </w:pPr>
      <w:r w:rsidRPr="00860424">
        <w:t>Table</w:t>
      </w:r>
      <w:r>
        <w:t xml:space="preserve"> </w:t>
      </w:r>
      <w:r>
        <w:rPr>
          <w:noProof/>
        </w:rPr>
        <w:t>5</w:t>
      </w:r>
      <w:r w:rsidRPr="00860424">
        <w:t>. Treatments of Park Grass analysed in this study including the dominant plant species (percentage &gt; 10%) and the total number of species (</w:t>
      </w:r>
      <w:proofErr w:type="spellStart"/>
      <w:r w:rsidRPr="00860424">
        <w:t>Sp</w:t>
      </w:r>
      <w:proofErr w:type="spellEnd"/>
      <w:r w:rsidRPr="00860424">
        <w:t xml:space="preserve">) (data from 2000 and obtained from the electronic Rothamsted Archive). </w:t>
      </w:r>
      <w:r w:rsidRPr="00860424">
        <w:rPr>
          <w:noProof/>
        </w:rPr>
        <w:t>+L and -L = with or without addition of lime, respectively. +N and -N = with or without addition of nitrogen (N) fertiliser. +P and -P = with or without addition of P fertiliser.</w:t>
      </w:r>
    </w:p>
    <w:p w14:paraId="39D48C52" w14:textId="77777777" w:rsidR="007F529E" w:rsidRDefault="007F529E" w:rsidP="00804743">
      <w:pPr>
        <w:widowControl w:val="0"/>
        <w:autoSpaceDE w:val="0"/>
        <w:autoSpaceDN w:val="0"/>
        <w:adjustRightInd w:val="0"/>
        <w:spacing w:line="360" w:lineRule="auto"/>
        <w:rPr>
          <w:b/>
          <w:bCs/>
        </w:rPr>
        <w:sectPr w:rsidR="007F529E" w:rsidSect="00D87662">
          <w:pgSz w:w="11906" w:h="16838"/>
          <w:pgMar w:top="1440" w:right="1440" w:bottom="1440" w:left="1440" w:header="708" w:footer="708" w:gutter="0"/>
          <w:lnNumType w:countBy="1" w:restart="continuous"/>
          <w:cols w:space="708"/>
          <w:docGrid w:linePitch="360"/>
        </w:sectPr>
      </w:pPr>
    </w:p>
    <w:p w14:paraId="7B1C27A1" w14:textId="2E8EE0E5" w:rsidR="007F529E" w:rsidRPr="00804743" w:rsidRDefault="007F529E" w:rsidP="007F529E">
      <w:pPr>
        <w:widowControl w:val="0"/>
        <w:autoSpaceDE w:val="0"/>
        <w:autoSpaceDN w:val="0"/>
        <w:adjustRightInd w:val="0"/>
        <w:spacing w:line="360" w:lineRule="auto"/>
        <w:ind w:left="640" w:hanging="640"/>
        <w:rPr>
          <w:b/>
          <w:bCs/>
        </w:rPr>
      </w:pPr>
      <w:r w:rsidRPr="00804743">
        <w:rPr>
          <w:b/>
          <w:bCs/>
        </w:rPr>
        <w:lastRenderedPageBreak/>
        <w:t>Tables</w:t>
      </w:r>
    </w:p>
    <w:p w14:paraId="3A5684E3" w14:textId="45A64A6C" w:rsidR="006807C1" w:rsidRPr="006807C1" w:rsidRDefault="006807C1" w:rsidP="007F529E">
      <w:pPr>
        <w:widowControl w:val="0"/>
        <w:autoSpaceDE w:val="0"/>
        <w:autoSpaceDN w:val="0"/>
        <w:adjustRightInd w:val="0"/>
        <w:spacing w:line="360" w:lineRule="auto"/>
        <w:ind w:left="640" w:hanging="640"/>
      </w:pPr>
      <w:r w:rsidRPr="006807C1">
        <w:t>Table 1</w:t>
      </w:r>
    </w:p>
    <w:tbl>
      <w:tblPr>
        <w:tblStyle w:val="TableGrid1"/>
        <w:tblW w:w="0" w:type="auto"/>
        <w:jc w:val="center"/>
        <w:tblLook w:val="04A0" w:firstRow="1" w:lastRow="0" w:firstColumn="1" w:lastColumn="0" w:noHBand="0" w:noVBand="1"/>
      </w:tblPr>
      <w:tblGrid>
        <w:gridCol w:w="1309"/>
        <w:gridCol w:w="1370"/>
        <w:gridCol w:w="636"/>
        <w:gridCol w:w="636"/>
        <w:gridCol w:w="882"/>
        <w:gridCol w:w="1048"/>
        <w:gridCol w:w="965"/>
        <w:gridCol w:w="965"/>
      </w:tblGrid>
      <w:tr w:rsidR="006807C1" w:rsidRPr="00860424" w14:paraId="20F8130B" w14:textId="77777777" w:rsidTr="006807C1">
        <w:trPr>
          <w:jc w:val="center"/>
        </w:trPr>
        <w:tc>
          <w:tcPr>
            <w:tcW w:w="0" w:type="auto"/>
          </w:tcPr>
          <w:p w14:paraId="4D14242A" w14:textId="77777777" w:rsidR="006807C1" w:rsidRPr="00860424" w:rsidRDefault="006807C1" w:rsidP="00422A25">
            <w:pPr>
              <w:spacing w:line="360" w:lineRule="auto"/>
              <w:rPr>
                <w:rFonts w:cs="Times New Roman"/>
                <w:b/>
              </w:rPr>
            </w:pPr>
            <w:r w:rsidRPr="00860424">
              <w:rPr>
                <w:rFonts w:cs="Times New Roman"/>
                <w:b/>
              </w:rPr>
              <w:t>Treatment</w:t>
            </w:r>
          </w:p>
        </w:tc>
        <w:tc>
          <w:tcPr>
            <w:tcW w:w="0" w:type="auto"/>
          </w:tcPr>
          <w:p w14:paraId="18BC308F" w14:textId="77777777" w:rsidR="006807C1" w:rsidRPr="00860424" w:rsidRDefault="006807C1" w:rsidP="00422A25">
            <w:pPr>
              <w:spacing w:line="360" w:lineRule="auto"/>
              <w:rPr>
                <w:rFonts w:cs="Times New Roman"/>
                <w:b/>
              </w:rPr>
            </w:pPr>
            <w:r w:rsidRPr="00860424">
              <w:rPr>
                <w:rFonts w:cs="Times New Roman"/>
                <w:b/>
              </w:rPr>
              <w:t>Depth (cm)</w:t>
            </w:r>
          </w:p>
        </w:tc>
        <w:tc>
          <w:tcPr>
            <w:tcW w:w="0" w:type="auto"/>
            <w:gridSpan w:val="2"/>
          </w:tcPr>
          <w:p w14:paraId="069F9480" w14:textId="77777777" w:rsidR="006807C1" w:rsidRPr="00860424" w:rsidRDefault="006807C1" w:rsidP="00422A25">
            <w:pPr>
              <w:spacing w:line="360" w:lineRule="auto"/>
              <w:rPr>
                <w:rFonts w:cs="Times New Roman"/>
                <w:b/>
              </w:rPr>
            </w:pPr>
            <w:r w:rsidRPr="00860424">
              <w:rPr>
                <w:rFonts w:cs="Times New Roman"/>
                <w:b/>
              </w:rPr>
              <w:t>Soil pH</w:t>
            </w:r>
          </w:p>
        </w:tc>
        <w:tc>
          <w:tcPr>
            <w:tcW w:w="0" w:type="auto"/>
            <w:gridSpan w:val="2"/>
          </w:tcPr>
          <w:p w14:paraId="3310AEF8" w14:textId="77777777" w:rsidR="006807C1" w:rsidRPr="00860424" w:rsidRDefault="006807C1" w:rsidP="00422A25">
            <w:pPr>
              <w:spacing w:line="360" w:lineRule="auto"/>
              <w:rPr>
                <w:rFonts w:cs="Times New Roman"/>
                <w:b/>
              </w:rPr>
            </w:pPr>
            <w:r w:rsidRPr="00860424">
              <w:rPr>
                <w:rFonts w:cs="Times New Roman"/>
                <w:b/>
              </w:rPr>
              <w:t>Total C (% DW)</w:t>
            </w:r>
          </w:p>
        </w:tc>
        <w:tc>
          <w:tcPr>
            <w:tcW w:w="0" w:type="auto"/>
            <w:gridSpan w:val="2"/>
          </w:tcPr>
          <w:p w14:paraId="221529FA" w14:textId="77777777" w:rsidR="006807C1" w:rsidRPr="00860424" w:rsidRDefault="006807C1" w:rsidP="00422A25">
            <w:pPr>
              <w:spacing w:line="360" w:lineRule="auto"/>
              <w:rPr>
                <w:rFonts w:cs="Times New Roman"/>
                <w:b/>
              </w:rPr>
            </w:pPr>
            <w:r w:rsidRPr="00860424">
              <w:rPr>
                <w:rFonts w:cs="Times New Roman"/>
                <w:b/>
              </w:rPr>
              <w:t>Total N (% DW)</w:t>
            </w:r>
          </w:p>
        </w:tc>
      </w:tr>
      <w:tr w:rsidR="006807C1" w:rsidRPr="00860424" w14:paraId="1E8A9C4D" w14:textId="77777777" w:rsidTr="006807C1">
        <w:trPr>
          <w:jc w:val="center"/>
        </w:trPr>
        <w:tc>
          <w:tcPr>
            <w:tcW w:w="0" w:type="auto"/>
            <w:tcBorders>
              <w:bottom w:val="single" w:sz="12" w:space="0" w:color="auto"/>
            </w:tcBorders>
          </w:tcPr>
          <w:p w14:paraId="67FF61D0" w14:textId="77777777" w:rsidR="006807C1" w:rsidRPr="00860424" w:rsidRDefault="006807C1" w:rsidP="00422A25">
            <w:pPr>
              <w:spacing w:line="360" w:lineRule="auto"/>
              <w:rPr>
                <w:rFonts w:cs="Times New Roman"/>
              </w:rPr>
            </w:pPr>
          </w:p>
        </w:tc>
        <w:tc>
          <w:tcPr>
            <w:tcW w:w="0" w:type="auto"/>
            <w:tcBorders>
              <w:bottom w:val="single" w:sz="12" w:space="0" w:color="auto"/>
            </w:tcBorders>
          </w:tcPr>
          <w:p w14:paraId="4B585A14" w14:textId="77777777" w:rsidR="006807C1" w:rsidRPr="00860424" w:rsidRDefault="006807C1" w:rsidP="00422A25">
            <w:pPr>
              <w:spacing w:line="360" w:lineRule="auto"/>
              <w:rPr>
                <w:rFonts w:cs="Times New Roman"/>
              </w:rPr>
            </w:pPr>
          </w:p>
        </w:tc>
        <w:tc>
          <w:tcPr>
            <w:tcW w:w="0" w:type="auto"/>
            <w:tcBorders>
              <w:bottom w:val="single" w:sz="12" w:space="0" w:color="auto"/>
            </w:tcBorders>
          </w:tcPr>
          <w:p w14:paraId="1784923A" w14:textId="77777777" w:rsidR="006807C1" w:rsidRPr="00860424" w:rsidRDefault="006807C1" w:rsidP="00422A25">
            <w:pPr>
              <w:spacing w:line="360" w:lineRule="auto"/>
              <w:rPr>
                <w:rFonts w:cs="Times New Roman"/>
              </w:rPr>
            </w:pPr>
            <w:r w:rsidRPr="00860424">
              <w:rPr>
                <w:rFonts w:cs="Times New Roman"/>
              </w:rPr>
              <w:t>+L</w:t>
            </w:r>
          </w:p>
        </w:tc>
        <w:tc>
          <w:tcPr>
            <w:tcW w:w="0" w:type="auto"/>
            <w:tcBorders>
              <w:bottom w:val="single" w:sz="12" w:space="0" w:color="auto"/>
            </w:tcBorders>
          </w:tcPr>
          <w:p w14:paraId="53EA7032" w14:textId="77777777" w:rsidR="006807C1" w:rsidRPr="00860424" w:rsidRDefault="006807C1" w:rsidP="00422A25">
            <w:pPr>
              <w:spacing w:line="360" w:lineRule="auto"/>
              <w:rPr>
                <w:rFonts w:cs="Times New Roman"/>
              </w:rPr>
            </w:pPr>
            <w:r w:rsidRPr="00860424">
              <w:rPr>
                <w:rFonts w:cs="Times New Roman"/>
              </w:rPr>
              <w:t>-L</w:t>
            </w:r>
          </w:p>
        </w:tc>
        <w:tc>
          <w:tcPr>
            <w:tcW w:w="0" w:type="auto"/>
            <w:tcBorders>
              <w:bottom w:val="single" w:sz="12" w:space="0" w:color="auto"/>
            </w:tcBorders>
          </w:tcPr>
          <w:p w14:paraId="63DEFFAF" w14:textId="77777777" w:rsidR="006807C1" w:rsidRPr="00860424" w:rsidRDefault="006807C1" w:rsidP="00422A25">
            <w:pPr>
              <w:spacing w:line="360" w:lineRule="auto"/>
              <w:rPr>
                <w:rFonts w:cs="Times New Roman"/>
              </w:rPr>
            </w:pPr>
            <w:r w:rsidRPr="00860424">
              <w:t>+L</w:t>
            </w:r>
          </w:p>
        </w:tc>
        <w:tc>
          <w:tcPr>
            <w:tcW w:w="0" w:type="auto"/>
            <w:tcBorders>
              <w:bottom w:val="single" w:sz="12" w:space="0" w:color="auto"/>
            </w:tcBorders>
          </w:tcPr>
          <w:p w14:paraId="7D03CE63" w14:textId="77777777" w:rsidR="006807C1" w:rsidRPr="00860424" w:rsidRDefault="006807C1" w:rsidP="00422A25">
            <w:pPr>
              <w:spacing w:line="360" w:lineRule="auto"/>
              <w:rPr>
                <w:rFonts w:cs="Times New Roman"/>
              </w:rPr>
            </w:pPr>
            <w:r w:rsidRPr="00860424">
              <w:t>-L</w:t>
            </w:r>
          </w:p>
        </w:tc>
        <w:tc>
          <w:tcPr>
            <w:tcW w:w="0" w:type="auto"/>
            <w:tcBorders>
              <w:bottom w:val="single" w:sz="12" w:space="0" w:color="auto"/>
            </w:tcBorders>
          </w:tcPr>
          <w:p w14:paraId="1611A8CC" w14:textId="77777777" w:rsidR="006807C1" w:rsidRPr="00860424" w:rsidRDefault="006807C1" w:rsidP="00422A25">
            <w:pPr>
              <w:spacing w:line="360" w:lineRule="auto"/>
              <w:rPr>
                <w:rFonts w:cs="Times New Roman"/>
              </w:rPr>
            </w:pPr>
            <w:r w:rsidRPr="00860424">
              <w:t>+L</w:t>
            </w:r>
          </w:p>
        </w:tc>
        <w:tc>
          <w:tcPr>
            <w:tcW w:w="0" w:type="auto"/>
            <w:tcBorders>
              <w:bottom w:val="single" w:sz="12" w:space="0" w:color="auto"/>
            </w:tcBorders>
          </w:tcPr>
          <w:p w14:paraId="3E856543" w14:textId="77777777" w:rsidR="006807C1" w:rsidRPr="00860424" w:rsidRDefault="006807C1" w:rsidP="00422A25">
            <w:pPr>
              <w:spacing w:line="360" w:lineRule="auto"/>
              <w:rPr>
                <w:rFonts w:cs="Times New Roman"/>
              </w:rPr>
            </w:pPr>
            <w:r w:rsidRPr="00860424">
              <w:t>-L</w:t>
            </w:r>
          </w:p>
        </w:tc>
      </w:tr>
      <w:tr w:rsidR="006807C1" w:rsidRPr="00860424" w14:paraId="7078EC07" w14:textId="77777777" w:rsidTr="006807C1">
        <w:trPr>
          <w:jc w:val="center"/>
        </w:trPr>
        <w:tc>
          <w:tcPr>
            <w:tcW w:w="0" w:type="auto"/>
            <w:vMerge w:val="restart"/>
            <w:tcBorders>
              <w:top w:val="single" w:sz="12" w:space="0" w:color="auto"/>
            </w:tcBorders>
            <w:vAlign w:val="center"/>
          </w:tcPr>
          <w:p w14:paraId="469AEB19" w14:textId="77777777" w:rsidR="006807C1" w:rsidRPr="00860424" w:rsidRDefault="006807C1" w:rsidP="00422A25">
            <w:pPr>
              <w:spacing w:line="360" w:lineRule="auto"/>
              <w:rPr>
                <w:rFonts w:cs="Times New Roman"/>
              </w:rPr>
            </w:pPr>
            <w:r w:rsidRPr="00860424">
              <w:rPr>
                <w:rFonts w:cs="Times New Roman"/>
              </w:rPr>
              <w:t>-N+P</w:t>
            </w:r>
          </w:p>
          <w:p w14:paraId="4039EF9B" w14:textId="77777777" w:rsidR="006807C1" w:rsidRPr="00860424" w:rsidRDefault="006807C1" w:rsidP="00422A25">
            <w:pPr>
              <w:spacing w:line="360" w:lineRule="auto"/>
              <w:rPr>
                <w:rFonts w:cs="Times New Roman"/>
              </w:rPr>
            </w:pPr>
          </w:p>
        </w:tc>
        <w:tc>
          <w:tcPr>
            <w:tcW w:w="0" w:type="auto"/>
            <w:tcBorders>
              <w:top w:val="single" w:sz="12" w:space="0" w:color="auto"/>
            </w:tcBorders>
          </w:tcPr>
          <w:p w14:paraId="09A9D8C4" w14:textId="77777777" w:rsidR="006807C1" w:rsidRPr="00860424" w:rsidRDefault="006807C1" w:rsidP="00422A25">
            <w:pPr>
              <w:spacing w:line="360" w:lineRule="auto"/>
              <w:rPr>
                <w:rFonts w:cs="Times New Roman"/>
              </w:rPr>
            </w:pPr>
            <w:r w:rsidRPr="00860424">
              <w:rPr>
                <w:rFonts w:cs="Times New Roman"/>
              </w:rPr>
              <w:t>0-10</w:t>
            </w:r>
          </w:p>
        </w:tc>
        <w:tc>
          <w:tcPr>
            <w:tcW w:w="0" w:type="auto"/>
            <w:tcBorders>
              <w:top w:val="single" w:sz="12" w:space="0" w:color="auto"/>
            </w:tcBorders>
          </w:tcPr>
          <w:p w14:paraId="53ED874E" w14:textId="77777777" w:rsidR="006807C1" w:rsidRPr="00860424" w:rsidRDefault="006807C1" w:rsidP="00422A25">
            <w:pPr>
              <w:keepNext/>
              <w:spacing w:line="360" w:lineRule="auto"/>
              <w:rPr>
                <w:bCs/>
                <w:szCs w:val="18"/>
              </w:rPr>
            </w:pPr>
            <w:r w:rsidRPr="00860424">
              <w:rPr>
                <w:bCs/>
                <w:szCs w:val="18"/>
              </w:rPr>
              <w:t>6.40</w:t>
            </w:r>
          </w:p>
        </w:tc>
        <w:tc>
          <w:tcPr>
            <w:tcW w:w="0" w:type="auto"/>
            <w:tcBorders>
              <w:top w:val="single" w:sz="12" w:space="0" w:color="auto"/>
            </w:tcBorders>
          </w:tcPr>
          <w:p w14:paraId="5A6CACB3" w14:textId="77777777" w:rsidR="006807C1" w:rsidRPr="00860424" w:rsidRDefault="006807C1" w:rsidP="00422A25">
            <w:pPr>
              <w:keepNext/>
              <w:spacing w:line="360" w:lineRule="auto"/>
              <w:rPr>
                <w:bCs/>
                <w:szCs w:val="18"/>
              </w:rPr>
            </w:pPr>
            <w:r w:rsidRPr="00860424">
              <w:rPr>
                <w:bCs/>
                <w:szCs w:val="18"/>
              </w:rPr>
              <w:t>4.37</w:t>
            </w:r>
          </w:p>
        </w:tc>
        <w:tc>
          <w:tcPr>
            <w:tcW w:w="0" w:type="auto"/>
            <w:tcBorders>
              <w:top w:val="single" w:sz="12" w:space="0" w:color="auto"/>
            </w:tcBorders>
          </w:tcPr>
          <w:p w14:paraId="162A486A" w14:textId="77777777" w:rsidR="006807C1" w:rsidRPr="00860424" w:rsidRDefault="006807C1" w:rsidP="00422A25">
            <w:pPr>
              <w:spacing w:line="360" w:lineRule="auto"/>
              <w:rPr>
                <w:rFonts w:cs="Times New Roman"/>
              </w:rPr>
            </w:pPr>
            <w:r w:rsidRPr="00860424">
              <w:rPr>
                <w:rFonts w:cs="Times New Roman"/>
              </w:rPr>
              <w:t>5.08</w:t>
            </w:r>
          </w:p>
        </w:tc>
        <w:tc>
          <w:tcPr>
            <w:tcW w:w="0" w:type="auto"/>
            <w:tcBorders>
              <w:top w:val="single" w:sz="12" w:space="0" w:color="auto"/>
            </w:tcBorders>
          </w:tcPr>
          <w:p w14:paraId="6F28C7DF" w14:textId="77777777" w:rsidR="006807C1" w:rsidRPr="00860424" w:rsidRDefault="006807C1" w:rsidP="00422A25">
            <w:pPr>
              <w:spacing w:line="360" w:lineRule="auto"/>
              <w:rPr>
                <w:rFonts w:cs="Times New Roman"/>
              </w:rPr>
            </w:pPr>
            <w:r w:rsidRPr="00860424">
              <w:rPr>
                <w:rFonts w:cs="Times New Roman"/>
              </w:rPr>
              <w:t>3.81</w:t>
            </w:r>
          </w:p>
        </w:tc>
        <w:tc>
          <w:tcPr>
            <w:tcW w:w="0" w:type="auto"/>
            <w:tcBorders>
              <w:top w:val="single" w:sz="12" w:space="0" w:color="auto"/>
            </w:tcBorders>
          </w:tcPr>
          <w:p w14:paraId="0A88AD27" w14:textId="77777777" w:rsidR="006807C1" w:rsidRPr="00860424" w:rsidRDefault="006807C1" w:rsidP="00422A25">
            <w:pPr>
              <w:spacing w:line="360" w:lineRule="auto"/>
              <w:rPr>
                <w:rFonts w:cs="Times New Roman"/>
              </w:rPr>
            </w:pPr>
            <w:r w:rsidRPr="00860424">
              <w:rPr>
                <w:rFonts w:cs="Times New Roman"/>
              </w:rPr>
              <w:t>0.49</w:t>
            </w:r>
          </w:p>
        </w:tc>
        <w:tc>
          <w:tcPr>
            <w:tcW w:w="0" w:type="auto"/>
            <w:tcBorders>
              <w:top w:val="single" w:sz="12" w:space="0" w:color="auto"/>
            </w:tcBorders>
          </w:tcPr>
          <w:p w14:paraId="38675D74" w14:textId="77777777" w:rsidR="006807C1" w:rsidRPr="00860424" w:rsidRDefault="006807C1" w:rsidP="00422A25">
            <w:pPr>
              <w:spacing w:line="360" w:lineRule="auto"/>
              <w:rPr>
                <w:rFonts w:cs="Times New Roman"/>
              </w:rPr>
            </w:pPr>
            <w:r w:rsidRPr="00860424">
              <w:rPr>
                <w:rFonts w:cs="Times New Roman"/>
              </w:rPr>
              <w:t>0.34</w:t>
            </w:r>
          </w:p>
        </w:tc>
      </w:tr>
      <w:tr w:rsidR="006807C1" w:rsidRPr="00860424" w14:paraId="705A94D9" w14:textId="77777777" w:rsidTr="006807C1">
        <w:trPr>
          <w:jc w:val="center"/>
        </w:trPr>
        <w:tc>
          <w:tcPr>
            <w:tcW w:w="0" w:type="auto"/>
            <w:vMerge/>
            <w:vAlign w:val="center"/>
          </w:tcPr>
          <w:p w14:paraId="6A03ADEB" w14:textId="77777777" w:rsidR="006807C1" w:rsidRPr="00860424" w:rsidRDefault="006807C1" w:rsidP="00422A25">
            <w:pPr>
              <w:spacing w:line="360" w:lineRule="auto"/>
              <w:rPr>
                <w:rFonts w:cs="Times New Roman"/>
              </w:rPr>
            </w:pPr>
          </w:p>
        </w:tc>
        <w:tc>
          <w:tcPr>
            <w:tcW w:w="0" w:type="auto"/>
          </w:tcPr>
          <w:p w14:paraId="2A34076F" w14:textId="77777777" w:rsidR="006807C1" w:rsidRPr="00860424" w:rsidRDefault="006807C1" w:rsidP="00422A25">
            <w:pPr>
              <w:spacing w:line="360" w:lineRule="auto"/>
              <w:rPr>
                <w:rFonts w:cs="Times New Roman"/>
              </w:rPr>
            </w:pPr>
            <w:r w:rsidRPr="00860424">
              <w:rPr>
                <w:rFonts w:cs="Times New Roman"/>
              </w:rPr>
              <w:t>10-20</w:t>
            </w:r>
          </w:p>
        </w:tc>
        <w:tc>
          <w:tcPr>
            <w:tcW w:w="0" w:type="auto"/>
          </w:tcPr>
          <w:p w14:paraId="290DF8DB" w14:textId="77777777" w:rsidR="006807C1" w:rsidRPr="00860424" w:rsidRDefault="006807C1" w:rsidP="00422A25">
            <w:pPr>
              <w:keepNext/>
              <w:spacing w:line="360" w:lineRule="auto"/>
              <w:rPr>
                <w:bCs/>
                <w:szCs w:val="18"/>
              </w:rPr>
            </w:pPr>
            <w:r w:rsidRPr="00860424">
              <w:rPr>
                <w:bCs/>
                <w:szCs w:val="18"/>
              </w:rPr>
              <w:t>5.91</w:t>
            </w:r>
          </w:p>
        </w:tc>
        <w:tc>
          <w:tcPr>
            <w:tcW w:w="0" w:type="auto"/>
          </w:tcPr>
          <w:p w14:paraId="1810A0A2" w14:textId="77777777" w:rsidR="006807C1" w:rsidRPr="00860424" w:rsidRDefault="006807C1" w:rsidP="00422A25">
            <w:pPr>
              <w:keepNext/>
              <w:spacing w:line="360" w:lineRule="auto"/>
              <w:rPr>
                <w:bCs/>
                <w:szCs w:val="18"/>
              </w:rPr>
            </w:pPr>
            <w:r w:rsidRPr="00860424">
              <w:rPr>
                <w:bCs/>
                <w:szCs w:val="18"/>
              </w:rPr>
              <w:t>4.26</w:t>
            </w:r>
          </w:p>
        </w:tc>
        <w:tc>
          <w:tcPr>
            <w:tcW w:w="0" w:type="auto"/>
          </w:tcPr>
          <w:p w14:paraId="50EF2DBC" w14:textId="77777777" w:rsidR="006807C1" w:rsidRPr="00860424" w:rsidRDefault="006807C1" w:rsidP="00422A25">
            <w:pPr>
              <w:spacing w:line="360" w:lineRule="auto"/>
              <w:rPr>
                <w:rFonts w:cs="Times New Roman"/>
              </w:rPr>
            </w:pPr>
            <w:r w:rsidRPr="00860424">
              <w:rPr>
                <w:rFonts w:cs="Times New Roman"/>
              </w:rPr>
              <w:t>3.71</w:t>
            </w:r>
          </w:p>
        </w:tc>
        <w:tc>
          <w:tcPr>
            <w:tcW w:w="0" w:type="auto"/>
          </w:tcPr>
          <w:p w14:paraId="02BA58B2" w14:textId="77777777" w:rsidR="006807C1" w:rsidRPr="00860424" w:rsidRDefault="006807C1" w:rsidP="00422A25">
            <w:pPr>
              <w:spacing w:line="360" w:lineRule="auto"/>
              <w:rPr>
                <w:rFonts w:cs="Times New Roman"/>
              </w:rPr>
            </w:pPr>
            <w:r w:rsidRPr="00860424">
              <w:rPr>
                <w:rFonts w:cs="Times New Roman"/>
              </w:rPr>
              <w:t>2.67</w:t>
            </w:r>
          </w:p>
        </w:tc>
        <w:tc>
          <w:tcPr>
            <w:tcW w:w="0" w:type="auto"/>
          </w:tcPr>
          <w:p w14:paraId="41E95E82" w14:textId="77777777" w:rsidR="006807C1" w:rsidRPr="00860424" w:rsidRDefault="006807C1" w:rsidP="00422A25">
            <w:pPr>
              <w:spacing w:line="360" w:lineRule="auto"/>
              <w:rPr>
                <w:rFonts w:cs="Times New Roman"/>
              </w:rPr>
            </w:pPr>
            <w:r w:rsidRPr="00860424">
              <w:rPr>
                <w:rFonts w:cs="Times New Roman"/>
              </w:rPr>
              <w:t>0.37</w:t>
            </w:r>
          </w:p>
        </w:tc>
        <w:tc>
          <w:tcPr>
            <w:tcW w:w="0" w:type="auto"/>
          </w:tcPr>
          <w:p w14:paraId="30DB83C3" w14:textId="77777777" w:rsidR="006807C1" w:rsidRPr="00860424" w:rsidRDefault="006807C1" w:rsidP="00422A25">
            <w:pPr>
              <w:spacing w:line="360" w:lineRule="auto"/>
              <w:rPr>
                <w:rFonts w:cs="Times New Roman"/>
              </w:rPr>
            </w:pPr>
            <w:r w:rsidRPr="00860424">
              <w:rPr>
                <w:rFonts w:cs="Times New Roman"/>
              </w:rPr>
              <w:t>0.23</w:t>
            </w:r>
          </w:p>
        </w:tc>
      </w:tr>
      <w:tr w:rsidR="006807C1" w:rsidRPr="00860424" w14:paraId="39723237" w14:textId="77777777" w:rsidTr="006807C1">
        <w:trPr>
          <w:jc w:val="center"/>
        </w:trPr>
        <w:tc>
          <w:tcPr>
            <w:tcW w:w="0" w:type="auto"/>
            <w:vMerge/>
            <w:tcBorders>
              <w:bottom w:val="single" w:sz="12" w:space="0" w:color="auto"/>
            </w:tcBorders>
            <w:vAlign w:val="center"/>
          </w:tcPr>
          <w:p w14:paraId="5E0D2DD5" w14:textId="77777777" w:rsidR="006807C1" w:rsidRPr="00860424" w:rsidRDefault="006807C1" w:rsidP="00422A25">
            <w:pPr>
              <w:spacing w:line="360" w:lineRule="auto"/>
              <w:rPr>
                <w:rFonts w:cs="Times New Roman"/>
              </w:rPr>
            </w:pPr>
          </w:p>
        </w:tc>
        <w:tc>
          <w:tcPr>
            <w:tcW w:w="0" w:type="auto"/>
            <w:tcBorders>
              <w:bottom w:val="single" w:sz="12" w:space="0" w:color="auto"/>
            </w:tcBorders>
          </w:tcPr>
          <w:p w14:paraId="3AA43EE3" w14:textId="77777777" w:rsidR="006807C1" w:rsidRPr="00860424" w:rsidRDefault="006807C1" w:rsidP="00422A25">
            <w:pPr>
              <w:spacing w:line="360" w:lineRule="auto"/>
              <w:rPr>
                <w:rFonts w:cs="Times New Roman"/>
              </w:rPr>
            </w:pPr>
            <w:r w:rsidRPr="00860424">
              <w:rPr>
                <w:rFonts w:cs="Times New Roman"/>
              </w:rPr>
              <w:t>20-30</w:t>
            </w:r>
          </w:p>
        </w:tc>
        <w:tc>
          <w:tcPr>
            <w:tcW w:w="0" w:type="auto"/>
            <w:tcBorders>
              <w:bottom w:val="single" w:sz="12" w:space="0" w:color="auto"/>
            </w:tcBorders>
          </w:tcPr>
          <w:p w14:paraId="4A0D63A1" w14:textId="77777777" w:rsidR="006807C1" w:rsidRPr="00860424" w:rsidRDefault="006807C1" w:rsidP="00422A25">
            <w:pPr>
              <w:keepNext/>
              <w:spacing w:line="360" w:lineRule="auto"/>
              <w:rPr>
                <w:bCs/>
                <w:szCs w:val="18"/>
              </w:rPr>
            </w:pPr>
            <w:r w:rsidRPr="00860424">
              <w:rPr>
                <w:bCs/>
                <w:szCs w:val="18"/>
              </w:rPr>
              <w:t>6.14</w:t>
            </w:r>
          </w:p>
        </w:tc>
        <w:tc>
          <w:tcPr>
            <w:tcW w:w="0" w:type="auto"/>
            <w:tcBorders>
              <w:bottom w:val="single" w:sz="12" w:space="0" w:color="auto"/>
            </w:tcBorders>
          </w:tcPr>
          <w:p w14:paraId="7EB3F72B" w14:textId="77777777" w:rsidR="006807C1" w:rsidRPr="00860424" w:rsidRDefault="006807C1" w:rsidP="00422A25">
            <w:pPr>
              <w:keepNext/>
              <w:spacing w:line="360" w:lineRule="auto"/>
              <w:rPr>
                <w:bCs/>
                <w:szCs w:val="18"/>
              </w:rPr>
            </w:pPr>
            <w:r w:rsidRPr="00860424">
              <w:rPr>
                <w:bCs/>
                <w:szCs w:val="18"/>
              </w:rPr>
              <w:t>4.49</w:t>
            </w:r>
          </w:p>
        </w:tc>
        <w:tc>
          <w:tcPr>
            <w:tcW w:w="0" w:type="auto"/>
            <w:tcBorders>
              <w:bottom w:val="single" w:sz="12" w:space="0" w:color="auto"/>
            </w:tcBorders>
          </w:tcPr>
          <w:p w14:paraId="591E2B19" w14:textId="77777777" w:rsidR="006807C1" w:rsidRPr="00860424" w:rsidRDefault="006807C1" w:rsidP="00422A25">
            <w:pPr>
              <w:spacing w:line="360" w:lineRule="auto"/>
              <w:rPr>
                <w:rFonts w:cs="Times New Roman"/>
              </w:rPr>
            </w:pPr>
            <w:r w:rsidRPr="00860424">
              <w:rPr>
                <w:rFonts w:cs="Times New Roman"/>
              </w:rPr>
              <w:t>1.70</w:t>
            </w:r>
          </w:p>
        </w:tc>
        <w:tc>
          <w:tcPr>
            <w:tcW w:w="0" w:type="auto"/>
            <w:tcBorders>
              <w:bottom w:val="single" w:sz="12" w:space="0" w:color="auto"/>
            </w:tcBorders>
          </w:tcPr>
          <w:p w14:paraId="75684F4C" w14:textId="77777777" w:rsidR="006807C1" w:rsidRPr="00860424" w:rsidRDefault="006807C1" w:rsidP="00422A25">
            <w:pPr>
              <w:spacing w:line="360" w:lineRule="auto"/>
              <w:rPr>
                <w:rFonts w:cs="Times New Roman"/>
              </w:rPr>
            </w:pPr>
            <w:r w:rsidRPr="00860424">
              <w:rPr>
                <w:rFonts w:cs="Times New Roman"/>
              </w:rPr>
              <w:t>1.35</w:t>
            </w:r>
          </w:p>
        </w:tc>
        <w:tc>
          <w:tcPr>
            <w:tcW w:w="0" w:type="auto"/>
            <w:tcBorders>
              <w:bottom w:val="single" w:sz="12" w:space="0" w:color="auto"/>
            </w:tcBorders>
          </w:tcPr>
          <w:p w14:paraId="3DB7020F" w14:textId="77777777" w:rsidR="006807C1" w:rsidRPr="00860424" w:rsidRDefault="006807C1" w:rsidP="00422A25">
            <w:pPr>
              <w:spacing w:line="360" w:lineRule="auto"/>
              <w:rPr>
                <w:rFonts w:cs="Times New Roman"/>
              </w:rPr>
            </w:pPr>
            <w:r w:rsidRPr="00860424">
              <w:rPr>
                <w:rFonts w:cs="Times New Roman"/>
              </w:rPr>
              <w:t>0.21</w:t>
            </w:r>
          </w:p>
        </w:tc>
        <w:tc>
          <w:tcPr>
            <w:tcW w:w="0" w:type="auto"/>
            <w:tcBorders>
              <w:bottom w:val="single" w:sz="12" w:space="0" w:color="auto"/>
            </w:tcBorders>
          </w:tcPr>
          <w:p w14:paraId="30D6BF35" w14:textId="77777777" w:rsidR="006807C1" w:rsidRPr="00860424" w:rsidRDefault="006807C1" w:rsidP="00422A25">
            <w:pPr>
              <w:spacing w:line="360" w:lineRule="auto"/>
              <w:rPr>
                <w:rFonts w:cs="Times New Roman"/>
              </w:rPr>
            </w:pPr>
            <w:r w:rsidRPr="00860424">
              <w:rPr>
                <w:rFonts w:cs="Times New Roman"/>
              </w:rPr>
              <w:t>0.16</w:t>
            </w:r>
          </w:p>
        </w:tc>
      </w:tr>
      <w:tr w:rsidR="006807C1" w:rsidRPr="00860424" w14:paraId="300C037C" w14:textId="77777777" w:rsidTr="006807C1">
        <w:trPr>
          <w:jc w:val="center"/>
        </w:trPr>
        <w:tc>
          <w:tcPr>
            <w:tcW w:w="0" w:type="auto"/>
            <w:vMerge w:val="restart"/>
            <w:tcBorders>
              <w:top w:val="single" w:sz="12" w:space="0" w:color="auto"/>
            </w:tcBorders>
            <w:vAlign w:val="center"/>
          </w:tcPr>
          <w:p w14:paraId="6CFD3946" w14:textId="77777777" w:rsidR="006807C1" w:rsidRPr="00860424" w:rsidRDefault="006807C1" w:rsidP="00422A25">
            <w:pPr>
              <w:spacing w:line="360" w:lineRule="auto"/>
              <w:rPr>
                <w:rFonts w:cs="Times New Roman"/>
              </w:rPr>
            </w:pPr>
            <w:r w:rsidRPr="00860424">
              <w:rPr>
                <w:rFonts w:cs="Times New Roman"/>
              </w:rPr>
              <w:t>+N+P</w:t>
            </w:r>
          </w:p>
        </w:tc>
        <w:tc>
          <w:tcPr>
            <w:tcW w:w="0" w:type="auto"/>
            <w:tcBorders>
              <w:top w:val="single" w:sz="12" w:space="0" w:color="auto"/>
            </w:tcBorders>
          </w:tcPr>
          <w:p w14:paraId="498B35B4" w14:textId="77777777" w:rsidR="006807C1" w:rsidRPr="00860424" w:rsidRDefault="006807C1" w:rsidP="00422A25">
            <w:pPr>
              <w:spacing w:line="360" w:lineRule="auto"/>
              <w:rPr>
                <w:rFonts w:cs="Times New Roman"/>
              </w:rPr>
            </w:pPr>
            <w:r w:rsidRPr="00860424">
              <w:rPr>
                <w:rFonts w:cs="Times New Roman"/>
              </w:rPr>
              <w:t>0-10</w:t>
            </w:r>
          </w:p>
        </w:tc>
        <w:tc>
          <w:tcPr>
            <w:tcW w:w="0" w:type="auto"/>
            <w:tcBorders>
              <w:top w:val="single" w:sz="12" w:space="0" w:color="auto"/>
            </w:tcBorders>
          </w:tcPr>
          <w:p w14:paraId="7C981D38" w14:textId="77777777" w:rsidR="006807C1" w:rsidRPr="00860424" w:rsidRDefault="006807C1" w:rsidP="00422A25">
            <w:pPr>
              <w:keepNext/>
              <w:spacing w:line="360" w:lineRule="auto"/>
              <w:rPr>
                <w:bCs/>
                <w:szCs w:val="18"/>
              </w:rPr>
            </w:pPr>
            <w:r w:rsidRPr="00860424">
              <w:rPr>
                <w:bCs/>
                <w:szCs w:val="18"/>
              </w:rPr>
              <w:t>6.36</w:t>
            </w:r>
          </w:p>
        </w:tc>
        <w:tc>
          <w:tcPr>
            <w:tcW w:w="0" w:type="auto"/>
            <w:tcBorders>
              <w:top w:val="single" w:sz="12" w:space="0" w:color="auto"/>
            </w:tcBorders>
          </w:tcPr>
          <w:p w14:paraId="72A5DD95" w14:textId="77777777" w:rsidR="006807C1" w:rsidRPr="00860424" w:rsidRDefault="006807C1" w:rsidP="00422A25">
            <w:pPr>
              <w:keepNext/>
              <w:spacing w:line="360" w:lineRule="auto"/>
              <w:rPr>
                <w:bCs/>
                <w:szCs w:val="18"/>
              </w:rPr>
            </w:pPr>
            <w:r w:rsidRPr="00860424">
              <w:rPr>
                <w:bCs/>
                <w:szCs w:val="18"/>
              </w:rPr>
              <w:t>3.24</w:t>
            </w:r>
          </w:p>
        </w:tc>
        <w:tc>
          <w:tcPr>
            <w:tcW w:w="0" w:type="auto"/>
            <w:tcBorders>
              <w:top w:val="single" w:sz="12" w:space="0" w:color="auto"/>
            </w:tcBorders>
          </w:tcPr>
          <w:p w14:paraId="6032A13A" w14:textId="77777777" w:rsidR="006807C1" w:rsidRPr="00860424" w:rsidRDefault="006807C1" w:rsidP="00422A25">
            <w:pPr>
              <w:spacing w:line="360" w:lineRule="auto"/>
              <w:rPr>
                <w:rFonts w:cs="Times New Roman"/>
              </w:rPr>
            </w:pPr>
            <w:r w:rsidRPr="00860424">
              <w:rPr>
                <w:rFonts w:cs="Times New Roman"/>
              </w:rPr>
              <w:t>5.95</w:t>
            </w:r>
          </w:p>
        </w:tc>
        <w:tc>
          <w:tcPr>
            <w:tcW w:w="0" w:type="auto"/>
            <w:tcBorders>
              <w:top w:val="single" w:sz="12" w:space="0" w:color="auto"/>
            </w:tcBorders>
          </w:tcPr>
          <w:p w14:paraId="116010E7" w14:textId="77777777" w:rsidR="006807C1" w:rsidRPr="00860424" w:rsidRDefault="006807C1" w:rsidP="00422A25">
            <w:pPr>
              <w:spacing w:line="360" w:lineRule="auto"/>
              <w:rPr>
                <w:rFonts w:cs="Times New Roman"/>
              </w:rPr>
            </w:pPr>
            <w:r w:rsidRPr="00860424">
              <w:rPr>
                <w:rFonts w:cs="Times New Roman"/>
              </w:rPr>
              <w:t>10.80</w:t>
            </w:r>
          </w:p>
        </w:tc>
        <w:tc>
          <w:tcPr>
            <w:tcW w:w="0" w:type="auto"/>
            <w:tcBorders>
              <w:top w:val="single" w:sz="12" w:space="0" w:color="auto"/>
            </w:tcBorders>
          </w:tcPr>
          <w:p w14:paraId="2D7537CC" w14:textId="77777777" w:rsidR="006807C1" w:rsidRPr="00860424" w:rsidRDefault="006807C1" w:rsidP="00422A25">
            <w:pPr>
              <w:spacing w:line="360" w:lineRule="auto"/>
              <w:rPr>
                <w:rFonts w:cs="Times New Roman"/>
              </w:rPr>
            </w:pPr>
            <w:r w:rsidRPr="00860424">
              <w:rPr>
                <w:rFonts w:cs="Times New Roman"/>
              </w:rPr>
              <w:t>0.54</w:t>
            </w:r>
          </w:p>
        </w:tc>
        <w:tc>
          <w:tcPr>
            <w:tcW w:w="0" w:type="auto"/>
            <w:tcBorders>
              <w:top w:val="single" w:sz="12" w:space="0" w:color="auto"/>
            </w:tcBorders>
          </w:tcPr>
          <w:p w14:paraId="04EA6AB3" w14:textId="77777777" w:rsidR="006807C1" w:rsidRPr="00860424" w:rsidRDefault="006807C1" w:rsidP="00422A25">
            <w:pPr>
              <w:spacing w:line="360" w:lineRule="auto"/>
              <w:rPr>
                <w:rFonts w:cs="Times New Roman"/>
              </w:rPr>
            </w:pPr>
            <w:r w:rsidRPr="00860424">
              <w:rPr>
                <w:rFonts w:cs="Times New Roman"/>
              </w:rPr>
              <w:t>0.85</w:t>
            </w:r>
          </w:p>
        </w:tc>
      </w:tr>
      <w:tr w:rsidR="006807C1" w:rsidRPr="00860424" w14:paraId="2635D2B8" w14:textId="77777777" w:rsidTr="006807C1">
        <w:trPr>
          <w:jc w:val="center"/>
        </w:trPr>
        <w:tc>
          <w:tcPr>
            <w:tcW w:w="0" w:type="auto"/>
            <w:vMerge/>
            <w:vAlign w:val="center"/>
          </w:tcPr>
          <w:p w14:paraId="57EE7733" w14:textId="77777777" w:rsidR="006807C1" w:rsidRPr="00860424" w:rsidRDefault="006807C1" w:rsidP="00422A25">
            <w:pPr>
              <w:spacing w:line="360" w:lineRule="auto"/>
              <w:rPr>
                <w:rFonts w:cs="Times New Roman"/>
              </w:rPr>
            </w:pPr>
          </w:p>
        </w:tc>
        <w:tc>
          <w:tcPr>
            <w:tcW w:w="0" w:type="auto"/>
          </w:tcPr>
          <w:p w14:paraId="725FC07B" w14:textId="77777777" w:rsidR="006807C1" w:rsidRPr="00860424" w:rsidRDefault="006807C1" w:rsidP="00422A25">
            <w:pPr>
              <w:spacing w:line="360" w:lineRule="auto"/>
              <w:rPr>
                <w:rFonts w:cs="Times New Roman"/>
              </w:rPr>
            </w:pPr>
            <w:r w:rsidRPr="00860424">
              <w:rPr>
                <w:rFonts w:cs="Times New Roman"/>
              </w:rPr>
              <w:t>10-20</w:t>
            </w:r>
          </w:p>
        </w:tc>
        <w:tc>
          <w:tcPr>
            <w:tcW w:w="0" w:type="auto"/>
          </w:tcPr>
          <w:p w14:paraId="5E683088" w14:textId="77777777" w:rsidR="006807C1" w:rsidRPr="00860424" w:rsidRDefault="006807C1" w:rsidP="00422A25">
            <w:pPr>
              <w:keepNext/>
              <w:spacing w:line="360" w:lineRule="auto"/>
              <w:rPr>
                <w:bCs/>
                <w:szCs w:val="18"/>
              </w:rPr>
            </w:pPr>
            <w:r w:rsidRPr="00860424">
              <w:rPr>
                <w:bCs/>
                <w:szCs w:val="18"/>
              </w:rPr>
              <w:t>6.29</w:t>
            </w:r>
          </w:p>
        </w:tc>
        <w:tc>
          <w:tcPr>
            <w:tcW w:w="0" w:type="auto"/>
          </w:tcPr>
          <w:p w14:paraId="5E1AC95D" w14:textId="77777777" w:rsidR="006807C1" w:rsidRPr="00860424" w:rsidRDefault="006807C1" w:rsidP="00422A25">
            <w:pPr>
              <w:keepNext/>
              <w:spacing w:line="360" w:lineRule="auto"/>
              <w:rPr>
                <w:bCs/>
                <w:szCs w:val="18"/>
              </w:rPr>
            </w:pPr>
            <w:r w:rsidRPr="00860424">
              <w:rPr>
                <w:bCs/>
                <w:szCs w:val="18"/>
              </w:rPr>
              <w:t>3.13</w:t>
            </w:r>
          </w:p>
        </w:tc>
        <w:tc>
          <w:tcPr>
            <w:tcW w:w="0" w:type="auto"/>
          </w:tcPr>
          <w:p w14:paraId="44ABED92" w14:textId="77777777" w:rsidR="006807C1" w:rsidRPr="00860424" w:rsidRDefault="006807C1" w:rsidP="00422A25">
            <w:pPr>
              <w:spacing w:line="360" w:lineRule="auto"/>
              <w:rPr>
                <w:rFonts w:cs="Times New Roman"/>
              </w:rPr>
            </w:pPr>
            <w:r w:rsidRPr="00860424">
              <w:rPr>
                <w:rFonts w:cs="Times New Roman"/>
              </w:rPr>
              <w:t>4.22</w:t>
            </w:r>
          </w:p>
        </w:tc>
        <w:tc>
          <w:tcPr>
            <w:tcW w:w="0" w:type="auto"/>
          </w:tcPr>
          <w:p w14:paraId="12C5CC63" w14:textId="77777777" w:rsidR="006807C1" w:rsidRPr="00860424" w:rsidRDefault="006807C1" w:rsidP="00422A25">
            <w:pPr>
              <w:spacing w:line="360" w:lineRule="auto"/>
              <w:rPr>
                <w:rFonts w:cs="Times New Roman"/>
              </w:rPr>
            </w:pPr>
            <w:r w:rsidRPr="00860424">
              <w:rPr>
                <w:rFonts w:cs="Times New Roman"/>
              </w:rPr>
              <w:t>4.31</w:t>
            </w:r>
          </w:p>
        </w:tc>
        <w:tc>
          <w:tcPr>
            <w:tcW w:w="0" w:type="auto"/>
          </w:tcPr>
          <w:p w14:paraId="493EBD58" w14:textId="77777777" w:rsidR="006807C1" w:rsidRPr="00860424" w:rsidRDefault="006807C1" w:rsidP="00422A25">
            <w:pPr>
              <w:spacing w:line="360" w:lineRule="auto"/>
              <w:rPr>
                <w:rFonts w:cs="Times New Roman"/>
              </w:rPr>
            </w:pPr>
            <w:r w:rsidRPr="00860424">
              <w:rPr>
                <w:rFonts w:cs="Times New Roman"/>
              </w:rPr>
              <w:t>0.39</w:t>
            </w:r>
          </w:p>
        </w:tc>
        <w:tc>
          <w:tcPr>
            <w:tcW w:w="0" w:type="auto"/>
          </w:tcPr>
          <w:p w14:paraId="06F2A879" w14:textId="77777777" w:rsidR="006807C1" w:rsidRPr="00860424" w:rsidRDefault="006807C1" w:rsidP="00422A25">
            <w:pPr>
              <w:spacing w:line="360" w:lineRule="auto"/>
              <w:rPr>
                <w:rFonts w:cs="Times New Roman"/>
              </w:rPr>
            </w:pPr>
            <w:r w:rsidRPr="00860424">
              <w:rPr>
                <w:rFonts w:cs="Times New Roman"/>
              </w:rPr>
              <w:t>0.37</w:t>
            </w:r>
          </w:p>
        </w:tc>
      </w:tr>
      <w:tr w:rsidR="006807C1" w:rsidRPr="00860424" w14:paraId="0E4F8413" w14:textId="77777777" w:rsidTr="006807C1">
        <w:trPr>
          <w:jc w:val="center"/>
        </w:trPr>
        <w:tc>
          <w:tcPr>
            <w:tcW w:w="0" w:type="auto"/>
            <w:vMerge/>
            <w:tcBorders>
              <w:bottom w:val="single" w:sz="12" w:space="0" w:color="auto"/>
            </w:tcBorders>
            <w:vAlign w:val="center"/>
          </w:tcPr>
          <w:p w14:paraId="79E1AF7D" w14:textId="77777777" w:rsidR="006807C1" w:rsidRPr="00860424" w:rsidRDefault="006807C1" w:rsidP="00422A25">
            <w:pPr>
              <w:spacing w:line="360" w:lineRule="auto"/>
              <w:rPr>
                <w:rFonts w:cs="Times New Roman"/>
              </w:rPr>
            </w:pPr>
          </w:p>
        </w:tc>
        <w:tc>
          <w:tcPr>
            <w:tcW w:w="0" w:type="auto"/>
            <w:tcBorders>
              <w:bottom w:val="single" w:sz="12" w:space="0" w:color="auto"/>
            </w:tcBorders>
          </w:tcPr>
          <w:p w14:paraId="621635A9" w14:textId="77777777" w:rsidR="006807C1" w:rsidRPr="00860424" w:rsidRDefault="006807C1" w:rsidP="00422A25">
            <w:pPr>
              <w:spacing w:line="360" w:lineRule="auto"/>
              <w:rPr>
                <w:rFonts w:cs="Times New Roman"/>
              </w:rPr>
            </w:pPr>
            <w:r w:rsidRPr="00860424">
              <w:rPr>
                <w:rFonts w:cs="Times New Roman"/>
              </w:rPr>
              <w:t>20-30</w:t>
            </w:r>
          </w:p>
        </w:tc>
        <w:tc>
          <w:tcPr>
            <w:tcW w:w="0" w:type="auto"/>
            <w:tcBorders>
              <w:bottom w:val="single" w:sz="12" w:space="0" w:color="auto"/>
            </w:tcBorders>
          </w:tcPr>
          <w:p w14:paraId="091579ED" w14:textId="77777777" w:rsidR="006807C1" w:rsidRPr="00860424" w:rsidRDefault="006807C1" w:rsidP="00422A25">
            <w:pPr>
              <w:keepNext/>
              <w:spacing w:line="360" w:lineRule="auto"/>
              <w:rPr>
                <w:bCs/>
                <w:szCs w:val="18"/>
              </w:rPr>
            </w:pPr>
            <w:r w:rsidRPr="00860424">
              <w:rPr>
                <w:bCs/>
                <w:szCs w:val="18"/>
              </w:rPr>
              <w:t>5.91</w:t>
            </w:r>
          </w:p>
        </w:tc>
        <w:tc>
          <w:tcPr>
            <w:tcW w:w="0" w:type="auto"/>
            <w:tcBorders>
              <w:bottom w:val="single" w:sz="12" w:space="0" w:color="auto"/>
            </w:tcBorders>
          </w:tcPr>
          <w:p w14:paraId="17F3314C" w14:textId="77777777" w:rsidR="006807C1" w:rsidRPr="00860424" w:rsidRDefault="006807C1" w:rsidP="00422A25">
            <w:pPr>
              <w:keepNext/>
              <w:spacing w:line="360" w:lineRule="auto"/>
              <w:rPr>
                <w:bCs/>
                <w:szCs w:val="18"/>
              </w:rPr>
            </w:pPr>
            <w:r w:rsidRPr="00860424">
              <w:rPr>
                <w:bCs/>
                <w:szCs w:val="18"/>
              </w:rPr>
              <w:t>3.37</w:t>
            </w:r>
          </w:p>
        </w:tc>
        <w:tc>
          <w:tcPr>
            <w:tcW w:w="0" w:type="auto"/>
            <w:tcBorders>
              <w:bottom w:val="single" w:sz="12" w:space="0" w:color="auto"/>
            </w:tcBorders>
          </w:tcPr>
          <w:p w14:paraId="67B6ECED" w14:textId="77777777" w:rsidR="006807C1" w:rsidRPr="00860424" w:rsidRDefault="006807C1" w:rsidP="00422A25">
            <w:pPr>
              <w:spacing w:line="360" w:lineRule="auto"/>
              <w:rPr>
                <w:rFonts w:cs="Times New Roman"/>
              </w:rPr>
            </w:pPr>
            <w:r w:rsidRPr="00860424">
              <w:rPr>
                <w:rFonts w:cs="Times New Roman"/>
              </w:rPr>
              <w:t>1.69</w:t>
            </w:r>
          </w:p>
        </w:tc>
        <w:tc>
          <w:tcPr>
            <w:tcW w:w="0" w:type="auto"/>
            <w:tcBorders>
              <w:bottom w:val="single" w:sz="12" w:space="0" w:color="auto"/>
            </w:tcBorders>
          </w:tcPr>
          <w:p w14:paraId="6FAC2267" w14:textId="77777777" w:rsidR="006807C1" w:rsidRPr="00860424" w:rsidRDefault="006807C1" w:rsidP="00422A25">
            <w:pPr>
              <w:spacing w:line="360" w:lineRule="auto"/>
              <w:rPr>
                <w:rFonts w:cs="Times New Roman"/>
              </w:rPr>
            </w:pPr>
            <w:r w:rsidRPr="00860424">
              <w:rPr>
                <w:rFonts w:cs="Times New Roman"/>
              </w:rPr>
              <w:t>1.47</w:t>
            </w:r>
          </w:p>
        </w:tc>
        <w:tc>
          <w:tcPr>
            <w:tcW w:w="0" w:type="auto"/>
            <w:tcBorders>
              <w:bottom w:val="single" w:sz="12" w:space="0" w:color="auto"/>
            </w:tcBorders>
          </w:tcPr>
          <w:p w14:paraId="39B0AF3F" w14:textId="77777777" w:rsidR="006807C1" w:rsidRPr="00860424" w:rsidRDefault="006807C1" w:rsidP="00422A25">
            <w:pPr>
              <w:spacing w:line="360" w:lineRule="auto"/>
              <w:rPr>
                <w:rFonts w:cs="Times New Roman"/>
              </w:rPr>
            </w:pPr>
            <w:r w:rsidRPr="00860424">
              <w:rPr>
                <w:rFonts w:cs="Times New Roman"/>
              </w:rPr>
              <w:t>0.14</w:t>
            </w:r>
          </w:p>
        </w:tc>
        <w:tc>
          <w:tcPr>
            <w:tcW w:w="0" w:type="auto"/>
            <w:tcBorders>
              <w:bottom w:val="single" w:sz="12" w:space="0" w:color="auto"/>
            </w:tcBorders>
          </w:tcPr>
          <w:p w14:paraId="4A3FD808" w14:textId="77777777" w:rsidR="006807C1" w:rsidRPr="00860424" w:rsidRDefault="006807C1" w:rsidP="00422A25">
            <w:pPr>
              <w:spacing w:line="360" w:lineRule="auto"/>
              <w:rPr>
                <w:rFonts w:cs="Times New Roman"/>
              </w:rPr>
            </w:pPr>
            <w:r w:rsidRPr="00860424">
              <w:rPr>
                <w:rFonts w:cs="Times New Roman"/>
              </w:rPr>
              <w:t>0.17</w:t>
            </w:r>
          </w:p>
        </w:tc>
      </w:tr>
      <w:tr w:rsidR="006807C1" w:rsidRPr="00860424" w14:paraId="7A0C5C99" w14:textId="77777777" w:rsidTr="006807C1">
        <w:trPr>
          <w:jc w:val="center"/>
        </w:trPr>
        <w:tc>
          <w:tcPr>
            <w:tcW w:w="0" w:type="auto"/>
            <w:vMerge w:val="restart"/>
            <w:tcBorders>
              <w:top w:val="single" w:sz="12" w:space="0" w:color="auto"/>
            </w:tcBorders>
            <w:vAlign w:val="center"/>
          </w:tcPr>
          <w:p w14:paraId="1B8A863A" w14:textId="77777777" w:rsidR="006807C1" w:rsidRPr="00860424" w:rsidRDefault="006807C1" w:rsidP="00422A25">
            <w:pPr>
              <w:spacing w:line="360" w:lineRule="auto"/>
              <w:rPr>
                <w:rFonts w:cs="Times New Roman"/>
              </w:rPr>
            </w:pPr>
            <w:r w:rsidRPr="00860424">
              <w:rPr>
                <w:rFonts w:cs="Times New Roman"/>
              </w:rPr>
              <w:t>-N-P</w:t>
            </w:r>
          </w:p>
        </w:tc>
        <w:tc>
          <w:tcPr>
            <w:tcW w:w="0" w:type="auto"/>
            <w:tcBorders>
              <w:top w:val="single" w:sz="12" w:space="0" w:color="auto"/>
            </w:tcBorders>
          </w:tcPr>
          <w:p w14:paraId="2C4C10D3" w14:textId="77777777" w:rsidR="006807C1" w:rsidRPr="00860424" w:rsidRDefault="006807C1" w:rsidP="00422A25">
            <w:pPr>
              <w:spacing w:line="360" w:lineRule="auto"/>
              <w:rPr>
                <w:rFonts w:cs="Times New Roman"/>
              </w:rPr>
            </w:pPr>
            <w:r w:rsidRPr="00860424">
              <w:rPr>
                <w:rFonts w:cs="Times New Roman"/>
              </w:rPr>
              <w:t>0-10</w:t>
            </w:r>
          </w:p>
        </w:tc>
        <w:tc>
          <w:tcPr>
            <w:tcW w:w="0" w:type="auto"/>
            <w:tcBorders>
              <w:top w:val="single" w:sz="12" w:space="0" w:color="auto"/>
            </w:tcBorders>
          </w:tcPr>
          <w:p w14:paraId="7D2E3981" w14:textId="77777777" w:rsidR="006807C1" w:rsidRPr="00860424" w:rsidRDefault="006807C1" w:rsidP="00422A25">
            <w:pPr>
              <w:keepNext/>
              <w:spacing w:line="360" w:lineRule="auto"/>
              <w:rPr>
                <w:bCs/>
                <w:szCs w:val="18"/>
              </w:rPr>
            </w:pPr>
            <w:r w:rsidRPr="00860424">
              <w:rPr>
                <w:bCs/>
                <w:szCs w:val="18"/>
              </w:rPr>
              <w:t>6.52</w:t>
            </w:r>
          </w:p>
        </w:tc>
        <w:tc>
          <w:tcPr>
            <w:tcW w:w="0" w:type="auto"/>
            <w:tcBorders>
              <w:top w:val="single" w:sz="12" w:space="0" w:color="auto"/>
            </w:tcBorders>
          </w:tcPr>
          <w:p w14:paraId="7160F54F" w14:textId="77777777" w:rsidR="006807C1" w:rsidRPr="00860424" w:rsidRDefault="006807C1" w:rsidP="00422A25">
            <w:pPr>
              <w:keepNext/>
              <w:spacing w:line="360" w:lineRule="auto"/>
              <w:rPr>
                <w:bCs/>
                <w:szCs w:val="18"/>
              </w:rPr>
            </w:pPr>
            <w:r w:rsidRPr="00860424">
              <w:rPr>
                <w:bCs/>
                <w:szCs w:val="18"/>
              </w:rPr>
              <w:t>4.49</w:t>
            </w:r>
          </w:p>
        </w:tc>
        <w:tc>
          <w:tcPr>
            <w:tcW w:w="0" w:type="auto"/>
            <w:tcBorders>
              <w:top w:val="single" w:sz="12" w:space="0" w:color="auto"/>
            </w:tcBorders>
          </w:tcPr>
          <w:p w14:paraId="2FAFC3D2" w14:textId="77777777" w:rsidR="006807C1" w:rsidRPr="00860424" w:rsidRDefault="006807C1" w:rsidP="00422A25">
            <w:pPr>
              <w:spacing w:line="360" w:lineRule="auto"/>
              <w:rPr>
                <w:rFonts w:cs="Times New Roman"/>
              </w:rPr>
            </w:pPr>
            <w:r w:rsidRPr="00860424">
              <w:rPr>
                <w:rFonts w:cs="Times New Roman"/>
              </w:rPr>
              <w:t>4.95</w:t>
            </w:r>
          </w:p>
        </w:tc>
        <w:tc>
          <w:tcPr>
            <w:tcW w:w="0" w:type="auto"/>
            <w:tcBorders>
              <w:top w:val="single" w:sz="12" w:space="0" w:color="auto"/>
            </w:tcBorders>
          </w:tcPr>
          <w:p w14:paraId="04F82D54" w14:textId="77777777" w:rsidR="006807C1" w:rsidRPr="00860424" w:rsidRDefault="006807C1" w:rsidP="00422A25">
            <w:pPr>
              <w:spacing w:line="360" w:lineRule="auto"/>
              <w:rPr>
                <w:rFonts w:cs="Times New Roman"/>
              </w:rPr>
            </w:pPr>
            <w:r w:rsidRPr="00860424">
              <w:rPr>
                <w:rFonts w:cs="Times New Roman"/>
              </w:rPr>
              <w:t>4.69</w:t>
            </w:r>
          </w:p>
        </w:tc>
        <w:tc>
          <w:tcPr>
            <w:tcW w:w="0" w:type="auto"/>
            <w:tcBorders>
              <w:top w:val="single" w:sz="12" w:space="0" w:color="auto"/>
            </w:tcBorders>
          </w:tcPr>
          <w:p w14:paraId="3FEFA16B" w14:textId="77777777" w:rsidR="006807C1" w:rsidRPr="00860424" w:rsidRDefault="006807C1" w:rsidP="00422A25">
            <w:pPr>
              <w:spacing w:line="360" w:lineRule="auto"/>
              <w:rPr>
                <w:rFonts w:cs="Times New Roman"/>
              </w:rPr>
            </w:pPr>
            <w:r w:rsidRPr="00860424">
              <w:rPr>
                <w:rFonts w:cs="Times New Roman"/>
              </w:rPr>
              <w:t>0.45</w:t>
            </w:r>
          </w:p>
        </w:tc>
        <w:tc>
          <w:tcPr>
            <w:tcW w:w="0" w:type="auto"/>
            <w:tcBorders>
              <w:top w:val="single" w:sz="12" w:space="0" w:color="auto"/>
            </w:tcBorders>
          </w:tcPr>
          <w:p w14:paraId="67105EA9" w14:textId="77777777" w:rsidR="006807C1" w:rsidRPr="00860424" w:rsidRDefault="006807C1" w:rsidP="00422A25">
            <w:pPr>
              <w:spacing w:line="360" w:lineRule="auto"/>
              <w:rPr>
                <w:rFonts w:cs="Times New Roman"/>
              </w:rPr>
            </w:pPr>
            <w:r w:rsidRPr="00860424">
              <w:rPr>
                <w:rFonts w:cs="Times New Roman"/>
              </w:rPr>
              <w:t>0.42</w:t>
            </w:r>
          </w:p>
        </w:tc>
      </w:tr>
      <w:tr w:rsidR="006807C1" w:rsidRPr="00860424" w14:paraId="41851D53" w14:textId="77777777" w:rsidTr="006807C1">
        <w:trPr>
          <w:jc w:val="center"/>
        </w:trPr>
        <w:tc>
          <w:tcPr>
            <w:tcW w:w="0" w:type="auto"/>
            <w:vMerge/>
          </w:tcPr>
          <w:p w14:paraId="4749464E" w14:textId="77777777" w:rsidR="006807C1" w:rsidRPr="00860424" w:rsidRDefault="006807C1" w:rsidP="00422A25">
            <w:pPr>
              <w:spacing w:line="360" w:lineRule="auto"/>
              <w:rPr>
                <w:rFonts w:cs="Times New Roman"/>
              </w:rPr>
            </w:pPr>
          </w:p>
        </w:tc>
        <w:tc>
          <w:tcPr>
            <w:tcW w:w="0" w:type="auto"/>
          </w:tcPr>
          <w:p w14:paraId="611AE764" w14:textId="77777777" w:rsidR="006807C1" w:rsidRPr="00860424" w:rsidRDefault="006807C1" w:rsidP="00422A25">
            <w:pPr>
              <w:spacing w:line="360" w:lineRule="auto"/>
              <w:rPr>
                <w:rFonts w:cs="Times New Roman"/>
              </w:rPr>
            </w:pPr>
            <w:r w:rsidRPr="00860424">
              <w:rPr>
                <w:rFonts w:cs="Times New Roman"/>
              </w:rPr>
              <w:t>10-20</w:t>
            </w:r>
          </w:p>
        </w:tc>
        <w:tc>
          <w:tcPr>
            <w:tcW w:w="0" w:type="auto"/>
          </w:tcPr>
          <w:p w14:paraId="602BC4FD" w14:textId="77777777" w:rsidR="006807C1" w:rsidRPr="00860424" w:rsidRDefault="006807C1" w:rsidP="00422A25">
            <w:pPr>
              <w:keepNext/>
              <w:spacing w:line="360" w:lineRule="auto"/>
              <w:rPr>
                <w:bCs/>
                <w:szCs w:val="18"/>
              </w:rPr>
            </w:pPr>
            <w:r w:rsidRPr="00860424">
              <w:rPr>
                <w:bCs/>
                <w:szCs w:val="18"/>
              </w:rPr>
              <w:t>5.98</w:t>
            </w:r>
          </w:p>
        </w:tc>
        <w:tc>
          <w:tcPr>
            <w:tcW w:w="0" w:type="auto"/>
          </w:tcPr>
          <w:p w14:paraId="0A30F9B3" w14:textId="77777777" w:rsidR="006807C1" w:rsidRPr="00860424" w:rsidRDefault="006807C1" w:rsidP="00422A25">
            <w:pPr>
              <w:keepNext/>
              <w:spacing w:line="360" w:lineRule="auto"/>
              <w:rPr>
                <w:bCs/>
                <w:szCs w:val="18"/>
              </w:rPr>
            </w:pPr>
            <w:r w:rsidRPr="00860424">
              <w:rPr>
                <w:bCs/>
                <w:szCs w:val="18"/>
              </w:rPr>
              <w:t>4.35</w:t>
            </w:r>
          </w:p>
        </w:tc>
        <w:tc>
          <w:tcPr>
            <w:tcW w:w="0" w:type="auto"/>
          </w:tcPr>
          <w:p w14:paraId="13E80F10" w14:textId="77777777" w:rsidR="006807C1" w:rsidRPr="00860424" w:rsidRDefault="006807C1" w:rsidP="00422A25">
            <w:pPr>
              <w:spacing w:line="360" w:lineRule="auto"/>
              <w:rPr>
                <w:rFonts w:cs="Times New Roman"/>
              </w:rPr>
            </w:pPr>
            <w:r w:rsidRPr="00860424">
              <w:rPr>
                <w:rFonts w:cs="Times New Roman"/>
              </w:rPr>
              <w:t>3.21</w:t>
            </w:r>
          </w:p>
        </w:tc>
        <w:tc>
          <w:tcPr>
            <w:tcW w:w="0" w:type="auto"/>
          </w:tcPr>
          <w:p w14:paraId="489693C8" w14:textId="77777777" w:rsidR="006807C1" w:rsidRPr="00860424" w:rsidRDefault="006807C1" w:rsidP="00422A25">
            <w:pPr>
              <w:spacing w:line="360" w:lineRule="auto"/>
              <w:rPr>
                <w:rFonts w:cs="Times New Roman"/>
              </w:rPr>
            </w:pPr>
            <w:r w:rsidRPr="00860424">
              <w:rPr>
                <w:rFonts w:cs="Times New Roman"/>
              </w:rPr>
              <w:t>2.73</w:t>
            </w:r>
          </w:p>
        </w:tc>
        <w:tc>
          <w:tcPr>
            <w:tcW w:w="0" w:type="auto"/>
          </w:tcPr>
          <w:p w14:paraId="53B0379F" w14:textId="77777777" w:rsidR="006807C1" w:rsidRPr="00860424" w:rsidRDefault="006807C1" w:rsidP="00422A25">
            <w:pPr>
              <w:spacing w:line="360" w:lineRule="auto"/>
              <w:rPr>
                <w:rFonts w:cs="Times New Roman"/>
              </w:rPr>
            </w:pPr>
            <w:r w:rsidRPr="00860424">
              <w:rPr>
                <w:rFonts w:cs="Times New Roman"/>
              </w:rPr>
              <w:t>0.34</w:t>
            </w:r>
          </w:p>
        </w:tc>
        <w:tc>
          <w:tcPr>
            <w:tcW w:w="0" w:type="auto"/>
          </w:tcPr>
          <w:p w14:paraId="2A52B20B" w14:textId="77777777" w:rsidR="006807C1" w:rsidRPr="00860424" w:rsidRDefault="006807C1" w:rsidP="00422A25">
            <w:pPr>
              <w:spacing w:line="360" w:lineRule="auto"/>
              <w:rPr>
                <w:rFonts w:cs="Times New Roman"/>
              </w:rPr>
            </w:pPr>
            <w:r w:rsidRPr="00860424">
              <w:rPr>
                <w:rFonts w:cs="Times New Roman"/>
              </w:rPr>
              <w:t>0.28</w:t>
            </w:r>
          </w:p>
        </w:tc>
      </w:tr>
      <w:tr w:rsidR="006807C1" w:rsidRPr="00860424" w14:paraId="1FCE9D07" w14:textId="77777777" w:rsidTr="006807C1">
        <w:trPr>
          <w:jc w:val="center"/>
        </w:trPr>
        <w:tc>
          <w:tcPr>
            <w:tcW w:w="0" w:type="auto"/>
            <w:vMerge/>
          </w:tcPr>
          <w:p w14:paraId="2AC2BE03" w14:textId="77777777" w:rsidR="006807C1" w:rsidRPr="00860424" w:rsidRDefault="006807C1" w:rsidP="00422A25">
            <w:pPr>
              <w:spacing w:line="360" w:lineRule="auto"/>
              <w:rPr>
                <w:rFonts w:cs="Times New Roman"/>
              </w:rPr>
            </w:pPr>
          </w:p>
        </w:tc>
        <w:tc>
          <w:tcPr>
            <w:tcW w:w="0" w:type="auto"/>
          </w:tcPr>
          <w:p w14:paraId="0C005029" w14:textId="77777777" w:rsidR="006807C1" w:rsidRPr="00860424" w:rsidRDefault="006807C1" w:rsidP="00422A25">
            <w:pPr>
              <w:spacing w:line="360" w:lineRule="auto"/>
              <w:rPr>
                <w:rFonts w:cs="Times New Roman"/>
              </w:rPr>
            </w:pPr>
            <w:r w:rsidRPr="00860424">
              <w:rPr>
                <w:rFonts w:cs="Times New Roman"/>
              </w:rPr>
              <w:t>20-30</w:t>
            </w:r>
          </w:p>
        </w:tc>
        <w:tc>
          <w:tcPr>
            <w:tcW w:w="0" w:type="auto"/>
          </w:tcPr>
          <w:p w14:paraId="030FEAEC" w14:textId="77777777" w:rsidR="006807C1" w:rsidRPr="00860424" w:rsidRDefault="006807C1" w:rsidP="00422A25">
            <w:pPr>
              <w:keepNext/>
              <w:spacing w:line="360" w:lineRule="auto"/>
              <w:rPr>
                <w:bCs/>
                <w:szCs w:val="18"/>
              </w:rPr>
            </w:pPr>
            <w:r w:rsidRPr="00860424">
              <w:rPr>
                <w:bCs/>
                <w:szCs w:val="18"/>
              </w:rPr>
              <w:t>5.95</w:t>
            </w:r>
          </w:p>
        </w:tc>
        <w:tc>
          <w:tcPr>
            <w:tcW w:w="0" w:type="auto"/>
          </w:tcPr>
          <w:p w14:paraId="14B411CA" w14:textId="77777777" w:rsidR="006807C1" w:rsidRPr="00860424" w:rsidRDefault="006807C1" w:rsidP="00422A25">
            <w:pPr>
              <w:keepNext/>
              <w:spacing w:line="360" w:lineRule="auto"/>
              <w:rPr>
                <w:bCs/>
                <w:szCs w:val="18"/>
              </w:rPr>
            </w:pPr>
            <w:r w:rsidRPr="00860424">
              <w:rPr>
                <w:bCs/>
                <w:szCs w:val="18"/>
              </w:rPr>
              <w:t>4.74</w:t>
            </w:r>
          </w:p>
        </w:tc>
        <w:tc>
          <w:tcPr>
            <w:tcW w:w="0" w:type="auto"/>
          </w:tcPr>
          <w:p w14:paraId="5B1B32BF" w14:textId="77777777" w:rsidR="006807C1" w:rsidRPr="00860424" w:rsidRDefault="006807C1" w:rsidP="00422A25">
            <w:pPr>
              <w:spacing w:line="360" w:lineRule="auto"/>
              <w:rPr>
                <w:rFonts w:cs="Times New Roman"/>
              </w:rPr>
            </w:pPr>
            <w:r w:rsidRPr="00860424">
              <w:rPr>
                <w:rFonts w:cs="Times New Roman"/>
              </w:rPr>
              <w:t>1.60</w:t>
            </w:r>
          </w:p>
        </w:tc>
        <w:tc>
          <w:tcPr>
            <w:tcW w:w="0" w:type="auto"/>
          </w:tcPr>
          <w:p w14:paraId="3D76BB5A" w14:textId="77777777" w:rsidR="006807C1" w:rsidRPr="00860424" w:rsidRDefault="006807C1" w:rsidP="00422A25">
            <w:pPr>
              <w:spacing w:line="360" w:lineRule="auto"/>
              <w:rPr>
                <w:rFonts w:cs="Times New Roman"/>
              </w:rPr>
            </w:pPr>
            <w:r w:rsidRPr="00860424">
              <w:rPr>
                <w:rFonts w:cs="Times New Roman"/>
              </w:rPr>
              <w:t>1.33</w:t>
            </w:r>
          </w:p>
        </w:tc>
        <w:tc>
          <w:tcPr>
            <w:tcW w:w="0" w:type="auto"/>
          </w:tcPr>
          <w:p w14:paraId="0EFE501A" w14:textId="77777777" w:rsidR="006807C1" w:rsidRPr="00860424" w:rsidRDefault="006807C1" w:rsidP="00422A25">
            <w:pPr>
              <w:spacing w:line="360" w:lineRule="auto"/>
              <w:rPr>
                <w:rFonts w:cs="Times New Roman"/>
              </w:rPr>
            </w:pPr>
            <w:r w:rsidRPr="00860424">
              <w:rPr>
                <w:rFonts w:cs="Times New Roman"/>
              </w:rPr>
              <w:t>0.19</w:t>
            </w:r>
          </w:p>
        </w:tc>
        <w:tc>
          <w:tcPr>
            <w:tcW w:w="0" w:type="auto"/>
          </w:tcPr>
          <w:p w14:paraId="4D53B835" w14:textId="77777777" w:rsidR="006807C1" w:rsidRPr="00860424" w:rsidRDefault="006807C1" w:rsidP="00422A25">
            <w:pPr>
              <w:spacing w:line="360" w:lineRule="auto"/>
              <w:rPr>
                <w:rFonts w:cs="Times New Roman"/>
              </w:rPr>
            </w:pPr>
            <w:r w:rsidRPr="00860424">
              <w:rPr>
                <w:rFonts w:cs="Times New Roman"/>
              </w:rPr>
              <w:t>0.18</w:t>
            </w:r>
          </w:p>
        </w:tc>
      </w:tr>
    </w:tbl>
    <w:p w14:paraId="29524FF3" w14:textId="77777777" w:rsidR="00804743" w:rsidRDefault="00804743" w:rsidP="00804743">
      <w:pPr>
        <w:widowControl w:val="0"/>
        <w:autoSpaceDE w:val="0"/>
        <w:autoSpaceDN w:val="0"/>
        <w:adjustRightInd w:val="0"/>
        <w:spacing w:line="360" w:lineRule="auto"/>
        <w:sectPr w:rsidR="00804743" w:rsidSect="00804743">
          <w:pgSz w:w="11906" w:h="16838"/>
          <w:pgMar w:top="1440" w:right="1440" w:bottom="1440" w:left="1440" w:header="708" w:footer="708" w:gutter="0"/>
          <w:lnNumType w:countBy="1" w:restart="continuous"/>
          <w:cols w:space="708"/>
          <w:docGrid w:linePitch="360"/>
        </w:sectPr>
      </w:pPr>
    </w:p>
    <w:p w14:paraId="362AB055" w14:textId="0CE3408E" w:rsidR="00587A3D" w:rsidRPr="00587A3D" w:rsidRDefault="00587A3D" w:rsidP="00804743">
      <w:pPr>
        <w:widowControl w:val="0"/>
        <w:autoSpaceDE w:val="0"/>
        <w:autoSpaceDN w:val="0"/>
        <w:adjustRightInd w:val="0"/>
        <w:spacing w:line="360" w:lineRule="auto"/>
      </w:pPr>
      <w:r w:rsidRPr="00587A3D">
        <w:lastRenderedPageBreak/>
        <w:t>Table 2</w:t>
      </w:r>
    </w:p>
    <w:tbl>
      <w:tblPr>
        <w:tblStyle w:val="TableGrid1"/>
        <w:tblW w:w="5000" w:type="pct"/>
        <w:jc w:val="center"/>
        <w:tblLook w:val="04A0" w:firstRow="1" w:lastRow="0" w:firstColumn="1" w:lastColumn="0" w:noHBand="0" w:noVBand="1"/>
      </w:tblPr>
      <w:tblGrid>
        <w:gridCol w:w="1384"/>
        <w:gridCol w:w="1007"/>
        <w:gridCol w:w="745"/>
        <w:gridCol w:w="759"/>
        <w:gridCol w:w="745"/>
        <w:gridCol w:w="753"/>
        <w:gridCol w:w="756"/>
        <w:gridCol w:w="876"/>
        <w:gridCol w:w="756"/>
        <w:gridCol w:w="901"/>
        <w:gridCol w:w="748"/>
        <w:gridCol w:w="904"/>
        <w:gridCol w:w="764"/>
        <w:gridCol w:w="764"/>
        <w:gridCol w:w="1057"/>
        <w:gridCol w:w="1029"/>
      </w:tblGrid>
      <w:tr w:rsidR="00587A3D" w:rsidRPr="00860424" w14:paraId="06FE6554" w14:textId="77777777" w:rsidTr="00422A25">
        <w:trPr>
          <w:jc w:val="center"/>
        </w:trPr>
        <w:tc>
          <w:tcPr>
            <w:tcW w:w="496" w:type="pct"/>
          </w:tcPr>
          <w:p w14:paraId="6989A403" w14:textId="77777777" w:rsidR="00587A3D" w:rsidRPr="00860424" w:rsidRDefault="00587A3D" w:rsidP="00422A25">
            <w:pPr>
              <w:spacing w:line="360" w:lineRule="auto"/>
              <w:rPr>
                <w:rFonts w:cs="Times New Roman"/>
                <w:b/>
              </w:rPr>
            </w:pPr>
            <w:r w:rsidRPr="00860424">
              <w:rPr>
                <w:rFonts w:cs="Times New Roman"/>
                <w:b/>
              </w:rPr>
              <w:t>Treatment</w:t>
            </w:r>
          </w:p>
        </w:tc>
        <w:tc>
          <w:tcPr>
            <w:tcW w:w="361" w:type="pct"/>
            <w:vAlign w:val="center"/>
          </w:tcPr>
          <w:p w14:paraId="6065EE44" w14:textId="77777777" w:rsidR="00587A3D" w:rsidRPr="00860424" w:rsidRDefault="00587A3D" w:rsidP="00422A25">
            <w:pPr>
              <w:spacing w:line="360" w:lineRule="auto"/>
              <w:jc w:val="center"/>
              <w:rPr>
                <w:rFonts w:cs="Times New Roman"/>
                <w:b/>
              </w:rPr>
            </w:pPr>
            <w:r w:rsidRPr="00860424">
              <w:rPr>
                <w:rFonts w:cs="Times New Roman"/>
                <w:b/>
              </w:rPr>
              <w:t>Depth (cm)</w:t>
            </w:r>
          </w:p>
        </w:tc>
        <w:tc>
          <w:tcPr>
            <w:tcW w:w="539" w:type="pct"/>
            <w:gridSpan w:val="2"/>
          </w:tcPr>
          <w:p w14:paraId="4172851D" w14:textId="77777777" w:rsidR="00587A3D" w:rsidRPr="00860424" w:rsidRDefault="00587A3D" w:rsidP="00422A25">
            <w:pPr>
              <w:spacing w:line="360" w:lineRule="auto"/>
              <w:jc w:val="center"/>
              <w:rPr>
                <w:rFonts w:cs="Times New Roman"/>
                <w:b/>
              </w:rPr>
            </w:pPr>
            <w:r>
              <w:rPr>
                <w:rFonts w:cs="Times New Roman"/>
                <w:b/>
              </w:rPr>
              <w:t>Resin P</w:t>
            </w:r>
          </w:p>
        </w:tc>
        <w:tc>
          <w:tcPr>
            <w:tcW w:w="537" w:type="pct"/>
            <w:gridSpan w:val="2"/>
          </w:tcPr>
          <w:p w14:paraId="61697E47" w14:textId="77777777" w:rsidR="00587A3D" w:rsidRPr="00860424" w:rsidRDefault="00587A3D" w:rsidP="00422A25">
            <w:pPr>
              <w:spacing w:line="360" w:lineRule="auto"/>
              <w:jc w:val="center"/>
              <w:rPr>
                <w:rFonts w:cs="Times New Roman"/>
                <w:b/>
              </w:rPr>
            </w:pPr>
            <w:r>
              <w:rPr>
                <w:rFonts w:cs="Times New Roman"/>
                <w:b/>
              </w:rPr>
              <w:t>Microbial P</w:t>
            </w:r>
          </w:p>
        </w:tc>
        <w:tc>
          <w:tcPr>
            <w:tcW w:w="585" w:type="pct"/>
            <w:gridSpan w:val="2"/>
          </w:tcPr>
          <w:p w14:paraId="271E5458" w14:textId="77777777" w:rsidR="00587A3D" w:rsidRPr="00860424" w:rsidRDefault="00587A3D" w:rsidP="00422A25">
            <w:pPr>
              <w:spacing w:line="360" w:lineRule="auto"/>
              <w:jc w:val="center"/>
              <w:rPr>
                <w:rFonts w:cs="Times New Roman"/>
                <w:b/>
              </w:rPr>
            </w:pPr>
            <w:r>
              <w:rPr>
                <w:rFonts w:cs="Times New Roman"/>
                <w:b/>
              </w:rPr>
              <w:t>NaOH-EDTA Pi</w:t>
            </w:r>
          </w:p>
        </w:tc>
        <w:tc>
          <w:tcPr>
            <w:tcW w:w="594" w:type="pct"/>
            <w:gridSpan w:val="2"/>
          </w:tcPr>
          <w:p w14:paraId="519672AF" w14:textId="77777777" w:rsidR="00587A3D" w:rsidRPr="00860424" w:rsidRDefault="00587A3D" w:rsidP="00422A25">
            <w:pPr>
              <w:spacing w:line="360" w:lineRule="auto"/>
              <w:jc w:val="center"/>
              <w:rPr>
                <w:rFonts w:cs="Times New Roman"/>
                <w:b/>
              </w:rPr>
            </w:pPr>
            <w:proofErr w:type="spellStart"/>
            <w:r>
              <w:rPr>
                <w:rFonts w:cs="Times New Roman"/>
                <w:b/>
              </w:rPr>
              <w:t>NaOH</w:t>
            </w:r>
            <w:proofErr w:type="spellEnd"/>
            <w:r>
              <w:rPr>
                <w:rFonts w:cs="Times New Roman"/>
                <w:b/>
              </w:rPr>
              <w:t xml:space="preserve">-EDTA </w:t>
            </w:r>
            <w:proofErr w:type="spellStart"/>
            <w:r>
              <w:rPr>
                <w:rFonts w:cs="Times New Roman"/>
                <w:b/>
              </w:rPr>
              <w:t>P</w:t>
            </w:r>
            <w:r w:rsidRPr="008F2AA5">
              <w:rPr>
                <w:rFonts w:cs="Times New Roman"/>
                <w:b/>
                <w:vertAlign w:val="subscript"/>
              </w:rPr>
              <w:t>org</w:t>
            </w:r>
            <w:proofErr w:type="spellEnd"/>
          </w:p>
        </w:tc>
        <w:tc>
          <w:tcPr>
            <w:tcW w:w="592" w:type="pct"/>
            <w:gridSpan w:val="2"/>
          </w:tcPr>
          <w:p w14:paraId="13BA7EB1" w14:textId="77777777" w:rsidR="00587A3D" w:rsidRPr="00860424" w:rsidRDefault="00587A3D" w:rsidP="00422A25">
            <w:pPr>
              <w:spacing w:line="360" w:lineRule="auto"/>
              <w:jc w:val="center"/>
              <w:rPr>
                <w:rFonts w:cs="Times New Roman"/>
                <w:b/>
              </w:rPr>
            </w:pPr>
            <w:r>
              <w:rPr>
                <w:rFonts w:cs="Times New Roman"/>
                <w:b/>
              </w:rPr>
              <w:t>HCl P</w:t>
            </w:r>
          </w:p>
        </w:tc>
        <w:tc>
          <w:tcPr>
            <w:tcW w:w="548" w:type="pct"/>
            <w:gridSpan w:val="2"/>
          </w:tcPr>
          <w:p w14:paraId="749AFAFA" w14:textId="77777777" w:rsidR="00587A3D" w:rsidRPr="00860424" w:rsidRDefault="00587A3D" w:rsidP="00422A25">
            <w:pPr>
              <w:spacing w:line="360" w:lineRule="auto"/>
              <w:jc w:val="center"/>
              <w:rPr>
                <w:rFonts w:cs="Times New Roman"/>
                <w:b/>
              </w:rPr>
            </w:pPr>
            <w:r>
              <w:rPr>
                <w:rFonts w:cs="Times New Roman"/>
                <w:b/>
              </w:rPr>
              <w:t>Residual P</w:t>
            </w:r>
          </w:p>
        </w:tc>
        <w:tc>
          <w:tcPr>
            <w:tcW w:w="748" w:type="pct"/>
            <w:gridSpan w:val="2"/>
          </w:tcPr>
          <w:p w14:paraId="789B4F3D" w14:textId="77777777" w:rsidR="00587A3D" w:rsidRPr="00860424" w:rsidRDefault="00587A3D" w:rsidP="00422A25">
            <w:pPr>
              <w:spacing w:line="360" w:lineRule="auto"/>
              <w:jc w:val="center"/>
              <w:rPr>
                <w:rFonts w:cs="Times New Roman"/>
                <w:b/>
              </w:rPr>
            </w:pPr>
            <w:r w:rsidRPr="00860424">
              <w:rPr>
                <w:rFonts w:cs="Times New Roman"/>
                <w:b/>
              </w:rPr>
              <w:t>Total P</w:t>
            </w:r>
          </w:p>
          <w:p w14:paraId="793BD244" w14:textId="77777777" w:rsidR="00587A3D" w:rsidRPr="00860424" w:rsidRDefault="00587A3D" w:rsidP="00422A25">
            <w:pPr>
              <w:spacing w:line="360" w:lineRule="auto"/>
              <w:jc w:val="center"/>
              <w:rPr>
                <w:rFonts w:cs="Times New Roman"/>
                <w:b/>
              </w:rPr>
            </w:pPr>
          </w:p>
        </w:tc>
      </w:tr>
      <w:tr w:rsidR="00587A3D" w:rsidRPr="00860424" w14:paraId="0411EF42" w14:textId="77777777" w:rsidTr="00422A25">
        <w:trPr>
          <w:jc w:val="center"/>
        </w:trPr>
        <w:tc>
          <w:tcPr>
            <w:tcW w:w="496" w:type="pct"/>
            <w:tcBorders>
              <w:bottom w:val="single" w:sz="12" w:space="0" w:color="auto"/>
            </w:tcBorders>
          </w:tcPr>
          <w:p w14:paraId="68820D46" w14:textId="77777777" w:rsidR="00587A3D" w:rsidRPr="00860424" w:rsidRDefault="00587A3D" w:rsidP="00422A25">
            <w:pPr>
              <w:spacing w:line="360" w:lineRule="auto"/>
              <w:rPr>
                <w:rFonts w:cs="Times New Roman"/>
              </w:rPr>
            </w:pPr>
          </w:p>
        </w:tc>
        <w:tc>
          <w:tcPr>
            <w:tcW w:w="361" w:type="pct"/>
            <w:tcBorders>
              <w:bottom w:val="single" w:sz="12" w:space="0" w:color="auto"/>
            </w:tcBorders>
          </w:tcPr>
          <w:p w14:paraId="60441463" w14:textId="77777777" w:rsidR="00587A3D" w:rsidRPr="00860424" w:rsidRDefault="00587A3D" w:rsidP="00422A25">
            <w:pPr>
              <w:spacing w:line="360" w:lineRule="auto"/>
              <w:rPr>
                <w:rFonts w:cs="Times New Roman"/>
              </w:rPr>
            </w:pPr>
          </w:p>
        </w:tc>
        <w:tc>
          <w:tcPr>
            <w:tcW w:w="267" w:type="pct"/>
          </w:tcPr>
          <w:p w14:paraId="2ECF11A0" w14:textId="77777777" w:rsidR="00587A3D" w:rsidRPr="00860424" w:rsidRDefault="00587A3D" w:rsidP="00422A25">
            <w:pPr>
              <w:spacing w:line="360" w:lineRule="auto"/>
              <w:rPr>
                <w:rFonts w:cs="Times New Roman"/>
              </w:rPr>
            </w:pPr>
            <w:r w:rsidRPr="00860424">
              <w:rPr>
                <w:rFonts w:cs="Times New Roman"/>
              </w:rPr>
              <w:t>+L</w:t>
            </w:r>
          </w:p>
        </w:tc>
        <w:tc>
          <w:tcPr>
            <w:tcW w:w="272" w:type="pct"/>
          </w:tcPr>
          <w:p w14:paraId="58E40409" w14:textId="77777777" w:rsidR="00587A3D" w:rsidRPr="00860424" w:rsidRDefault="00587A3D" w:rsidP="00422A25">
            <w:pPr>
              <w:spacing w:line="360" w:lineRule="auto"/>
              <w:rPr>
                <w:rFonts w:cs="Times New Roman"/>
              </w:rPr>
            </w:pPr>
            <w:r w:rsidRPr="00860424">
              <w:rPr>
                <w:rFonts w:cs="Times New Roman"/>
              </w:rPr>
              <w:t>-L</w:t>
            </w:r>
          </w:p>
        </w:tc>
        <w:tc>
          <w:tcPr>
            <w:tcW w:w="267" w:type="pct"/>
          </w:tcPr>
          <w:p w14:paraId="3E7BB01A" w14:textId="77777777" w:rsidR="00587A3D" w:rsidRPr="00860424" w:rsidRDefault="00587A3D" w:rsidP="00422A25">
            <w:pPr>
              <w:spacing w:line="360" w:lineRule="auto"/>
              <w:rPr>
                <w:rFonts w:cs="Times New Roman"/>
              </w:rPr>
            </w:pPr>
            <w:r w:rsidRPr="00860424">
              <w:rPr>
                <w:rFonts w:cs="Times New Roman"/>
              </w:rPr>
              <w:t>+L</w:t>
            </w:r>
          </w:p>
        </w:tc>
        <w:tc>
          <w:tcPr>
            <w:tcW w:w="270" w:type="pct"/>
          </w:tcPr>
          <w:p w14:paraId="2A1F9F54" w14:textId="77777777" w:rsidR="00587A3D" w:rsidRPr="00860424" w:rsidRDefault="00587A3D" w:rsidP="00422A25">
            <w:pPr>
              <w:spacing w:line="360" w:lineRule="auto"/>
              <w:rPr>
                <w:rFonts w:cs="Times New Roman"/>
              </w:rPr>
            </w:pPr>
            <w:r w:rsidRPr="00860424">
              <w:rPr>
                <w:rFonts w:cs="Times New Roman"/>
              </w:rPr>
              <w:t>-L</w:t>
            </w:r>
          </w:p>
        </w:tc>
        <w:tc>
          <w:tcPr>
            <w:tcW w:w="271" w:type="pct"/>
          </w:tcPr>
          <w:p w14:paraId="1A3010BE" w14:textId="77777777" w:rsidR="00587A3D" w:rsidRPr="00860424" w:rsidRDefault="00587A3D" w:rsidP="00422A25">
            <w:pPr>
              <w:spacing w:line="360" w:lineRule="auto"/>
              <w:rPr>
                <w:rFonts w:cs="Times New Roman"/>
              </w:rPr>
            </w:pPr>
            <w:r w:rsidRPr="00860424">
              <w:rPr>
                <w:rFonts w:cs="Times New Roman"/>
              </w:rPr>
              <w:t>+L</w:t>
            </w:r>
          </w:p>
        </w:tc>
        <w:tc>
          <w:tcPr>
            <w:tcW w:w="314" w:type="pct"/>
          </w:tcPr>
          <w:p w14:paraId="40FEF77B" w14:textId="77777777" w:rsidR="00587A3D" w:rsidRPr="00860424" w:rsidRDefault="00587A3D" w:rsidP="00422A25">
            <w:pPr>
              <w:spacing w:line="360" w:lineRule="auto"/>
              <w:rPr>
                <w:rFonts w:cs="Times New Roman"/>
              </w:rPr>
            </w:pPr>
            <w:r w:rsidRPr="00860424">
              <w:rPr>
                <w:rFonts w:cs="Times New Roman"/>
              </w:rPr>
              <w:t>-L</w:t>
            </w:r>
          </w:p>
        </w:tc>
        <w:tc>
          <w:tcPr>
            <w:tcW w:w="271" w:type="pct"/>
            <w:tcBorders>
              <w:bottom w:val="single" w:sz="12" w:space="0" w:color="auto"/>
            </w:tcBorders>
          </w:tcPr>
          <w:p w14:paraId="1068F4D7" w14:textId="77777777" w:rsidR="00587A3D" w:rsidRPr="00860424" w:rsidRDefault="00587A3D" w:rsidP="00422A25">
            <w:pPr>
              <w:spacing w:line="360" w:lineRule="auto"/>
              <w:rPr>
                <w:rFonts w:cs="Times New Roman"/>
              </w:rPr>
            </w:pPr>
            <w:r w:rsidRPr="00860424">
              <w:rPr>
                <w:rFonts w:cs="Times New Roman"/>
              </w:rPr>
              <w:t>+L</w:t>
            </w:r>
          </w:p>
        </w:tc>
        <w:tc>
          <w:tcPr>
            <w:tcW w:w="323" w:type="pct"/>
            <w:tcBorders>
              <w:bottom w:val="single" w:sz="12" w:space="0" w:color="auto"/>
            </w:tcBorders>
          </w:tcPr>
          <w:p w14:paraId="258596B4" w14:textId="77777777" w:rsidR="00587A3D" w:rsidRPr="00860424" w:rsidRDefault="00587A3D" w:rsidP="00422A25">
            <w:pPr>
              <w:spacing w:line="360" w:lineRule="auto"/>
              <w:rPr>
                <w:rFonts w:cs="Times New Roman"/>
              </w:rPr>
            </w:pPr>
            <w:r w:rsidRPr="00860424">
              <w:rPr>
                <w:rFonts w:cs="Times New Roman"/>
              </w:rPr>
              <w:t>-L</w:t>
            </w:r>
          </w:p>
        </w:tc>
        <w:tc>
          <w:tcPr>
            <w:tcW w:w="268" w:type="pct"/>
            <w:tcBorders>
              <w:bottom w:val="single" w:sz="12" w:space="0" w:color="auto"/>
            </w:tcBorders>
          </w:tcPr>
          <w:p w14:paraId="10F32C85" w14:textId="77777777" w:rsidR="00587A3D" w:rsidRPr="00860424" w:rsidRDefault="00587A3D" w:rsidP="00422A25">
            <w:pPr>
              <w:spacing w:line="360" w:lineRule="auto"/>
              <w:rPr>
                <w:rFonts w:cs="Times New Roman"/>
              </w:rPr>
            </w:pPr>
            <w:r w:rsidRPr="00860424">
              <w:t>+L</w:t>
            </w:r>
          </w:p>
        </w:tc>
        <w:tc>
          <w:tcPr>
            <w:tcW w:w="324" w:type="pct"/>
            <w:tcBorders>
              <w:bottom w:val="single" w:sz="12" w:space="0" w:color="auto"/>
            </w:tcBorders>
          </w:tcPr>
          <w:p w14:paraId="5BFF9579" w14:textId="77777777" w:rsidR="00587A3D" w:rsidRPr="00860424" w:rsidRDefault="00587A3D" w:rsidP="00422A25">
            <w:pPr>
              <w:spacing w:line="360" w:lineRule="auto"/>
              <w:rPr>
                <w:rFonts w:cs="Times New Roman"/>
              </w:rPr>
            </w:pPr>
            <w:r w:rsidRPr="00860424">
              <w:t>-L</w:t>
            </w:r>
          </w:p>
        </w:tc>
        <w:tc>
          <w:tcPr>
            <w:tcW w:w="274" w:type="pct"/>
            <w:tcBorders>
              <w:bottom w:val="single" w:sz="12" w:space="0" w:color="auto"/>
            </w:tcBorders>
          </w:tcPr>
          <w:p w14:paraId="771634C5" w14:textId="77777777" w:rsidR="00587A3D" w:rsidRPr="00860424" w:rsidRDefault="00587A3D" w:rsidP="00422A25">
            <w:pPr>
              <w:spacing w:line="360" w:lineRule="auto"/>
              <w:rPr>
                <w:rFonts w:cs="Times New Roman"/>
              </w:rPr>
            </w:pPr>
            <w:r w:rsidRPr="00860424">
              <w:t>+L</w:t>
            </w:r>
          </w:p>
        </w:tc>
        <w:tc>
          <w:tcPr>
            <w:tcW w:w="274" w:type="pct"/>
            <w:tcBorders>
              <w:bottom w:val="single" w:sz="12" w:space="0" w:color="auto"/>
            </w:tcBorders>
          </w:tcPr>
          <w:p w14:paraId="29F36666" w14:textId="77777777" w:rsidR="00587A3D" w:rsidRPr="00860424" w:rsidRDefault="00587A3D" w:rsidP="00422A25">
            <w:pPr>
              <w:spacing w:line="360" w:lineRule="auto"/>
              <w:rPr>
                <w:rFonts w:cs="Times New Roman"/>
              </w:rPr>
            </w:pPr>
            <w:r w:rsidRPr="00860424">
              <w:t>-L</w:t>
            </w:r>
          </w:p>
        </w:tc>
        <w:tc>
          <w:tcPr>
            <w:tcW w:w="379" w:type="pct"/>
            <w:tcBorders>
              <w:bottom w:val="single" w:sz="12" w:space="0" w:color="auto"/>
            </w:tcBorders>
          </w:tcPr>
          <w:p w14:paraId="79AC2234" w14:textId="77777777" w:rsidR="00587A3D" w:rsidRPr="00860424" w:rsidRDefault="00587A3D" w:rsidP="00422A25">
            <w:pPr>
              <w:spacing w:line="360" w:lineRule="auto"/>
            </w:pPr>
            <w:r w:rsidRPr="00860424">
              <w:t>+L</w:t>
            </w:r>
          </w:p>
        </w:tc>
        <w:tc>
          <w:tcPr>
            <w:tcW w:w="369" w:type="pct"/>
            <w:tcBorders>
              <w:bottom w:val="single" w:sz="12" w:space="0" w:color="auto"/>
            </w:tcBorders>
          </w:tcPr>
          <w:p w14:paraId="5BA92C36" w14:textId="77777777" w:rsidR="00587A3D" w:rsidRPr="00860424" w:rsidRDefault="00587A3D" w:rsidP="00422A25">
            <w:pPr>
              <w:spacing w:line="360" w:lineRule="auto"/>
            </w:pPr>
            <w:r w:rsidRPr="00860424">
              <w:t>-L</w:t>
            </w:r>
          </w:p>
        </w:tc>
      </w:tr>
      <w:tr w:rsidR="00587A3D" w:rsidRPr="00860424" w14:paraId="533BCC29" w14:textId="77777777" w:rsidTr="00422A25">
        <w:trPr>
          <w:jc w:val="center"/>
        </w:trPr>
        <w:tc>
          <w:tcPr>
            <w:tcW w:w="496" w:type="pct"/>
            <w:vMerge w:val="restart"/>
            <w:tcBorders>
              <w:top w:val="single" w:sz="12" w:space="0" w:color="auto"/>
            </w:tcBorders>
            <w:vAlign w:val="center"/>
          </w:tcPr>
          <w:p w14:paraId="3F147013" w14:textId="77777777" w:rsidR="00587A3D" w:rsidRPr="00860424" w:rsidRDefault="00587A3D" w:rsidP="00422A25">
            <w:pPr>
              <w:spacing w:line="360" w:lineRule="auto"/>
              <w:rPr>
                <w:rFonts w:cs="Times New Roman"/>
              </w:rPr>
            </w:pPr>
            <w:r w:rsidRPr="00860424">
              <w:rPr>
                <w:rFonts w:cs="Times New Roman"/>
              </w:rPr>
              <w:t>-N+P</w:t>
            </w:r>
          </w:p>
          <w:p w14:paraId="0E1C4C1E" w14:textId="77777777" w:rsidR="00587A3D" w:rsidRPr="00860424" w:rsidRDefault="00587A3D" w:rsidP="00422A25">
            <w:pPr>
              <w:spacing w:line="360" w:lineRule="auto"/>
              <w:rPr>
                <w:rFonts w:cs="Times New Roman"/>
              </w:rPr>
            </w:pPr>
          </w:p>
        </w:tc>
        <w:tc>
          <w:tcPr>
            <w:tcW w:w="361" w:type="pct"/>
            <w:tcBorders>
              <w:top w:val="single" w:sz="12" w:space="0" w:color="auto"/>
            </w:tcBorders>
          </w:tcPr>
          <w:p w14:paraId="6EA0CBC0" w14:textId="77777777" w:rsidR="00587A3D" w:rsidRPr="00860424" w:rsidRDefault="00587A3D" w:rsidP="00422A25">
            <w:pPr>
              <w:spacing w:line="360" w:lineRule="auto"/>
              <w:rPr>
                <w:rFonts w:cs="Times New Roman"/>
              </w:rPr>
            </w:pPr>
            <w:r w:rsidRPr="00860424">
              <w:rPr>
                <w:rFonts w:cs="Times New Roman"/>
              </w:rPr>
              <w:t>0-10</w:t>
            </w:r>
          </w:p>
        </w:tc>
        <w:tc>
          <w:tcPr>
            <w:tcW w:w="267" w:type="pct"/>
            <w:vAlign w:val="bottom"/>
          </w:tcPr>
          <w:p w14:paraId="29B56F13"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87.7</w:t>
            </w:r>
          </w:p>
        </w:tc>
        <w:tc>
          <w:tcPr>
            <w:tcW w:w="272" w:type="pct"/>
            <w:vAlign w:val="bottom"/>
          </w:tcPr>
          <w:p w14:paraId="3072FC27"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77.2</w:t>
            </w:r>
          </w:p>
        </w:tc>
        <w:tc>
          <w:tcPr>
            <w:tcW w:w="267" w:type="pct"/>
            <w:vAlign w:val="bottom"/>
          </w:tcPr>
          <w:p w14:paraId="46402C40"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15.9</w:t>
            </w:r>
          </w:p>
        </w:tc>
        <w:tc>
          <w:tcPr>
            <w:tcW w:w="270" w:type="pct"/>
            <w:vAlign w:val="bottom"/>
          </w:tcPr>
          <w:p w14:paraId="26EE630D"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23.2</w:t>
            </w:r>
          </w:p>
        </w:tc>
        <w:tc>
          <w:tcPr>
            <w:tcW w:w="271" w:type="pct"/>
            <w:vAlign w:val="bottom"/>
          </w:tcPr>
          <w:p w14:paraId="225AAE5C"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811.4</w:t>
            </w:r>
          </w:p>
        </w:tc>
        <w:tc>
          <w:tcPr>
            <w:tcW w:w="314" w:type="pct"/>
            <w:vAlign w:val="bottom"/>
          </w:tcPr>
          <w:p w14:paraId="0BDFC196"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1001.3</w:t>
            </w:r>
          </w:p>
        </w:tc>
        <w:tc>
          <w:tcPr>
            <w:tcW w:w="271" w:type="pct"/>
            <w:tcBorders>
              <w:top w:val="single" w:sz="12" w:space="0" w:color="auto"/>
            </w:tcBorders>
            <w:vAlign w:val="bottom"/>
          </w:tcPr>
          <w:p w14:paraId="221259E1"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312.2</w:t>
            </w:r>
          </w:p>
        </w:tc>
        <w:tc>
          <w:tcPr>
            <w:tcW w:w="323" w:type="pct"/>
            <w:tcBorders>
              <w:top w:val="single" w:sz="12" w:space="0" w:color="auto"/>
            </w:tcBorders>
            <w:vAlign w:val="bottom"/>
          </w:tcPr>
          <w:p w14:paraId="350EE408"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424.7</w:t>
            </w:r>
          </w:p>
        </w:tc>
        <w:tc>
          <w:tcPr>
            <w:tcW w:w="268" w:type="pct"/>
            <w:tcBorders>
              <w:top w:val="single" w:sz="12" w:space="0" w:color="auto"/>
            </w:tcBorders>
            <w:vAlign w:val="bottom"/>
          </w:tcPr>
          <w:p w14:paraId="174ED1D6" w14:textId="77777777" w:rsidR="00587A3D" w:rsidRPr="00AD6A48" w:rsidRDefault="00587A3D" w:rsidP="00422A25">
            <w:pPr>
              <w:spacing w:line="360" w:lineRule="auto"/>
              <w:rPr>
                <w:rFonts w:cs="Times New Roman"/>
                <w:szCs w:val="24"/>
              </w:rPr>
            </w:pPr>
            <w:r w:rsidRPr="00AD6A48">
              <w:rPr>
                <w:rFonts w:cs="Times New Roman"/>
                <w:color w:val="000000"/>
                <w:szCs w:val="24"/>
              </w:rPr>
              <w:t>84.9</w:t>
            </w:r>
          </w:p>
        </w:tc>
        <w:tc>
          <w:tcPr>
            <w:tcW w:w="324" w:type="pct"/>
            <w:tcBorders>
              <w:top w:val="single" w:sz="12" w:space="0" w:color="auto"/>
            </w:tcBorders>
            <w:vAlign w:val="bottom"/>
          </w:tcPr>
          <w:p w14:paraId="45D4CACB" w14:textId="77777777" w:rsidR="00587A3D" w:rsidRPr="00AD6A48" w:rsidRDefault="00587A3D" w:rsidP="00422A25">
            <w:pPr>
              <w:spacing w:line="360" w:lineRule="auto"/>
              <w:rPr>
                <w:rFonts w:cs="Times New Roman"/>
                <w:szCs w:val="24"/>
              </w:rPr>
            </w:pPr>
            <w:r w:rsidRPr="00AD6A48">
              <w:rPr>
                <w:rFonts w:cs="Times New Roman"/>
                <w:color w:val="000000"/>
                <w:szCs w:val="24"/>
              </w:rPr>
              <w:t>67.6</w:t>
            </w:r>
          </w:p>
        </w:tc>
        <w:tc>
          <w:tcPr>
            <w:tcW w:w="274" w:type="pct"/>
            <w:tcBorders>
              <w:top w:val="single" w:sz="12" w:space="0" w:color="auto"/>
            </w:tcBorders>
            <w:vAlign w:val="bottom"/>
          </w:tcPr>
          <w:p w14:paraId="0F74B59A" w14:textId="77777777" w:rsidR="00587A3D" w:rsidRPr="000A1E50" w:rsidRDefault="00587A3D" w:rsidP="00422A25">
            <w:pPr>
              <w:spacing w:line="360" w:lineRule="auto"/>
              <w:rPr>
                <w:rFonts w:cs="Times New Roman"/>
                <w:szCs w:val="24"/>
                <w:u w:val="single"/>
              </w:rPr>
            </w:pPr>
            <w:r w:rsidRPr="000A1E50">
              <w:rPr>
                <w:rFonts w:cs="Times New Roman"/>
                <w:color w:val="000000" w:themeColor="text1"/>
                <w:u w:val="single"/>
              </w:rPr>
              <w:t>513.5</w:t>
            </w:r>
          </w:p>
        </w:tc>
        <w:tc>
          <w:tcPr>
            <w:tcW w:w="274" w:type="pct"/>
            <w:tcBorders>
              <w:top w:val="single" w:sz="12" w:space="0" w:color="auto"/>
            </w:tcBorders>
            <w:vAlign w:val="bottom"/>
          </w:tcPr>
          <w:p w14:paraId="0B677EFC" w14:textId="77777777" w:rsidR="00587A3D" w:rsidRPr="00CD1833" w:rsidRDefault="00587A3D" w:rsidP="00422A25">
            <w:pPr>
              <w:spacing w:line="360" w:lineRule="auto"/>
              <w:rPr>
                <w:rFonts w:cs="Times New Roman"/>
                <w:szCs w:val="24"/>
              </w:rPr>
            </w:pPr>
            <w:r w:rsidRPr="00CD1833">
              <w:rPr>
                <w:rFonts w:cs="Times New Roman"/>
                <w:color w:val="000000"/>
              </w:rPr>
              <w:t>223.2</w:t>
            </w:r>
          </w:p>
        </w:tc>
        <w:tc>
          <w:tcPr>
            <w:tcW w:w="379" w:type="pct"/>
            <w:tcBorders>
              <w:top w:val="single" w:sz="12" w:space="0" w:color="auto"/>
            </w:tcBorders>
          </w:tcPr>
          <w:p w14:paraId="1C7F3934" w14:textId="77777777" w:rsidR="00587A3D" w:rsidRPr="00AD6A48" w:rsidRDefault="00587A3D" w:rsidP="00422A25">
            <w:pPr>
              <w:spacing w:line="360" w:lineRule="auto"/>
              <w:rPr>
                <w:szCs w:val="24"/>
              </w:rPr>
            </w:pPr>
            <w:r w:rsidRPr="00AD6A48">
              <w:rPr>
                <w:szCs w:val="24"/>
              </w:rPr>
              <w:t>1825.6</w:t>
            </w:r>
          </w:p>
        </w:tc>
        <w:tc>
          <w:tcPr>
            <w:tcW w:w="369" w:type="pct"/>
            <w:tcBorders>
              <w:top w:val="single" w:sz="12" w:space="0" w:color="auto"/>
            </w:tcBorders>
          </w:tcPr>
          <w:p w14:paraId="57C24772" w14:textId="77777777" w:rsidR="00587A3D" w:rsidRPr="00AD6A48" w:rsidRDefault="00587A3D" w:rsidP="00422A25">
            <w:pPr>
              <w:spacing w:line="360" w:lineRule="auto"/>
              <w:rPr>
                <w:szCs w:val="24"/>
              </w:rPr>
            </w:pPr>
            <w:r w:rsidRPr="00AD6A48">
              <w:rPr>
                <w:szCs w:val="24"/>
              </w:rPr>
              <w:t>1817.1</w:t>
            </w:r>
          </w:p>
        </w:tc>
      </w:tr>
      <w:tr w:rsidR="00587A3D" w:rsidRPr="00860424" w14:paraId="09D95752" w14:textId="77777777" w:rsidTr="00422A25">
        <w:trPr>
          <w:jc w:val="center"/>
        </w:trPr>
        <w:tc>
          <w:tcPr>
            <w:tcW w:w="496" w:type="pct"/>
            <w:vMerge/>
            <w:vAlign w:val="center"/>
          </w:tcPr>
          <w:p w14:paraId="38142261" w14:textId="77777777" w:rsidR="00587A3D" w:rsidRPr="00860424" w:rsidRDefault="00587A3D" w:rsidP="00422A25">
            <w:pPr>
              <w:spacing w:line="360" w:lineRule="auto"/>
              <w:rPr>
                <w:rFonts w:cs="Times New Roman"/>
              </w:rPr>
            </w:pPr>
          </w:p>
        </w:tc>
        <w:tc>
          <w:tcPr>
            <w:tcW w:w="361" w:type="pct"/>
          </w:tcPr>
          <w:p w14:paraId="7777A2C6" w14:textId="77777777" w:rsidR="00587A3D" w:rsidRPr="00860424" w:rsidRDefault="00587A3D" w:rsidP="00422A25">
            <w:pPr>
              <w:spacing w:line="360" w:lineRule="auto"/>
              <w:rPr>
                <w:rFonts w:cs="Times New Roman"/>
              </w:rPr>
            </w:pPr>
            <w:r w:rsidRPr="00860424">
              <w:rPr>
                <w:rFonts w:cs="Times New Roman"/>
              </w:rPr>
              <w:t>10-20</w:t>
            </w:r>
          </w:p>
        </w:tc>
        <w:tc>
          <w:tcPr>
            <w:tcW w:w="267" w:type="pct"/>
            <w:vAlign w:val="bottom"/>
          </w:tcPr>
          <w:p w14:paraId="43AC8755"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46.9</w:t>
            </w:r>
          </w:p>
        </w:tc>
        <w:tc>
          <w:tcPr>
            <w:tcW w:w="272" w:type="pct"/>
            <w:vAlign w:val="bottom"/>
          </w:tcPr>
          <w:p w14:paraId="4CD09607"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54.8</w:t>
            </w:r>
          </w:p>
        </w:tc>
        <w:tc>
          <w:tcPr>
            <w:tcW w:w="267" w:type="pct"/>
            <w:vAlign w:val="bottom"/>
          </w:tcPr>
          <w:p w14:paraId="791875B0"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11.3</w:t>
            </w:r>
          </w:p>
        </w:tc>
        <w:tc>
          <w:tcPr>
            <w:tcW w:w="270" w:type="pct"/>
            <w:vAlign w:val="bottom"/>
          </w:tcPr>
          <w:p w14:paraId="3A67D766" w14:textId="77777777" w:rsidR="00587A3D" w:rsidRPr="000A1E50" w:rsidRDefault="00587A3D" w:rsidP="00422A25">
            <w:pPr>
              <w:keepNext/>
              <w:spacing w:line="360" w:lineRule="auto"/>
              <w:rPr>
                <w:rFonts w:cs="Times New Roman"/>
                <w:b/>
                <w:bCs/>
                <w:szCs w:val="24"/>
              </w:rPr>
            </w:pPr>
            <w:r w:rsidRPr="000A1E50">
              <w:rPr>
                <w:rFonts w:cs="Times New Roman"/>
                <w:b/>
                <w:bCs/>
                <w:color w:val="000000" w:themeColor="text1"/>
                <w:szCs w:val="24"/>
              </w:rPr>
              <w:t>0.0</w:t>
            </w:r>
          </w:p>
        </w:tc>
        <w:tc>
          <w:tcPr>
            <w:tcW w:w="271" w:type="pct"/>
            <w:vAlign w:val="bottom"/>
          </w:tcPr>
          <w:p w14:paraId="3CBF44A3"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710.1</w:t>
            </w:r>
          </w:p>
        </w:tc>
        <w:tc>
          <w:tcPr>
            <w:tcW w:w="314" w:type="pct"/>
            <w:vAlign w:val="bottom"/>
          </w:tcPr>
          <w:p w14:paraId="10B9003A"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712.5</w:t>
            </w:r>
          </w:p>
        </w:tc>
        <w:tc>
          <w:tcPr>
            <w:tcW w:w="271" w:type="pct"/>
            <w:vAlign w:val="bottom"/>
          </w:tcPr>
          <w:p w14:paraId="244A70D6"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356.7</w:t>
            </w:r>
          </w:p>
        </w:tc>
        <w:tc>
          <w:tcPr>
            <w:tcW w:w="323" w:type="pct"/>
            <w:vAlign w:val="bottom"/>
          </w:tcPr>
          <w:p w14:paraId="56D78B52"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265.2</w:t>
            </w:r>
          </w:p>
        </w:tc>
        <w:tc>
          <w:tcPr>
            <w:tcW w:w="268" w:type="pct"/>
            <w:vAlign w:val="bottom"/>
          </w:tcPr>
          <w:p w14:paraId="2608B0DE" w14:textId="77777777" w:rsidR="00587A3D" w:rsidRPr="00AD6A48" w:rsidRDefault="00587A3D" w:rsidP="00422A25">
            <w:pPr>
              <w:spacing w:line="360" w:lineRule="auto"/>
              <w:rPr>
                <w:rFonts w:cs="Times New Roman"/>
                <w:szCs w:val="24"/>
              </w:rPr>
            </w:pPr>
            <w:r w:rsidRPr="00AD6A48">
              <w:rPr>
                <w:rFonts w:cs="Times New Roman"/>
                <w:color w:val="000000"/>
                <w:szCs w:val="24"/>
              </w:rPr>
              <w:t>61.2</w:t>
            </w:r>
          </w:p>
        </w:tc>
        <w:tc>
          <w:tcPr>
            <w:tcW w:w="324" w:type="pct"/>
            <w:vAlign w:val="bottom"/>
          </w:tcPr>
          <w:p w14:paraId="3675F397" w14:textId="77777777" w:rsidR="00587A3D" w:rsidRPr="00AD6A48" w:rsidRDefault="00587A3D" w:rsidP="00422A25">
            <w:pPr>
              <w:spacing w:line="360" w:lineRule="auto"/>
              <w:rPr>
                <w:rFonts w:cs="Times New Roman"/>
                <w:szCs w:val="24"/>
              </w:rPr>
            </w:pPr>
            <w:r w:rsidRPr="00AD6A48">
              <w:rPr>
                <w:rFonts w:cs="Times New Roman"/>
                <w:color w:val="000000"/>
                <w:szCs w:val="24"/>
              </w:rPr>
              <w:t>28.3</w:t>
            </w:r>
          </w:p>
        </w:tc>
        <w:tc>
          <w:tcPr>
            <w:tcW w:w="274" w:type="pct"/>
            <w:vAlign w:val="bottom"/>
          </w:tcPr>
          <w:p w14:paraId="660EB182" w14:textId="77777777" w:rsidR="00587A3D" w:rsidRPr="00CD1833" w:rsidRDefault="00587A3D" w:rsidP="00422A25">
            <w:pPr>
              <w:spacing w:line="360" w:lineRule="auto"/>
              <w:rPr>
                <w:rFonts w:cs="Times New Roman"/>
                <w:szCs w:val="24"/>
              </w:rPr>
            </w:pPr>
            <w:r w:rsidRPr="00CD1833">
              <w:rPr>
                <w:rFonts w:cs="Times New Roman"/>
                <w:color w:val="000000"/>
              </w:rPr>
              <w:t>287.0</w:t>
            </w:r>
          </w:p>
        </w:tc>
        <w:tc>
          <w:tcPr>
            <w:tcW w:w="274" w:type="pct"/>
            <w:vAlign w:val="bottom"/>
          </w:tcPr>
          <w:p w14:paraId="5CBCB745" w14:textId="77777777" w:rsidR="00587A3D" w:rsidRPr="00CD1833" w:rsidRDefault="00587A3D" w:rsidP="00422A25">
            <w:pPr>
              <w:spacing w:line="360" w:lineRule="auto"/>
              <w:rPr>
                <w:rFonts w:cs="Times New Roman"/>
                <w:szCs w:val="24"/>
              </w:rPr>
            </w:pPr>
            <w:r w:rsidRPr="00CD1833">
              <w:rPr>
                <w:rFonts w:cs="Times New Roman"/>
                <w:color w:val="000000"/>
              </w:rPr>
              <w:t>217.6</w:t>
            </w:r>
          </w:p>
        </w:tc>
        <w:tc>
          <w:tcPr>
            <w:tcW w:w="379" w:type="pct"/>
          </w:tcPr>
          <w:p w14:paraId="4ECFB33F" w14:textId="77777777" w:rsidR="00587A3D" w:rsidRPr="00AD6A48" w:rsidRDefault="00587A3D" w:rsidP="00422A25">
            <w:pPr>
              <w:spacing w:line="360" w:lineRule="auto"/>
              <w:rPr>
                <w:szCs w:val="24"/>
              </w:rPr>
            </w:pPr>
            <w:r w:rsidRPr="00AD6A48">
              <w:rPr>
                <w:szCs w:val="24"/>
              </w:rPr>
              <w:t>1473.3</w:t>
            </w:r>
          </w:p>
        </w:tc>
        <w:tc>
          <w:tcPr>
            <w:tcW w:w="369" w:type="pct"/>
          </w:tcPr>
          <w:p w14:paraId="111C6848" w14:textId="77777777" w:rsidR="00587A3D" w:rsidRPr="00AD6A48" w:rsidRDefault="00587A3D" w:rsidP="00422A25">
            <w:pPr>
              <w:spacing w:line="360" w:lineRule="auto"/>
              <w:rPr>
                <w:szCs w:val="24"/>
              </w:rPr>
            </w:pPr>
            <w:r w:rsidRPr="00AD6A48">
              <w:rPr>
                <w:szCs w:val="24"/>
              </w:rPr>
              <w:t>1278.3</w:t>
            </w:r>
          </w:p>
        </w:tc>
      </w:tr>
      <w:tr w:rsidR="00587A3D" w:rsidRPr="00860424" w14:paraId="35F1A007" w14:textId="77777777" w:rsidTr="00422A25">
        <w:trPr>
          <w:jc w:val="center"/>
        </w:trPr>
        <w:tc>
          <w:tcPr>
            <w:tcW w:w="496" w:type="pct"/>
            <w:vMerge/>
            <w:tcBorders>
              <w:bottom w:val="single" w:sz="12" w:space="0" w:color="auto"/>
            </w:tcBorders>
            <w:vAlign w:val="center"/>
          </w:tcPr>
          <w:p w14:paraId="71F78B00" w14:textId="77777777" w:rsidR="00587A3D" w:rsidRPr="00860424" w:rsidRDefault="00587A3D" w:rsidP="00422A25">
            <w:pPr>
              <w:spacing w:line="360" w:lineRule="auto"/>
              <w:rPr>
                <w:rFonts w:cs="Times New Roman"/>
              </w:rPr>
            </w:pPr>
          </w:p>
        </w:tc>
        <w:tc>
          <w:tcPr>
            <w:tcW w:w="361" w:type="pct"/>
            <w:tcBorders>
              <w:bottom w:val="single" w:sz="12" w:space="0" w:color="auto"/>
            </w:tcBorders>
          </w:tcPr>
          <w:p w14:paraId="409C7144" w14:textId="77777777" w:rsidR="00587A3D" w:rsidRPr="00860424" w:rsidRDefault="00587A3D" w:rsidP="00422A25">
            <w:pPr>
              <w:spacing w:line="360" w:lineRule="auto"/>
              <w:rPr>
                <w:rFonts w:cs="Times New Roman"/>
              </w:rPr>
            </w:pPr>
            <w:r w:rsidRPr="00860424">
              <w:rPr>
                <w:rFonts w:cs="Times New Roman"/>
              </w:rPr>
              <w:t>20-30</w:t>
            </w:r>
          </w:p>
        </w:tc>
        <w:tc>
          <w:tcPr>
            <w:tcW w:w="267" w:type="pct"/>
            <w:vAlign w:val="bottom"/>
          </w:tcPr>
          <w:p w14:paraId="4CB217B1"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18.1</w:t>
            </w:r>
          </w:p>
        </w:tc>
        <w:tc>
          <w:tcPr>
            <w:tcW w:w="272" w:type="pct"/>
            <w:vAlign w:val="bottom"/>
          </w:tcPr>
          <w:p w14:paraId="6743C0E8"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11.2</w:t>
            </w:r>
          </w:p>
        </w:tc>
        <w:tc>
          <w:tcPr>
            <w:tcW w:w="267" w:type="pct"/>
            <w:vAlign w:val="bottom"/>
          </w:tcPr>
          <w:p w14:paraId="2D4C7BCB" w14:textId="77777777" w:rsidR="00587A3D" w:rsidRPr="000A1E50" w:rsidRDefault="00587A3D" w:rsidP="00422A25">
            <w:pPr>
              <w:keepNext/>
              <w:spacing w:line="360" w:lineRule="auto"/>
              <w:rPr>
                <w:rFonts w:cs="Times New Roman"/>
                <w:b/>
                <w:bCs/>
                <w:szCs w:val="24"/>
              </w:rPr>
            </w:pPr>
            <w:r w:rsidRPr="000A1E50">
              <w:rPr>
                <w:rFonts w:cs="Times New Roman"/>
                <w:b/>
                <w:bCs/>
                <w:color w:val="000000" w:themeColor="text1"/>
                <w:szCs w:val="24"/>
              </w:rPr>
              <w:t>0.0</w:t>
            </w:r>
          </w:p>
        </w:tc>
        <w:tc>
          <w:tcPr>
            <w:tcW w:w="270" w:type="pct"/>
            <w:vAlign w:val="bottom"/>
          </w:tcPr>
          <w:p w14:paraId="6A35E9B8"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6.9</w:t>
            </w:r>
          </w:p>
        </w:tc>
        <w:tc>
          <w:tcPr>
            <w:tcW w:w="271" w:type="pct"/>
            <w:vAlign w:val="bottom"/>
          </w:tcPr>
          <w:p w14:paraId="315422EB"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290.2</w:t>
            </w:r>
          </w:p>
        </w:tc>
        <w:tc>
          <w:tcPr>
            <w:tcW w:w="314" w:type="pct"/>
            <w:vAlign w:val="bottom"/>
          </w:tcPr>
          <w:p w14:paraId="03CC5A81"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239.1</w:t>
            </w:r>
          </w:p>
        </w:tc>
        <w:tc>
          <w:tcPr>
            <w:tcW w:w="271" w:type="pct"/>
            <w:tcBorders>
              <w:bottom w:val="single" w:sz="12" w:space="0" w:color="auto"/>
            </w:tcBorders>
            <w:vAlign w:val="bottom"/>
          </w:tcPr>
          <w:p w14:paraId="51B8C521" w14:textId="77777777" w:rsidR="00587A3D" w:rsidRPr="000A1E50" w:rsidRDefault="00587A3D" w:rsidP="00422A25">
            <w:pPr>
              <w:keepNext/>
              <w:spacing w:line="360" w:lineRule="auto"/>
              <w:rPr>
                <w:rFonts w:cs="Times New Roman"/>
                <w:b/>
                <w:bCs/>
                <w:szCs w:val="24"/>
              </w:rPr>
            </w:pPr>
            <w:r w:rsidRPr="000A1E50">
              <w:rPr>
                <w:rFonts w:cs="Times New Roman"/>
                <w:b/>
                <w:bCs/>
                <w:color w:val="000000" w:themeColor="text1"/>
                <w:szCs w:val="24"/>
              </w:rPr>
              <w:t>63.9</w:t>
            </w:r>
          </w:p>
        </w:tc>
        <w:tc>
          <w:tcPr>
            <w:tcW w:w="323" w:type="pct"/>
            <w:tcBorders>
              <w:bottom w:val="single" w:sz="12" w:space="0" w:color="auto"/>
            </w:tcBorders>
            <w:vAlign w:val="bottom"/>
          </w:tcPr>
          <w:p w14:paraId="386F5AA8"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96.0</w:t>
            </w:r>
          </w:p>
        </w:tc>
        <w:tc>
          <w:tcPr>
            <w:tcW w:w="268" w:type="pct"/>
            <w:tcBorders>
              <w:bottom w:val="single" w:sz="12" w:space="0" w:color="auto"/>
            </w:tcBorders>
            <w:vAlign w:val="bottom"/>
          </w:tcPr>
          <w:p w14:paraId="22F5A671" w14:textId="77777777" w:rsidR="00587A3D" w:rsidRPr="00AD6A48" w:rsidRDefault="00587A3D" w:rsidP="00422A25">
            <w:pPr>
              <w:spacing w:line="360" w:lineRule="auto"/>
              <w:rPr>
                <w:rFonts w:cs="Times New Roman"/>
                <w:szCs w:val="24"/>
              </w:rPr>
            </w:pPr>
            <w:r w:rsidRPr="00AD6A48">
              <w:rPr>
                <w:rFonts w:cs="Times New Roman"/>
                <w:color w:val="000000"/>
                <w:szCs w:val="24"/>
              </w:rPr>
              <w:t>11.7</w:t>
            </w:r>
          </w:p>
        </w:tc>
        <w:tc>
          <w:tcPr>
            <w:tcW w:w="324" w:type="pct"/>
            <w:tcBorders>
              <w:bottom w:val="single" w:sz="12" w:space="0" w:color="auto"/>
            </w:tcBorders>
            <w:vAlign w:val="bottom"/>
          </w:tcPr>
          <w:p w14:paraId="44FEF47F" w14:textId="77777777" w:rsidR="00587A3D" w:rsidRPr="00AD6A48" w:rsidRDefault="00587A3D" w:rsidP="00422A25">
            <w:pPr>
              <w:spacing w:line="360" w:lineRule="auto"/>
              <w:rPr>
                <w:rFonts w:cs="Times New Roman"/>
                <w:szCs w:val="24"/>
              </w:rPr>
            </w:pPr>
            <w:r w:rsidRPr="00AD6A48">
              <w:rPr>
                <w:rFonts w:cs="Times New Roman"/>
                <w:color w:val="000000"/>
                <w:szCs w:val="24"/>
              </w:rPr>
              <w:t>5.7</w:t>
            </w:r>
          </w:p>
        </w:tc>
        <w:tc>
          <w:tcPr>
            <w:tcW w:w="274" w:type="pct"/>
            <w:tcBorders>
              <w:bottom w:val="single" w:sz="12" w:space="0" w:color="auto"/>
            </w:tcBorders>
            <w:vAlign w:val="bottom"/>
          </w:tcPr>
          <w:p w14:paraId="03F695DD" w14:textId="77777777" w:rsidR="00587A3D" w:rsidRPr="00CD1833" w:rsidRDefault="00587A3D" w:rsidP="00422A25">
            <w:pPr>
              <w:spacing w:line="360" w:lineRule="auto"/>
              <w:rPr>
                <w:rFonts w:cs="Times New Roman"/>
                <w:szCs w:val="24"/>
              </w:rPr>
            </w:pPr>
            <w:r w:rsidRPr="00CD1833">
              <w:rPr>
                <w:rFonts w:cs="Times New Roman"/>
                <w:color w:val="000000"/>
              </w:rPr>
              <w:t>346.2</w:t>
            </w:r>
          </w:p>
        </w:tc>
        <w:tc>
          <w:tcPr>
            <w:tcW w:w="274" w:type="pct"/>
            <w:tcBorders>
              <w:bottom w:val="single" w:sz="12" w:space="0" w:color="auto"/>
            </w:tcBorders>
            <w:vAlign w:val="bottom"/>
          </w:tcPr>
          <w:p w14:paraId="25DFFE14" w14:textId="77777777" w:rsidR="00587A3D" w:rsidRPr="00CD1833" w:rsidRDefault="00587A3D" w:rsidP="00422A25">
            <w:pPr>
              <w:spacing w:line="360" w:lineRule="auto"/>
              <w:rPr>
                <w:rFonts w:cs="Times New Roman"/>
                <w:szCs w:val="24"/>
              </w:rPr>
            </w:pPr>
            <w:r w:rsidRPr="00CD1833">
              <w:rPr>
                <w:rFonts w:cs="Times New Roman"/>
                <w:color w:val="000000"/>
              </w:rPr>
              <w:t>196.5</w:t>
            </w:r>
          </w:p>
        </w:tc>
        <w:tc>
          <w:tcPr>
            <w:tcW w:w="379" w:type="pct"/>
            <w:tcBorders>
              <w:bottom w:val="single" w:sz="12" w:space="0" w:color="auto"/>
            </w:tcBorders>
          </w:tcPr>
          <w:p w14:paraId="1D2300FC" w14:textId="77777777" w:rsidR="00587A3D" w:rsidRPr="00AD6A48" w:rsidRDefault="00587A3D" w:rsidP="00422A25">
            <w:pPr>
              <w:spacing w:line="360" w:lineRule="auto"/>
              <w:rPr>
                <w:szCs w:val="24"/>
              </w:rPr>
            </w:pPr>
            <w:r w:rsidRPr="00AD6A48">
              <w:rPr>
                <w:szCs w:val="24"/>
              </w:rPr>
              <w:t>730.1</w:t>
            </w:r>
          </w:p>
        </w:tc>
        <w:tc>
          <w:tcPr>
            <w:tcW w:w="369" w:type="pct"/>
            <w:tcBorders>
              <w:bottom w:val="single" w:sz="12" w:space="0" w:color="auto"/>
            </w:tcBorders>
          </w:tcPr>
          <w:p w14:paraId="62E99478" w14:textId="77777777" w:rsidR="00587A3D" w:rsidRPr="00AD6A48" w:rsidRDefault="00587A3D" w:rsidP="00422A25">
            <w:pPr>
              <w:spacing w:line="360" w:lineRule="auto"/>
              <w:rPr>
                <w:szCs w:val="24"/>
              </w:rPr>
            </w:pPr>
            <w:r w:rsidRPr="00AD6A48">
              <w:rPr>
                <w:szCs w:val="24"/>
              </w:rPr>
              <w:t>555.4</w:t>
            </w:r>
          </w:p>
        </w:tc>
      </w:tr>
      <w:tr w:rsidR="00587A3D" w:rsidRPr="00860424" w14:paraId="42643275" w14:textId="77777777" w:rsidTr="00422A25">
        <w:trPr>
          <w:jc w:val="center"/>
        </w:trPr>
        <w:tc>
          <w:tcPr>
            <w:tcW w:w="496" w:type="pct"/>
            <w:vMerge w:val="restart"/>
            <w:tcBorders>
              <w:top w:val="single" w:sz="12" w:space="0" w:color="auto"/>
            </w:tcBorders>
            <w:vAlign w:val="center"/>
          </w:tcPr>
          <w:p w14:paraId="1194FD9E" w14:textId="77777777" w:rsidR="00587A3D" w:rsidRPr="00860424" w:rsidRDefault="00587A3D" w:rsidP="00422A25">
            <w:pPr>
              <w:spacing w:line="360" w:lineRule="auto"/>
              <w:rPr>
                <w:rFonts w:cs="Times New Roman"/>
              </w:rPr>
            </w:pPr>
            <w:r w:rsidRPr="00860424">
              <w:rPr>
                <w:rFonts w:cs="Times New Roman"/>
              </w:rPr>
              <w:t>+N+P</w:t>
            </w:r>
          </w:p>
        </w:tc>
        <w:tc>
          <w:tcPr>
            <w:tcW w:w="361" w:type="pct"/>
            <w:tcBorders>
              <w:top w:val="single" w:sz="12" w:space="0" w:color="auto"/>
            </w:tcBorders>
          </w:tcPr>
          <w:p w14:paraId="1BD25E68" w14:textId="77777777" w:rsidR="00587A3D" w:rsidRPr="00860424" w:rsidRDefault="00587A3D" w:rsidP="00422A25">
            <w:pPr>
              <w:spacing w:line="360" w:lineRule="auto"/>
              <w:rPr>
                <w:rFonts w:cs="Times New Roman"/>
              </w:rPr>
            </w:pPr>
            <w:r w:rsidRPr="00860424">
              <w:rPr>
                <w:rFonts w:cs="Times New Roman"/>
              </w:rPr>
              <w:t>0-10</w:t>
            </w:r>
          </w:p>
        </w:tc>
        <w:tc>
          <w:tcPr>
            <w:tcW w:w="267" w:type="pct"/>
            <w:vAlign w:val="bottom"/>
          </w:tcPr>
          <w:p w14:paraId="707C849C"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57.1</w:t>
            </w:r>
          </w:p>
        </w:tc>
        <w:tc>
          <w:tcPr>
            <w:tcW w:w="272" w:type="pct"/>
            <w:vAlign w:val="bottom"/>
          </w:tcPr>
          <w:p w14:paraId="73F843CA" w14:textId="77777777" w:rsidR="00587A3D" w:rsidRPr="000A1E50" w:rsidRDefault="00587A3D" w:rsidP="00422A25">
            <w:pPr>
              <w:keepNext/>
              <w:spacing w:line="360" w:lineRule="auto"/>
              <w:rPr>
                <w:rFonts w:cs="Times New Roman"/>
                <w:szCs w:val="24"/>
                <w:u w:val="single"/>
              </w:rPr>
            </w:pPr>
            <w:r w:rsidRPr="000A1E50">
              <w:rPr>
                <w:rFonts w:cs="Times New Roman"/>
                <w:color w:val="000000" w:themeColor="text1"/>
                <w:szCs w:val="24"/>
                <w:u w:val="single"/>
              </w:rPr>
              <w:t>126.9</w:t>
            </w:r>
          </w:p>
        </w:tc>
        <w:tc>
          <w:tcPr>
            <w:tcW w:w="267" w:type="pct"/>
            <w:vAlign w:val="bottom"/>
          </w:tcPr>
          <w:p w14:paraId="164D849C" w14:textId="77777777" w:rsidR="00587A3D" w:rsidRPr="000A1E50" w:rsidRDefault="00587A3D" w:rsidP="00422A25">
            <w:pPr>
              <w:keepNext/>
              <w:spacing w:line="360" w:lineRule="auto"/>
              <w:rPr>
                <w:rFonts w:cs="Times New Roman"/>
                <w:b/>
                <w:bCs/>
                <w:szCs w:val="24"/>
              </w:rPr>
            </w:pPr>
            <w:r w:rsidRPr="000A1E50">
              <w:rPr>
                <w:rFonts w:cs="Times New Roman"/>
                <w:b/>
                <w:bCs/>
                <w:color w:val="000000" w:themeColor="text1"/>
                <w:szCs w:val="24"/>
              </w:rPr>
              <w:t>0.0</w:t>
            </w:r>
          </w:p>
        </w:tc>
        <w:tc>
          <w:tcPr>
            <w:tcW w:w="270" w:type="pct"/>
            <w:vAlign w:val="bottom"/>
          </w:tcPr>
          <w:p w14:paraId="36E521A0" w14:textId="77777777" w:rsidR="00587A3D" w:rsidRPr="000A1E50" w:rsidRDefault="00587A3D" w:rsidP="00422A25">
            <w:pPr>
              <w:keepNext/>
              <w:spacing w:line="360" w:lineRule="auto"/>
              <w:rPr>
                <w:rFonts w:cs="Times New Roman"/>
                <w:b/>
                <w:bCs/>
                <w:szCs w:val="24"/>
              </w:rPr>
            </w:pPr>
            <w:r w:rsidRPr="000A1E50">
              <w:rPr>
                <w:rFonts w:cs="Times New Roman"/>
                <w:b/>
                <w:bCs/>
                <w:color w:val="000000" w:themeColor="text1"/>
                <w:szCs w:val="24"/>
              </w:rPr>
              <w:t>0.0</w:t>
            </w:r>
          </w:p>
        </w:tc>
        <w:tc>
          <w:tcPr>
            <w:tcW w:w="271" w:type="pct"/>
            <w:vAlign w:val="bottom"/>
          </w:tcPr>
          <w:p w14:paraId="0F47BF82"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903.6</w:t>
            </w:r>
          </w:p>
        </w:tc>
        <w:tc>
          <w:tcPr>
            <w:tcW w:w="314" w:type="pct"/>
            <w:vAlign w:val="bottom"/>
          </w:tcPr>
          <w:p w14:paraId="4E8AA389" w14:textId="77777777" w:rsidR="00587A3D" w:rsidRPr="000A1E50" w:rsidRDefault="00587A3D" w:rsidP="00422A25">
            <w:pPr>
              <w:keepNext/>
              <w:spacing w:line="360" w:lineRule="auto"/>
              <w:rPr>
                <w:rFonts w:cs="Times New Roman"/>
                <w:szCs w:val="24"/>
                <w:u w:val="single"/>
              </w:rPr>
            </w:pPr>
            <w:r w:rsidRPr="000A1E50">
              <w:rPr>
                <w:rFonts w:cs="Times New Roman"/>
                <w:color w:val="000000" w:themeColor="text1"/>
                <w:szCs w:val="24"/>
                <w:u w:val="single"/>
              </w:rPr>
              <w:t>1170.3</w:t>
            </w:r>
          </w:p>
        </w:tc>
        <w:tc>
          <w:tcPr>
            <w:tcW w:w="271" w:type="pct"/>
            <w:tcBorders>
              <w:top w:val="single" w:sz="12" w:space="0" w:color="auto"/>
            </w:tcBorders>
            <w:vAlign w:val="bottom"/>
          </w:tcPr>
          <w:p w14:paraId="37B09949"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382.5</w:t>
            </w:r>
          </w:p>
        </w:tc>
        <w:tc>
          <w:tcPr>
            <w:tcW w:w="323" w:type="pct"/>
            <w:tcBorders>
              <w:top w:val="single" w:sz="12" w:space="0" w:color="auto"/>
            </w:tcBorders>
            <w:vAlign w:val="bottom"/>
          </w:tcPr>
          <w:p w14:paraId="0CF5492F" w14:textId="77777777" w:rsidR="00587A3D" w:rsidRPr="000A1E50" w:rsidRDefault="00587A3D" w:rsidP="00422A25">
            <w:pPr>
              <w:keepNext/>
              <w:spacing w:line="360" w:lineRule="auto"/>
              <w:rPr>
                <w:rFonts w:cs="Times New Roman"/>
                <w:szCs w:val="24"/>
                <w:u w:val="single"/>
              </w:rPr>
            </w:pPr>
            <w:r w:rsidRPr="000A1E50">
              <w:rPr>
                <w:rFonts w:cs="Times New Roman"/>
                <w:color w:val="000000" w:themeColor="text1"/>
                <w:szCs w:val="24"/>
                <w:u w:val="single"/>
              </w:rPr>
              <w:t>495.8</w:t>
            </w:r>
          </w:p>
        </w:tc>
        <w:tc>
          <w:tcPr>
            <w:tcW w:w="268" w:type="pct"/>
            <w:tcBorders>
              <w:top w:val="single" w:sz="12" w:space="0" w:color="auto"/>
            </w:tcBorders>
            <w:vAlign w:val="bottom"/>
          </w:tcPr>
          <w:p w14:paraId="39054460" w14:textId="77777777" w:rsidR="00587A3D" w:rsidRPr="000A1E50" w:rsidRDefault="00587A3D" w:rsidP="00422A25">
            <w:pPr>
              <w:spacing w:line="360" w:lineRule="auto"/>
              <w:rPr>
                <w:rFonts w:cs="Times New Roman"/>
                <w:szCs w:val="24"/>
                <w:u w:val="single"/>
              </w:rPr>
            </w:pPr>
            <w:r w:rsidRPr="000A1E50">
              <w:rPr>
                <w:rFonts w:cs="Times New Roman"/>
                <w:color w:val="000000" w:themeColor="text1"/>
                <w:szCs w:val="24"/>
                <w:u w:val="single"/>
              </w:rPr>
              <w:t>98.1</w:t>
            </w:r>
          </w:p>
        </w:tc>
        <w:tc>
          <w:tcPr>
            <w:tcW w:w="324" w:type="pct"/>
            <w:tcBorders>
              <w:top w:val="single" w:sz="12" w:space="0" w:color="auto"/>
            </w:tcBorders>
            <w:vAlign w:val="bottom"/>
          </w:tcPr>
          <w:p w14:paraId="1A1CE879" w14:textId="77777777" w:rsidR="00587A3D" w:rsidRPr="00AD6A48" w:rsidRDefault="00587A3D" w:rsidP="00422A25">
            <w:pPr>
              <w:spacing w:line="360" w:lineRule="auto"/>
              <w:rPr>
                <w:rFonts w:cs="Times New Roman"/>
                <w:szCs w:val="24"/>
              </w:rPr>
            </w:pPr>
            <w:r w:rsidRPr="00AD6A48">
              <w:rPr>
                <w:rFonts w:cs="Times New Roman"/>
                <w:color w:val="000000"/>
                <w:szCs w:val="24"/>
              </w:rPr>
              <w:t>90.4</w:t>
            </w:r>
          </w:p>
        </w:tc>
        <w:tc>
          <w:tcPr>
            <w:tcW w:w="274" w:type="pct"/>
            <w:tcBorders>
              <w:top w:val="single" w:sz="12" w:space="0" w:color="auto"/>
            </w:tcBorders>
            <w:vAlign w:val="bottom"/>
          </w:tcPr>
          <w:p w14:paraId="620F3C60" w14:textId="77777777" w:rsidR="00587A3D" w:rsidRPr="00CD1833" w:rsidRDefault="00587A3D" w:rsidP="00422A25">
            <w:pPr>
              <w:spacing w:line="360" w:lineRule="auto"/>
              <w:rPr>
                <w:rFonts w:cs="Times New Roman"/>
                <w:szCs w:val="24"/>
              </w:rPr>
            </w:pPr>
            <w:r w:rsidRPr="00CD1833">
              <w:rPr>
                <w:rFonts w:cs="Times New Roman"/>
                <w:color w:val="000000"/>
              </w:rPr>
              <w:t>247.5</w:t>
            </w:r>
          </w:p>
        </w:tc>
        <w:tc>
          <w:tcPr>
            <w:tcW w:w="274" w:type="pct"/>
            <w:tcBorders>
              <w:top w:val="single" w:sz="12" w:space="0" w:color="auto"/>
            </w:tcBorders>
            <w:vAlign w:val="bottom"/>
          </w:tcPr>
          <w:p w14:paraId="7D8C2795" w14:textId="77777777" w:rsidR="00587A3D" w:rsidRPr="00CD1833" w:rsidRDefault="00587A3D" w:rsidP="00422A25">
            <w:pPr>
              <w:spacing w:line="360" w:lineRule="auto"/>
              <w:rPr>
                <w:rFonts w:cs="Times New Roman"/>
                <w:szCs w:val="24"/>
              </w:rPr>
            </w:pPr>
            <w:r w:rsidRPr="00CD1833">
              <w:rPr>
                <w:rFonts w:cs="Times New Roman"/>
                <w:color w:val="000000"/>
              </w:rPr>
              <w:t>231.8</w:t>
            </w:r>
          </w:p>
        </w:tc>
        <w:tc>
          <w:tcPr>
            <w:tcW w:w="379" w:type="pct"/>
            <w:tcBorders>
              <w:top w:val="single" w:sz="12" w:space="0" w:color="auto"/>
            </w:tcBorders>
          </w:tcPr>
          <w:p w14:paraId="04D770E0" w14:textId="77777777" w:rsidR="00587A3D" w:rsidRPr="00AD6A48" w:rsidRDefault="00587A3D" w:rsidP="00422A25">
            <w:pPr>
              <w:spacing w:line="360" w:lineRule="auto"/>
              <w:rPr>
                <w:szCs w:val="24"/>
              </w:rPr>
            </w:pPr>
            <w:r w:rsidRPr="00AD6A48">
              <w:rPr>
                <w:szCs w:val="24"/>
              </w:rPr>
              <w:t>1688.8</w:t>
            </w:r>
          </w:p>
        </w:tc>
        <w:tc>
          <w:tcPr>
            <w:tcW w:w="369" w:type="pct"/>
            <w:tcBorders>
              <w:top w:val="single" w:sz="12" w:space="0" w:color="auto"/>
            </w:tcBorders>
          </w:tcPr>
          <w:p w14:paraId="5811EAA9" w14:textId="77777777" w:rsidR="00587A3D" w:rsidRPr="000A1E50" w:rsidRDefault="00587A3D" w:rsidP="00422A25">
            <w:pPr>
              <w:spacing w:line="360" w:lineRule="auto"/>
              <w:rPr>
                <w:color w:val="92D050"/>
                <w:szCs w:val="24"/>
                <w:u w:val="single"/>
              </w:rPr>
            </w:pPr>
            <w:r w:rsidRPr="000A1E50">
              <w:rPr>
                <w:color w:val="000000" w:themeColor="text1"/>
                <w:szCs w:val="24"/>
                <w:u w:val="single"/>
              </w:rPr>
              <w:t>2115.2</w:t>
            </w:r>
          </w:p>
        </w:tc>
      </w:tr>
      <w:tr w:rsidR="00587A3D" w:rsidRPr="00860424" w14:paraId="0E8029C0" w14:textId="77777777" w:rsidTr="00422A25">
        <w:trPr>
          <w:jc w:val="center"/>
        </w:trPr>
        <w:tc>
          <w:tcPr>
            <w:tcW w:w="496" w:type="pct"/>
            <w:vMerge/>
            <w:vAlign w:val="center"/>
          </w:tcPr>
          <w:p w14:paraId="18F07CE9" w14:textId="77777777" w:rsidR="00587A3D" w:rsidRPr="00860424" w:rsidRDefault="00587A3D" w:rsidP="00422A25">
            <w:pPr>
              <w:spacing w:line="360" w:lineRule="auto"/>
              <w:rPr>
                <w:rFonts w:cs="Times New Roman"/>
              </w:rPr>
            </w:pPr>
          </w:p>
        </w:tc>
        <w:tc>
          <w:tcPr>
            <w:tcW w:w="361" w:type="pct"/>
          </w:tcPr>
          <w:p w14:paraId="5CF4B848" w14:textId="77777777" w:rsidR="00587A3D" w:rsidRPr="00860424" w:rsidRDefault="00587A3D" w:rsidP="00422A25">
            <w:pPr>
              <w:spacing w:line="360" w:lineRule="auto"/>
              <w:rPr>
                <w:rFonts w:cs="Times New Roman"/>
              </w:rPr>
            </w:pPr>
            <w:r w:rsidRPr="00860424">
              <w:rPr>
                <w:rFonts w:cs="Times New Roman"/>
              </w:rPr>
              <w:t>10-20</w:t>
            </w:r>
          </w:p>
        </w:tc>
        <w:tc>
          <w:tcPr>
            <w:tcW w:w="267" w:type="pct"/>
            <w:vAlign w:val="bottom"/>
          </w:tcPr>
          <w:p w14:paraId="334E807E"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22.6</w:t>
            </w:r>
          </w:p>
        </w:tc>
        <w:tc>
          <w:tcPr>
            <w:tcW w:w="272" w:type="pct"/>
            <w:vAlign w:val="bottom"/>
          </w:tcPr>
          <w:p w14:paraId="65A42F8C"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37.4</w:t>
            </w:r>
          </w:p>
        </w:tc>
        <w:tc>
          <w:tcPr>
            <w:tcW w:w="267" w:type="pct"/>
            <w:vAlign w:val="bottom"/>
          </w:tcPr>
          <w:p w14:paraId="66C0FC87"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5.1</w:t>
            </w:r>
          </w:p>
        </w:tc>
        <w:tc>
          <w:tcPr>
            <w:tcW w:w="270" w:type="pct"/>
            <w:vAlign w:val="bottom"/>
          </w:tcPr>
          <w:p w14:paraId="14A4ABC0"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18.7</w:t>
            </w:r>
          </w:p>
        </w:tc>
        <w:tc>
          <w:tcPr>
            <w:tcW w:w="271" w:type="pct"/>
            <w:vAlign w:val="bottom"/>
          </w:tcPr>
          <w:p w14:paraId="0C5D9D06"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662.5</w:t>
            </w:r>
          </w:p>
        </w:tc>
        <w:tc>
          <w:tcPr>
            <w:tcW w:w="314" w:type="pct"/>
            <w:vAlign w:val="bottom"/>
          </w:tcPr>
          <w:p w14:paraId="7E5DB276"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1108.7</w:t>
            </w:r>
          </w:p>
        </w:tc>
        <w:tc>
          <w:tcPr>
            <w:tcW w:w="271" w:type="pct"/>
            <w:vAlign w:val="bottom"/>
          </w:tcPr>
          <w:p w14:paraId="6B945D6A"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359.5</w:t>
            </w:r>
          </w:p>
        </w:tc>
        <w:tc>
          <w:tcPr>
            <w:tcW w:w="323" w:type="pct"/>
            <w:vAlign w:val="bottom"/>
          </w:tcPr>
          <w:p w14:paraId="35D091C9"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336.8</w:t>
            </w:r>
          </w:p>
        </w:tc>
        <w:tc>
          <w:tcPr>
            <w:tcW w:w="268" w:type="pct"/>
            <w:vAlign w:val="bottom"/>
          </w:tcPr>
          <w:p w14:paraId="1D75A39D" w14:textId="77777777" w:rsidR="00587A3D" w:rsidRPr="00AD6A48" w:rsidRDefault="00587A3D" w:rsidP="00422A25">
            <w:pPr>
              <w:spacing w:line="360" w:lineRule="auto"/>
              <w:rPr>
                <w:rFonts w:cs="Times New Roman"/>
                <w:szCs w:val="24"/>
              </w:rPr>
            </w:pPr>
            <w:r w:rsidRPr="00AD6A48">
              <w:rPr>
                <w:rFonts w:cs="Times New Roman"/>
                <w:color w:val="000000"/>
                <w:szCs w:val="24"/>
              </w:rPr>
              <w:t>44.9</w:t>
            </w:r>
          </w:p>
        </w:tc>
        <w:tc>
          <w:tcPr>
            <w:tcW w:w="324" w:type="pct"/>
            <w:vAlign w:val="bottom"/>
          </w:tcPr>
          <w:p w14:paraId="45127E79" w14:textId="77777777" w:rsidR="00587A3D" w:rsidRPr="00AD6A48" w:rsidRDefault="00587A3D" w:rsidP="00422A25">
            <w:pPr>
              <w:spacing w:line="360" w:lineRule="auto"/>
              <w:rPr>
                <w:rFonts w:cs="Times New Roman"/>
                <w:szCs w:val="24"/>
              </w:rPr>
            </w:pPr>
            <w:r w:rsidRPr="00AD6A48">
              <w:rPr>
                <w:rFonts w:cs="Times New Roman"/>
                <w:color w:val="000000"/>
                <w:szCs w:val="24"/>
              </w:rPr>
              <w:t>36.9</w:t>
            </w:r>
          </w:p>
        </w:tc>
        <w:tc>
          <w:tcPr>
            <w:tcW w:w="274" w:type="pct"/>
            <w:vAlign w:val="bottom"/>
          </w:tcPr>
          <w:p w14:paraId="718AC9E3" w14:textId="77777777" w:rsidR="00587A3D" w:rsidRPr="00CD1833" w:rsidRDefault="00587A3D" w:rsidP="00422A25">
            <w:pPr>
              <w:spacing w:line="360" w:lineRule="auto"/>
              <w:rPr>
                <w:rFonts w:cs="Times New Roman"/>
                <w:szCs w:val="24"/>
              </w:rPr>
            </w:pPr>
            <w:r w:rsidRPr="00CD1833">
              <w:rPr>
                <w:rFonts w:cs="Times New Roman"/>
                <w:color w:val="000000"/>
              </w:rPr>
              <w:t>221.1</w:t>
            </w:r>
          </w:p>
        </w:tc>
        <w:tc>
          <w:tcPr>
            <w:tcW w:w="274" w:type="pct"/>
            <w:vAlign w:val="bottom"/>
          </w:tcPr>
          <w:p w14:paraId="746FF2D0" w14:textId="77777777" w:rsidR="00587A3D" w:rsidRPr="000A1E50" w:rsidRDefault="00587A3D" w:rsidP="00422A25">
            <w:pPr>
              <w:spacing w:line="360" w:lineRule="auto"/>
              <w:rPr>
                <w:rFonts w:cs="Times New Roman"/>
                <w:b/>
                <w:bCs/>
                <w:szCs w:val="24"/>
              </w:rPr>
            </w:pPr>
            <w:r w:rsidRPr="000A1E50">
              <w:rPr>
                <w:rFonts w:cs="Times New Roman"/>
                <w:b/>
                <w:bCs/>
                <w:color w:val="000000" w:themeColor="text1"/>
              </w:rPr>
              <w:t>110.8</w:t>
            </w:r>
          </w:p>
        </w:tc>
        <w:tc>
          <w:tcPr>
            <w:tcW w:w="379" w:type="pct"/>
          </w:tcPr>
          <w:p w14:paraId="05C2FE64" w14:textId="77777777" w:rsidR="00587A3D" w:rsidRPr="00AD6A48" w:rsidRDefault="00587A3D" w:rsidP="00422A25">
            <w:pPr>
              <w:spacing w:line="360" w:lineRule="auto"/>
              <w:rPr>
                <w:szCs w:val="24"/>
              </w:rPr>
            </w:pPr>
            <w:r w:rsidRPr="00AD6A48">
              <w:rPr>
                <w:szCs w:val="24"/>
              </w:rPr>
              <w:t>1315.7</w:t>
            </w:r>
          </w:p>
        </w:tc>
        <w:tc>
          <w:tcPr>
            <w:tcW w:w="369" w:type="pct"/>
          </w:tcPr>
          <w:p w14:paraId="24A5FA4D" w14:textId="77777777" w:rsidR="00587A3D" w:rsidRPr="00AD6A48" w:rsidRDefault="00587A3D" w:rsidP="00422A25">
            <w:pPr>
              <w:spacing w:line="360" w:lineRule="auto"/>
              <w:rPr>
                <w:szCs w:val="24"/>
              </w:rPr>
            </w:pPr>
            <w:r w:rsidRPr="00AD6A48">
              <w:rPr>
                <w:szCs w:val="24"/>
              </w:rPr>
              <w:t>1649.2</w:t>
            </w:r>
          </w:p>
        </w:tc>
      </w:tr>
      <w:tr w:rsidR="00587A3D" w:rsidRPr="00860424" w14:paraId="4ED8131E" w14:textId="77777777" w:rsidTr="00422A25">
        <w:trPr>
          <w:jc w:val="center"/>
        </w:trPr>
        <w:tc>
          <w:tcPr>
            <w:tcW w:w="496" w:type="pct"/>
            <w:vMerge/>
            <w:tcBorders>
              <w:bottom w:val="single" w:sz="12" w:space="0" w:color="auto"/>
            </w:tcBorders>
            <w:vAlign w:val="center"/>
          </w:tcPr>
          <w:p w14:paraId="65CE730E" w14:textId="77777777" w:rsidR="00587A3D" w:rsidRPr="00860424" w:rsidRDefault="00587A3D" w:rsidP="00422A25">
            <w:pPr>
              <w:spacing w:line="360" w:lineRule="auto"/>
              <w:rPr>
                <w:rFonts w:cs="Times New Roman"/>
              </w:rPr>
            </w:pPr>
          </w:p>
        </w:tc>
        <w:tc>
          <w:tcPr>
            <w:tcW w:w="361" w:type="pct"/>
            <w:tcBorders>
              <w:bottom w:val="single" w:sz="12" w:space="0" w:color="auto"/>
            </w:tcBorders>
          </w:tcPr>
          <w:p w14:paraId="3C20C4CA" w14:textId="77777777" w:rsidR="00587A3D" w:rsidRPr="00860424" w:rsidRDefault="00587A3D" w:rsidP="00422A25">
            <w:pPr>
              <w:spacing w:line="360" w:lineRule="auto"/>
              <w:rPr>
                <w:rFonts w:cs="Times New Roman"/>
              </w:rPr>
            </w:pPr>
            <w:r w:rsidRPr="00860424">
              <w:rPr>
                <w:rFonts w:cs="Times New Roman"/>
              </w:rPr>
              <w:t>20-30</w:t>
            </w:r>
          </w:p>
        </w:tc>
        <w:tc>
          <w:tcPr>
            <w:tcW w:w="267" w:type="pct"/>
            <w:vAlign w:val="bottom"/>
          </w:tcPr>
          <w:p w14:paraId="502A5804"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7.6</w:t>
            </w:r>
          </w:p>
        </w:tc>
        <w:tc>
          <w:tcPr>
            <w:tcW w:w="272" w:type="pct"/>
            <w:vAlign w:val="bottom"/>
          </w:tcPr>
          <w:p w14:paraId="037F7B1B"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6.3</w:t>
            </w:r>
          </w:p>
        </w:tc>
        <w:tc>
          <w:tcPr>
            <w:tcW w:w="267" w:type="pct"/>
            <w:vAlign w:val="bottom"/>
          </w:tcPr>
          <w:p w14:paraId="4CA272A1"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2.2</w:t>
            </w:r>
          </w:p>
        </w:tc>
        <w:tc>
          <w:tcPr>
            <w:tcW w:w="270" w:type="pct"/>
            <w:vAlign w:val="bottom"/>
          </w:tcPr>
          <w:p w14:paraId="0F1470B2" w14:textId="77777777" w:rsidR="00587A3D" w:rsidRPr="000A1E50" w:rsidRDefault="00587A3D" w:rsidP="00422A25">
            <w:pPr>
              <w:keepNext/>
              <w:spacing w:line="360" w:lineRule="auto"/>
              <w:rPr>
                <w:rFonts w:cs="Times New Roman"/>
                <w:b/>
                <w:bCs/>
                <w:szCs w:val="24"/>
              </w:rPr>
            </w:pPr>
            <w:r w:rsidRPr="000A1E50">
              <w:rPr>
                <w:rFonts w:cs="Times New Roman"/>
                <w:b/>
                <w:bCs/>
                <w:color w:val="000000" w:themeColor="text1"/>
                <w:szCs w:val="24"/>
              </w:rPr>
              <w:t>0.0</w:t>
            </w:r>
          </w:p>
        </w:tc>
        <w:tc>
          <w:tcPr>
            <w:tcW w:w="271" w:type="pct"/>
            <w:vAlign w:val="bottom"/>
          </w:tcPr>
          <w:p w14:paraId="1E3406DA"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284.9</w:t>
            </w:r>
          </w:p>
        </w:tc>
        <w:tc>
          <w:tcPr>
            <w:tcW w:w="314" w:type="pct"/>
            <w:vAlign w:val="bottom"/>
          </w:tcPr>
          <w:p w14:paraId="4CF796C9"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301.1</w:t>
            </w:r>
          </w:p>
        </w:tc>
        <w:tc>
          <w:tcPr>
            <w:tcW w:w="271" w:type="pct"/>
            <w:tcBorders>
              <w:bottom w:val="single" w:sz="12" w:space="0" w:color="auto"/>
            </w:tcBorders>
            <w:vAlign w:val="bottom"/>
          </w:tcPr>
          <w:p w14:paraId="516082B2"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156.3</w:t>
            </w:r>
          </w:p>
        </w:tc>
        <w:tc>
          <w:tcPr>
            <w:tcW w:w="323" w:type="pct"/>
            <w:tcBorders>
              <w:bottom w:val="single" w:sz="12" w:space="0" w:color="auto"/>
            </w:tcBorders>
            <w:vAlign w:val="bottom"/>
          </w:tcPr>
          <w:p w14:paraId="7E82D328"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118.8</w:t>
            </w:r>
          </w:p>
        </w:tc>
        <w:tc>
          <w:tcPr>
            <w:tcW w:w="268" w:type="pct"/>
            <w:tcBorders>
              <w:bottom w:val="single" w:sz="12" w:space="0" w:color="auto"/>
            </w:tcBorders>
            <w:vAlign w:val="bottom"/>
          </w:tcPr>
          <w:p w14:paraId="7BEBA654" w14:textId="77777777" w:rsidR="00587A3D" w:rsidRPr="00AD6A48" w:rsidRDefault="00587A3D" w:rsidP="00422A25">
            <w:pPr>
              <w:spacing w:line="360" w:lineRule="auto"/>
              <w:rPr>
                <w:rFonts w:cs="Times New Roman"/>
                <w:szCs w:val="24"/>
              </w:rPr>
            </w:pPr>
            <w:r w:rsidRPr="00AD6A48">
              <w:rPr>
                <w:rFonts w:cs="Times New Roman"/>
                <w:color w:val="000000"/>
                <w:szCs w:val="24"/>
              </w:rPr>
              <w:t>15.8</w:t>
            </w:r>
          </w:p>
        </w:tc>
        <w:tc>
          <w:tcPr>
            <w:tcW w:w="324" w:type="pct"/>
            <w:tcBorders>
              <w:bottom w:val="single" w:sz="12" w:space="0" w:color="auto"/>
            </w:tcBorders>
            <w:vAlign w:val="bottom"/>
          </w:tcPr>
          <w:p w14:paraId="1A58EE03" w14:textId="77777777" w:rsidR="00587A3D" w:rsidRPr="00AD6A48" w:rsidRDefault="00587A3D" w:rsidP="00422A25">
            <w:pPr>
              <w:spacing w:line="360" w:lineRule="auto"/>
              <w:rPr>
                <w:rFonts w:cs="Times New Roman"/>
                <w:szCs w:val="24"/>
              </w:rPr>
            </w:pPr>
            <w:r w:rsidRPr="00AD6A48">
              <w:rPr>
                <w:rFonts w:cs="Times New Roman"/>
                <w:color w:val="000000"/>
                <w:szCs w:val="24"/>
              </w:rPr>
              <w:t>11.9</w:t>
            </w:r>
          </w:p>
        </w:tc>
        <w:tc>
          <w:tcPr>
            <w:tcW w:w="274" w:type="pct"/>
            <w:tcBorders>
              <w:bottom w:val="single" w:sz="12" w:space="0" w:color="auto"/>
            </w:tcBorders>
            <w:vAlign w:val="bottom"/>
          </w:tcPr>
          <w:p w14:paraId="60AFA88D" w14:textId="77777777" w:rsidR="00587A3D" w:rsidRPr="00CD1833" w:rsidRDefault="00587A3D" w:rsidP="00422A25">
            <w:pPr>
              <w:spacing w:line="360" w:lineRule="auto"/>
              <w:rPr>
                <w:rFonts w:cs="Times New Roman"/>
                <w:szCs w:val="24"/>
              </w:rPr>
            </w:pPr>
            <w:r w:rsidRPr="00CD1833">
              <w:rPr>
                <w:rFonts w:cs="Times New Roman"/>
                <w:color w:val="000000"/>
              </w:rPr>
              <w:t>298.9</w:t>
            </w:r>
          </w:p>
        </w:tc>
        <w:tc>
          <w:tcPr>
            <w:tcW w:w="274" w:type="pct"/>
            <w:tcBorders>
              <w:bottom w:val="single" w:sz="12" w:space="0" w:color="auto"/>
            </w:tcBorders>
            <w:vAlign w:val="bottom"/>
          </w:tcPr>
          <w:p w14:paraId="4DE223A8" w14:textId="77777777" w:rsidR="00587A3D" w:rsidRPr="00CD1833" w:rsidRDefault="00587A3D" w:rsidP="00422A25">
            <w:pPr>
              <w:spacing w:line="360" w:lineRule="auto"/>
              <w:rPr>
                <w:rFonts w:cs="Times New Roman"/>
                <w:szCs w:val="24"/>
              </w:rPr>
            </w:pPr>
            <w:r w:rsidRPr="00CD1833">
              <w:rPr>
                <w:rFonts w:cs="Times New Roman"/>
                <w:color w:val="000000"/>
              </w:rPr>
              <w:t>342.8</w:t>
            </w:r>
          </w:p>
        </w:tc>
        <w:tc>
          <w:tcPr>
            <w:tcW w:w="379" w:type="pct"/>
            <w:tcBorders>
              <w:bottom w:val="single" w:sz="12" w:space="0" w:color="auto"/>
            </w:tcBorders>
          </w:tcPr>
          <w:p w14:paraId="777EB639" w14:textId="77777777" w:rsidR="00587A3D" w:rsidRPr="00AD6A48" w:rsidRDefault="00587A3D" w:rsidP="00422A25">
            <w:pPr>
              <w:spacing w:line="360" w:lineRule="auto"/>
              <w:rPr>
                <w:szCs w:val="24"/>
              </w:rPr>
            </w:pPr>
            <w:r w:rsidRPr="00AD6A48">
              <w:rPr>
                <w:szCs w:val="24"/>
              </w:rPr>
              <w:t>765.7</w:t>
            </w:r>
          </w:p>
        </w:tc>
        <w:tc>
          <w:tcPr>
            <w:tcW w:w="369" w:type="pct"/>
            <w:tcBorders>
              <w:bottom w:val="single" w:sz="12" w:space="0" w:color="auto"/>
            </w:tcBorders>
          </w:tcPr>
          <w:p w14:paraId="5321B2E0" w14:textId="77777777" w:rsidR="00587A3D" w:rsidRPr="00AD6A48" w:rsidRDefault="00587A3D" w:rsidP="00422A25">
            <w:pPr>
              <w:spacing w:line="360" w:lineRule="auto"/>
              <w:rPr>
                <w:szCs w:val="24"/>
              </w:rPr>
            </w:pPr>
            <w:r w:rsidRPr="00AD6A48">
              <w:rPr>
                <w:szCs w:val="24"/>
              </w:rPr>
              <w:t>780.9</w:t>
            </w:r>
          </w:p>
        </w:tc>
      </w:tr>
      <w:tr w:rsidR="00587A3D" w:rsidRPr="00860424" w14:paraId="683D3CC7" w14:textId="77777777" w:rsidTr="00422A25">
        <w:trPr>
          <w:jc w:val="center"/>
        </w:trPr>
        <w:tc>
          <w:tcPr>
            <w:tcW w:w="496" w:type="pct"/>
            <w:vMerge w:val="restart"/>
            <w:tcBorders>
              <w:top w:val="single" w:sz="12" w:space="0" w:color="auto"/>
            </w:tcBorders>
            <w:vAlign w:val="center"/>
          </w:tcPr>
          <w:p w14:paraId="52623446" w14:textId="77777777" w:rsidR="00587A3D" w:rsidRPr="00860424" w:rsidRDefault="00587A3D" w:rsidP="00422A25">
            <w:pPr>
              <w:spacing w:line="360" w:lineRule="auto"/>
              <w:rPr>
                <w:rFonts w:cs="Times New Roman"/>
              </w:rPr>
            </w:pPr>
            <w:r w:rsidRPr="00860424">
              <w:rPr>
                <w:rFonts w:cs="Times New Roman"/>
              </w:rPr>
              <w:t>-N-P</w:t>
            </w:r>
          </w:p>
        </w:tc>
        <w:tc>
          <w:tcPr>
            <w:tcW w:w="361" w:type="pct"/>
            <w:tcBorders>
              <w:top w:val="single" w:sz="12" w:space="0" w:color="auto"/>
            </w:tcBorders>
          </w:tcPr>
          <w:p w14:paraId="1C7C3B1F" w14:textId="77777777" w:rsidR="00587A3D" w:rsidRPr="00860424" w:rsidRDefault="00587A3D" w:rsidP="00422A25">
            <w:pPr>
              <w:spacing w:line="360" w:lineRule="auto"/>
              <w:rPr>
                <w:rFonts w:cs="Times New Roman"/>
              </w:rPr>
            </w:pPr>
            <w:r w:rsidRPr="00860424">
              <w:rPr>
                <w:rFonts w:cs="Times New Roman"/>
              </w:rPr>
              <w:t>0-10</w:t>
            </w:r>
          </w:p>
        </w:tc>
        <w:tc>
          <w:tcPr>
            <w:tcW w:w="267" w:type="pct"/>
            <w:vAlign w:val="bottom"/>
          </w:tcPr>
          <w:p w14:paraId="64F4D7FF"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0.5</w:t>
            </w:r>
          </w:p>
        </w:tc>
        <w:tc>
          <w:tcPr>
            <w:tcW w:w="272" w:type="pct"/>
            <w:vAlign w:val="bottom"/>
          </w:tcPr>
          <w:p w14:paraId="200F3345"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1.2</w:t>
            </w:r>
          </w:p>
        </w:tc>
        <w:tc>
          <w:tcPr>
            <w:tcW w:w="267" w:type="pct"/>
            <w:vAlign w:val="bottom"/>
          </w:tcPr>
          <w:p w14:paraId="022EAB8C"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32.3</w:t>
            </w:r>
          </w:p>
        </w:tc>
        <w:tc>
          <w:tcPr>
            <w:tcW w:w="270" w:type="pct"/>
            <w:vAlign w:val="bottom"/>
          </w:tcPr>
          <w:p w14:paraId="5377C64A" w14:textId="77777777" w:rsidR="00587A3D" w:rsidRPr="000A1E50" w:rsidRDefault="00587A3D" w:rsidP="00422A25">
            <w:pPr>
              <w:keepNext/>
              <w:spacing w:line="360" w:lineRule="auto"/>
              <w:rPr>
                <w:rFonts w:cs="Times New Roman"/>
                <w:color w:val="92D050"/>
                <w:szCs w:val="24"/>
                <w:u w:val="single"/>
              </w:rPr>
            </w:pPr>
            <w:r w:rsidRPr="000A1E50">
              <w:rPr>
                <w:rFonts w:cs="Times New Roman"/>
                <w:color w:val="000000" w:themeColor="text1"/>
                <w:szCs w:val="24"/>
                <w:u w:val="single"/>
              </w:rPr>
              <w:t>41.2</w:t>
            </w:r>
          </w:p>
        </w:tc>
        <w:tc>
          <w:tcPr>
            <w:tcW w:w="271" w:type="pct"/>
            <w:vAlign w:val="bottom"/>
          </w:tcPr>
          <w:p w14:paraId="34FEFA13"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51.5</w:t>
            </w:r>
          </w:p>
        </w:tc>
        <w:tc>
          <w:tcPr>
            <w:tcW w:w="314" w:type="pct"/>
            <w:vAlign w:val="bottom"/>
          </w:tcPr>
          <w:p w14:paraId="34CC78AE"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31.8</w:t>
            </w:r>
          </w:p>
        </w:tc>
        <w:tc>
          <w:tcPr>
            <w:tcW w:w="271" w:type="pct"/>
            <w:tcBorders>
              <w:top w:val="single" w:sz="12" w:space="0" w:color="auto"/>
            </w:tcBorders>
            <w:vAlign w:val="bottom"/>
          </w:tcPr>
          <w:p w14:paraId="233E7385"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164.8</w:t>
            </w:r>
          </w:p>
        </w:tc>
        <w:tc>
          <w:tcPr>
            <w:tcW w:w="323" w:type="pct"/>
            <w:tcBorders>
              <w:top w:val="single" w:sz="12" w:space="0" w:color="auto"/>
            </w:tcBorders>
            <w:vAlign w:val="bottom"/>
          </w:tcPr>
          <w:p w14:paraId="2DE273A8"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216.7</w:t>
            </w:r>
          </w:p>
        </w:tc>
        <w:tc>
          <w:tcPr>
            <w:tcW w:w="268" w:type="pct"/>
            <w:tcBorders>
              <w:top w:val="single" w:sz="12" w:space="0" w:color="auto"/>
            </w:tcBorders>
            <w:vAlign w:val="bottom"/>
          </w:tcPr>
          <w:p w14:paraId="637BD2AA" w14:textId="77777777" w:rsidR="00587A3D" w:rsidRPr="00AD6A48" w:rsidRDefault="00587A3D" w:rsidP="00422A25">
            <w:pPr>
              <w:spacing w:line="360" w:lineRule="auto"/>
              <w:rPr>
                <w:rFonts w:cs="Times New Roman"/>
                <w:szCs w:val="24"/>
              </w:rPr>
            </w:pPr>
            <w:r w:rsidRPr="00AD6A48">
              <w:rPr>
                <w:rFonts w:cs="Times New Roman"/>
                <w:color w:val="000000"/>
                <w:szCs w:val="24"/>
              </w:rPr>
              <w:t>4.2</w:t>
            </w:r>
          </w:p>
        </w:tc>
        <w:tc>
          <w:tcPr>
            <w:tcW w:w="324" w:type="pct"/>
            <w:tcBorders>
              <w:top w:val="single" w:sz="12" w:space="0" w:color="auto"/>
            </w:tcBorders>
            <w:vAlign w:val="bottom"/>
          </w:tcPr>
          <w:p w14:paraId="204DAD69" w14:textId="77777777" w:rsidR="00587A3D" w:rsidRPr="00AD6A48" w:rsidRDefault="00587A3D" w:rsidP="00422A25">
            <w:pPr>
              <w:spacing w:line="360" w:lineRule="auto"/>
              <w:rPr>
                <w:rFonts w:cs="Times New Roman"/>
                <w:szCs w:val="24"/>
              </w:rPr>
            </w:pPr>
            <w:r w:rsidRPr="00AD6A48">
              <w:rPr>
                <w:rFonts w:cs="Times New Roman"/>
                <w:color w:val="000000"/>
                <w:szCs w:val="24"/>
              </w:rPr>
              <w:t>3.2</w:t>
            </w:r>
          </w:p>
        </w:tc>
        <w:tc>
          <w:tcPr>
            <w:tcW w:w="274" w:type="pct"/>
            <w:tcBorders>
              <w:top w:val="single" w:sz="12" w:space="0" w:color="auto"/>
            </w:tcBorders>
            <w:vAlign w:val="bottom"/>
          </w:tcPr>
          <w:p w14:paraId="5F024CF7" w14:textId="77777777" w:rsidR="00587A3D" w:rsidRPr="00CD1833" w:rsidRDefault="00587A3D" w:rsidP="00422A25">
            <w:pPr>
              <w:spacing w:line="360" w:lineRule="auto"/>
              <w:rPr>
                <w:rFonts w:cs="Times New Roman"/>
                <w:szCs w:val="24"/>
              </w:rPr>
            </w:pPr>
            <w:r w:rsidRPr="00CD1833">
              <w:rPr>
                <w:rFonts w:cs="Times New Roman"/>
                <w:color w:val="000000"/>
              </w:rPr>
              <w:t>217.5</w:t>
            </w:r>
          </w:p>
        </w:tc>
        <w:tc>
          <w:tcPr>
            <w:tcW w:w="274" w:type="pct"/>
            <w:tcBorders>
              <w:top w:val="single" w:sz="12" w:space="0" w:color="auto"/>
            </w:tcBorders>
            <w:vAlign w:val="bottom"/>
          </w:tcPr>
          <w:p w14:paraId="764F85EE" w14:textId="77777777" w:rsidR="00587A3D" w:rsidRPr="00CD1833" w:rsidRDefault="00587A3D" w:rsidP="00422A25">
            <w:pPr>
              <w:spacing w:line="360" w:lineRule="auto"/>
              <w:rPr>
                <w:rFonts w:cs="Times New Roman"/>
                <w:szCs w:val="24"/>
              </w:rPr>
            </w:pPr>
            <w:r w:rsidRPr="00CD1833">
              <w:rPr>
                <w:rFonts w:cs="Times New Roman"/>
                <w:color w:val="000000"/>
              </w:rPr>
              <w:t>146.2</w:t>
            </w:r>
          </w:p>
        </w:tc>
        <w:tc>
          <w:tcPr>
            <w:tcW w:w="379" w:type="pct"/>
            <w:tcBorders>
              <w:top w:val="single" w:sz="12" w:space="0" w:color="auto"/>
            </w:tcBorders>
          </w:tcPr>
          <w:p w14:paraId="63D1F25F" w14:textId="77777777" w:rsidR="00587A3D" w:rsidRPr="00AD6A48" w:rsidRDefault="00587A3D" w:rsidP="00422A25">
            <w:pPr>
              <w:spacing w:line="360" w:lineRule="auto"/>
              <w:rPr>
                <w:szCs w:val="24"/>
              </w:rPr>
            </w:pPr>
            <w:r w:rsidRPr="00AD6A48">
              <w:rPr>
                <w:szCs w:val="24"/>
              </w:rPr>
              <w:t>470.7</w:t>
            </w:r>
          </w:p>
        </w:tc>
        <w:tc>
          <w:tcPr>
            <w:tcW w:w="369" w:type="pct"/>
            <w:tcBorders>
              <w:top w:val="single" w:sz="12" w:space="0" w:color="auto"/>
            </w:tcBorders>
          </w:tcPr>
          <w:p w14:paraId="084C0A8B" w14:textId="77777777" w:rsidR="00587A3D" w:rsidRPr="00AD6A48" w:rsidRDefault="00587A3D" w:rsidP="00422A25">
            <w:pPr>
              <w:spacing w:line="360" w:lineRule="auto"/>
              <w:rPr>
                <w:szCs w:val="24"/>
              </w:rPr>
            </w:pPr>
            <w:r w:rsidRPr="00AD6A48">
              <w:rPr>
                <w:szCs w:val="24"/>
              </w:rPr>
              <w:t>440.4</w:t>
            </w:r>
          </w:p>
        </w:tc>
      </w:tr>
      <w:tr w:rsidR="00587A3D" w:rsidRPr="00860424" w14:paraId="330F97B3" w14:textId="77777777" w:rsidTr="00422A25">
        <w:trPr>
          <w:jc w:val="center"/>
        </w:trPr>
        <w:tc>
          <w:tcPr>
            <w:tcW w:w="496" w:type="pct"/>
            <w:vMerge/>
          </w:tcPr>
          <w:p w14:paraId="105186AC" w14:textId="77777777" w:rsidR="00587A3D" w:rsidRPr="00860424" w:rsidRDefault="00587A3D" w:rsidP="00422A25">
            <w:pPr>
              <w:spacing w:line="360" w:lineRule="auto"/>
              <w:rPr>
                <w:rFonts w:cs="Times New Roman"/>
              </w:rPr>
            </w:pPr>
          </w:p>
        </w:tc>
        <w:tc>
          <w:tcPr>
            <w:tcW w:w="361" w:type="pct"/>
          </w:tcPr>
          <w:p w14:paraId="22A828F0" w14:textId="77777777" w:rsidR="00587A3D" w:rsidRPr="00860424" w:rsidRDefault="00587A3D" w:rsidP="00422A25">
            <w:pPr>
              <w:spacing w:line="360" w:lineRule="auto"/>
              <w:rPr>
                <w:rFonts w:cs="Times New Roman"/>
              </w:rPr>
            </w:pPr>
            <w:r w:rsidRPr="00860424">
              <w:rPr>
                <w:rFonts w:cs="Times New Roman"/>
              </w:rPr>
              <w:t>10-20</w:t>
            </w:r>
          </w:p>
        </w:tc>
        <w:tc>
          <w:tcPr>
            <w:tcW w:w="267" w:type="pct"/>
            <w:vAlign w:val="bottom"/>
          </w:tcPr>
          <w:p w14:paraId="2837385C"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0.4</w:t>
            </w:r>
          </w:p>
        </w:tc>
        <w:tc>
          <w:tcPr>
            <w:tcW w:w="272" w:type="pct"/>
            <w:vAlign w:val="bottom"/>
          </w:tcPr>
          <w:p w14:paraId="6979EB99"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0.6</w:t>
            </w:r>
          </w:p>
        </w:tc>
        <w:tc>
          <w:tcPr>
            <w:tcW w:w="267" w:type="pct"/>
            <w:vAlign w:val="bottom"/>
          </w:tcPr>
          <w:p w14:paraId="0550460B"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16.0</w:t>
            </w:r>
          </w:p>
        </w:tc>
        <w:tc>
          <w:tcPr>
            <w:tcW w:w="270" w:type="pct"/>
            <w:vAlign w:val="bottom"/>
          </w:tcPr>
          <w:p w14:paraId="739BD854"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19.0</w:t>
            </w:r>
          </w:p>
        </w:tc>
        <w:tc>
          <w:tcPr>
            <w:tcW w:w="271" w:type="pct"/>
            <w:vAlign w:val="bottom"/>
          </w:tcPr>
          <w:p w14:paraId="3CC70188"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37.4</w:t>
            </w:r>
          </w:p>
        </w:tc>
        <w:tc>
          <w:tcPr>
            <w:tcW w:w="314" w:type="pct"/>
            <w:vAlign w:val="bottom"/>
          </w:tcPr>
          <w:p w14:paraId="3992915A" w14:textId="77777777" w:rsidR="00587A3D" w:rsidRPr="000A1E50" w:rsidRDefault="00587A3D" w:rsidP="00422A25">
            <w:pPr>
              <w:keepNext/>
              <w:spacing w:line="360" w:lineRule="auto"/>
              <w:rPr>
                <w:rFonts w:cs="Times New Roman"/>
                <w:b/>
                <w:bCs/>
                <w:szCs w:val="24"/>
              </w:rPr>
            </w:pPr>
            <w:r w:rsidRPr="000A1E50">
              <w:rPr>
                <w:rFonts w:cs="Times New Roman"/>
                <w:b/>
                <w:bCs/>
                <w:color w:val="000000" w:themeColor="text1"/>
                <w:szCs w:val="24"/>
              </w:rPr>
              <w:t>28.0</w:t>
            </w:r>
          </w:p>
        </w:tc>
        <w:tc>
          <w:tcPr>
            <w:tcW w:w="271" w:type="pct"/>
            <w:vAlign w:val="bottom"/>
          </w:tcPr>
          <w:p w14:paraId="46DF0675"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159.3</w:t>
            </w:r>
          </w:p>
        </w:tc>
        <w:tc>
          <w:tcPr>
            <w:tcW w:w="323" w:type="pct"/>
            <w:vAlign w:val="bottom"/>
          </w:tcPr>
          <w:p w14:paraId="75078B65"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163.3</w:t>
            </w:r>
          </w:p>
        </w:tc>
        <w:tc>
          <w:tcPr>
            <w:tcW w:w="268" w:type="pct"/>
            <w:vAlign w:val="bottom"/>
          </w:tcPr>
          <w:p w14:paraId="3D7B9A2D" w14:textId="77777777" w:rsidR="00587A3D" w:rsidRPr="00AD6A48" w:rsidRDefault="00587A3D" w:rsidP="00422A25">
            <w:pPr>
              <w:spacing w:line="360" w:lineRule="auto"/>
              <w:rPr>
                <w:rFonts w:cs="Times New Roman"/>
                <w:szCs w:val="24"/>
              </w:rPr>
            </w:pPr>
            <w:r w:rsidRPr="00AD6A48">
              <w:rPr>
                <w:rFonts w:cs="Times New Roman"/>
                <w:color w:val="000000"/>
                <w:szCs w:val="24"/>
              </w:rPr>
              <w:t>3.7</w:t>
            </w:r>
          </w:p>
        </w:tc>
        <w:tc>
          <w:tcPr>
            <w:tcW w:w="324" w:type="pct"/>
            <w:vAlign w:val="bottom"/>
          </w:tcPr>
          <w:p w14:paraId="49D68D2F" w14:textId="77777777" w:rsidR="00587A3D" w:rsidRPr="000A1E50" w:rsidRDefault="00587A3D" w:rsidP="00422A25">
            <w:pPr>
              <w:spacing w:line="360" w:lineRule="auto"/>
              <w:rPr>
                <w:rFonts w:cs="Times New Roman"/>
                <w:b/>
                <w:bCs/>
                <w:szCs w:val="24"/>
              </w:rPr>
            </w:pPr>
            <w:r w:rsidRPr="000A1E50">
              <w:rPr>
                <w:rFonts w:cs="Times New Roman"/>
                <w:b/>
                <w:bCs/>
                <w:color w:val="000000" w:themeColor="text1"/>
                <w:szCs w:val="24"/>
              </w:rPr>
              <w:t>1.7</w:t>
            </w:r>
          </w:p>
        </w:tc>
        <w:tc>
          <w:tcPr>
            <w:tcW w:w="274" w:type="pct"/>
            <w:vAlign w:val="bottom"/>
          </w:tcPr>
          <w:p w14:paraId="46F31FF0" w14:textId="77777777" w:rsidR="00587A3D" w:rsidRPr="00CD1833" w:rsidRDefault="00587A3D" w:rsidP="00422A25">
            <w:pPr>
              <w:spacing w:line="360" w:lineRule="auto"/>
              <w:rPr>
                <w:rFonts w:cs="Times New Roman"/>
                <w:szCs w:val="24"/>
              </w:rPr>
            </w:pPr>
            <w:r w:rsidRPr="00CD1833">
              <w:rPr>
                <w:rFonts w:cs="Times New Roman"/>
                <w:color w:val="000000"/>
              </w:rPr>
              <w:t>231.9</w:t>
            </w:r>
          </w:p>
        </w:tc>
        <w:tc>
          <w:tcPr>
            <w:tcW w:w="274" w:type="pct"/>
            <w:vAlign w:val="bottom"/>
          </w:tcPr>
          <w:p w14:paraId="781D082F" w14:textId="77777777" w:rsidR="00587A3D" w:rsidRPr="00CD1833" w:rsidRDefault="00587A3D" w:rsidP="00422A25">
            <w:pPr>
              <w:spacing w:line="360" w:lineRule="auto"/>
              <w:rPr>
                <w:rFonts w:cs="Times New Roman"/>
                <w:szCs w:val="24"/>
              </w:rPr>
            </w:pPr>
            <w:r w:rsidRPr="00CD1833">
              <w:rPr>
                <w:rFonts w:cs="Times New Roman"/>
                <w:color w:val="000000"/>
              </w:rPr>
              <w:t>183.9</w:t>
            </w:r>
          </w:p>
        </w:tc>
        <w:tc>
          <w:tcPr>
            <w:tcW w:w="379" w:type="pct"/>
          </w:tcPr>
          <w:p w14:paraId="0CCFF6A7" w14:textId="77777777" w:rsidR="00587A3D" w:rsidRPr="00AD6A48" w:rsidRDefault="00587A3D" w:rsidP="00422A25">
            <w:pPr>
              <w:spacing w:line="360" w:lineRule="auto"/>
              <w:rPr>
                <w:szCs w:val="24"/>
              </w:rPr>
            </w:pPr>
            <w:r w:rsidRPr="00AD6A48">
              <w:rPr>
                <w:szCs w:val="24"/>
              </w:rPr>
              <w:t>448.7</w:t>
            </w:r>
          </w:p>
        </w:tc>
        <w:tc>
          <w:tcPr>
            <w:tcW w:w="369" w:type="pct"/>
          </w:tcPr>
          <w:p w14:paraId="213616A6" w14:textId="77777777" w:rsidR="00587A3D" w:rsidRPr="00AD6A48" w:rsidRDefault="00587A3D" w:rsidP="00422A25">
            <w:pPr>
              <w:spacing w:line="360" w:lineRule="auto"/>
              <w:rPr>
                <w:szCs w:val="24"/>
              </w:rPr>
            </w:pPr>
            <w:r w:rsidRPr="00AD6A48">
              <w:rPr>
                <w:szCs w:val="24"/>
              </w:rPr>
              <w:t>396.5</w:t>
            </w:r>
          </w:p>
        </w:tc>
      </w:tr>
      <w:tr w:rsidR="00587A3D" w:rsidRPr="00860424" w14:paraId="6E24A828" w14:textId="77777777" w:rsidTr="00422A25">
        <w:trPr>
          <w:jc w:val="center"/>
        </w:trPr>
        <w:tc>
          <w:tcPr>
            <w:tcW w:w="496" w:type="pct"/>
            <w:vMerge/>
          </w:tcPr>
          <w:p w14:paraId="783B8D1C" w14:textId="77777777" w:rsidR="00587A3D" w:rsidRPr="00860424" w:rsidRDefault="00587A3D" w:rsidP="00422A25">
            <w:pPr>
              <w:spacing w:line="360" w:lineRule="auto"/>
              <w:rPr>
                <w:rFonts w:cs="Times New Roman"/>
              </w:rPr>
            </w:pPr>
          </w:p>
        </w:tc>
        <w:tc>
          <w:tcPr>
            <w:tcW w:w="361" w:type="pct"/>
          </w:tcPr>
          <w:p w14:paraId="1FA15845" w14:textId="77777777" w:rsidR="00587A3D" w:rsidRPr="00860424" w:rsidRDefault="00587A3D" w:rsidP="00422A25">
            <w:pPr>
              <w:spacing w:line="360" w:lineRule="auto"/>
              <w:rPr>
                <w:rFonts w:cs="Times New Roman"/>
              </w:rPr>
            </w:pPr>
            <w:r w:rsidRPr="00860424">
              <w:rPr>
                <w:rFonts w:cs="Times New Roman"/>
              </w:rPr>
              <w:t>20-30</w:t>
            </w:r>
          </w:p>
        </w:tc>
        <w:tc>
          <w:tcPr>
            <w:tcW w:w="267" w:type="pct"/>
            <w:vAlign w:val="bottom"/>
          </w:tcPr>
          <w:p w14:paraId="0BC41487"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0.3</w:t>
            </w:r>
          </w:p>
        </w:tc>
        <w:tc>
          <w:tcPr>
            <w:tcW w:w="272" w:type="pct"/>
            <w:vAlign w:val="bottom"/>
          </w:tcPr>
          <w:p w14:paraId="7C544120" w14:textId="77777777" w:rsidR="00587A3D" w:rsidRPr="000A1E50" w:rsidRDefault="00587A3D" w:rsidP="00422A25">
            <w:pPr>
              <w:keepNext/>
              <w:spacing w:line="360" w:lineRule="auto"/>
              <w:rPr>
                <w:rFonts w:cs="Times New Roman"/>
                <w:b/>
                <w:bCs/>
                <w:szCs w:val="24"/>
              </w:rPr>
            </w:pPr>
            <w:r w:rsidRPr="000A1E50">
              <w:rPr>
                <w:rFonts w:cs="Times New Roman"/>
                <w:b/>
                <w:bCs/>
                <w:color w:val="000000" w:themeColor="text1"/>
                <w:szCs w:val="24"/>
              </w:rPr>
              <w:t>0.2</w:t>
            </w:r>
          </w:p>
        </w:tc>
        <w:tc>
          <w:tcPr>
            <w:tcW w:w="267" w:type="pct"/>
            <w:vAlign w:val="bottom"/>
          </w:tcPr>
          <w:p w14:paraId="475370C5"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3.0</w:t>
            </w:r>
          </w:p>
        </w:tc>
        <w:tc>
          <w:tcPr>
            <w:tcW w:w="270" w:type="pct"/>
            <w:vAlign w:val="bottom"/>
          </w:tcPr>
          <w:p w14:paraId="671A110D"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7.2</w:t>
            </w:r>
          </w:p>
        </w:tc>
        <w:tc>
          <w:tcPr>
            <w:tcW w:w="271" w:type="pct"/>
            <w:vAlign w:val="bottom"/>
          </w:tcPr>
          <w:p w14:paraId="6E0D179B"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38.5</w:t>
            </w:r>
          </w:p>
        </w:tc>
        <w:tc>
          <w:tcPr>
            <w:tcW w:w="314" w:type="pct"/>
            <w:vAlign w:val="bottom"/>
          </w:tcPr>
          <w:p w14:paraId="074F8721"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31.6</w:t>
            </w:r>
          </w:p>
        </w:tc>
        <w:tc>
          <w:tcPr>
            <w:tcW w:w="271" w:type="pct"/>
            <w:vAlign w:val="bottom"/>
          </w:tcPr>
          <w:p w14:paraId="10FFAD2C"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130.7</w:t>
            </w:r>
          </w:p>
        </w:tc>
        <w:tc>
          <w:tcPr>
            <w:tcW w:w="323" w:type="pct"/>
            <w:vAlign w:val="bottom"/>
          </w:tcPr>
          <w:p w14:paraId="3BA31C98" w14:textId="77777777" w:rsidR="00587A3D" w:rsidRPr="00CD1833" w:rsidRDefault="00587A3D" w:rsidP="00422A25">
            <w:pPr>
              <w:keepNext/>
              <w:spacing w:line="360" w:lineRule="auto"/>
              <w:rPr>
                <w:rFonts w:cs="Times New Roman"/>
                <w:szCs w:val="24"/>
              </w:rPr>
            </w:pPr>
            <w:r w:rsidRPr="00CD1833">
              <w:rPr>
                <w:rFonts w:cs="Times New Roman"/>
                <w:color w:val="000000"/>
                <w:szCs w:val="24"/>
              </w:rPr>
              <w:t>135.2</w:t>
            </w:r>
          </w:p>
        </w:tc>
        <w:tc>
          <w:tcPr>
            <w:tcW w:w="268" w:type="pct"/>
            <w:vAlign w:val="bottom"/>
          </w:tcPr>
          <w:p w14:paraId="7B8CC21D" w14:textId="77777777" w:rsidR="00587A3D" w:rsidRPr="00AD6A48" w:rsidRDefault="00587A3D" w:rsidP="00422A25">
            <w:pPr>
              <w:spacing w:line="360" w:lineRule="auto"/>
              <w:rPr>
                <w:rFonts w:cs="Times New Roman"/>
                <w:szCs w:val="24"/>
              </w:rPr>
            </w:pPr>
            <w:r w:rsidRPr="00AD6A48">
              <w:rPr>
                <w:rFonts w:cs="Times New Roman"/>
                <w:color w:val="000000"/>
                <w:szCs w:val="24"/>
              </w:rPr>
              <w:t>5.3</w:t>
            </w:r>
          </w:p>
        </w:tc>
        <w:tc>
          <w:tcPr>
            <w:tcW w:w="324" w:type="pct"/>
            <w:vAlign w:val="bottom"/>
          </w:tcPr>
          <w:p w14:paraId="61FFDD00" w14:textId="77777777" w:rsidR="00587A3D" w:rsidRPr="00AD6A48" w:rsidRDefault="00587A3D" w:rsidP="00422A25">
            <w:pPr>
              <w:spacing w:line="360" w:lineRule="auto"/>
              <w:rPr>
                <w:rFonts w:cs="Times New Roman"/>
                <w:szCs w:val="24"/>
              </w:rPr>
            </w:pPr>
            <w:r w:rsidRPr="00AD6A48">
              <w:rPr>
                <w:rFonts w:cs="Times New Roman"/>
                <w:color w:val="000000"/>
                <w:szCs w:val="24"/>
              </w:rPr>
              <w:t>4.6</w:t>
            </w:r>
          </w:p>
        </w:tc>
        <w:tc>
          <w:tcPr>
            <w:tcW w:w="274" w:type="pct"/>
            <w:vAlign w:val="bottom"/>
          </w:tcPr>
          <w:p w14:paraId="2FCE3C9E" w14:textId="77777777" w:rsidR="00587A3D" w:rsidRPr="00CD1833" w:rsidRDefault="00587A3D" w:rsidP="00422A25">
            <w:pPr>
              <w:spacing w:line="360" w:lineRule="auto"/>
              <w:rPr>
                <w:rFonts w:cs="Times New Roman"/>
                <w:szCs w:val="24"/>
              </w:rPr>
            </w:pPr>
            <w:r w:rsidRPr="00CD1833">
              <w:rPr>
                <w:rFonts w:cs="Times New Roman"/>
                <w:color w:val="000000"/>
              </w:rPr>
              <w:t>173.5</w:t>
            </w:r>
          </w:p>
        </w:tc>
        <w:tc>
          <w:tcPr>
            <w:tcW w:w="274" w:type="pct"/>
            <w:vAlign w:val="bottom"/>
          </w:tcPr>
          <w:p w14:paraId="15F8374B" w14:textId="77777777" w:rsidR="00587A3D" w:rsidRPr="00CD1833" w:rsidRDefault="00587A3D" w:rsidP="00422A25">
            <w:pPr>
              <w:spacing w:line="360" w:lineRule="auto"/>
              <w:rPr>
                <w:rFonts w:cs="Times New Roman"/>
                <w:szCs w:val="24"/>
              </w:rPr>
            </w:pPr>
            <w:r w:rsidRPr="00CD1833">
              <w:rPr>
                <w:rFonts w:cs="Times New Roman"/>
                <w:color w:val="000000"/>
              </w:rPr>
              <w:t>184.6</w:t>
            </w:r>
          </w:p>
        </w:tc>
        <w:tc>
          <w:tcPr>
            <w:tcW w:w="379" w:type="pct"/>
          </w:tcPr>
          <w:p w14:paraId="6E6DED11" w14:textId="77777777" w:rsidR="00587A3D" w:rsidRPr="000A1E50" w:rsidRDefault="00587A3D" w:rsidP="00422A25">
            <w:pPr>
              <w:spacing w:line="360" w:lineRule="auto"/>
              <w:rPr>
                <w:b/>
                <w:bCs/>
                <w:color w:val="FF0000"/>
                <w:szCs w:val="24"/>
              </w:rPr>
            </w:pPr>
            <w:r w:rsidRPr="000A1E50">
              <w:rPr>
                <w:b/>
                <w:bCs/>
                <w:color w:val="000000" w:themeColor="text1"/>
                <w:szCs w:val="24"/>
              </w:rPr>
              <w:t>351.3</w:t>
            </w:r>
          </w:p>
        </w:tc>
        <w:tc>
          <w:tcPr>
            <w:tcW w:w="369" w:type="pct"/>
          </w:tcPr>
          <w:p w14:paraId="0A2CA78E" w14:textId="77777777" w:rsidR="00587A3D" w:rsidRPr="00AD6A48" w:rsidRDefault="00587A3D" w:rsidP="00422A25">
            <w:pPr>
              <w:spacing w:line="360" w:lineRule="auto"/>
              <w:rPr>
                <w:szCs w:val="24"/>
              </w:rPr>
            </w:pPr>
            <w:r w:rsidRPr="00AD6A48">
              <w:rPr>
                <w:szCs w:val="24"/>
              </w:rPr>
              <w:t>363.4</w:t>
            </w:r>
          </w:p>
        </w:tc>
      </w:tr>
    </w:tbl>
    <w:p w14:paraId="6805B6D8" w14:textId="77777777" w:rsidR="00804743" w:rsidRDefault="00804743" w:rsidP="00804743">
      <w:pPr>
        <w:widowControl w:val="0"/>
        <w:autoSpaceDE w:val="0"/>
        <w:autoSpaceDN w:val="0"/>
        <w:adjustRightInd w:val="0"/>
        <w:spacing w:line="360" w:lineRule="auto"/>
        <w:sectPr w:rsidR="00804743" w:rsidSect="002E2406">
          <w:pgSz w:w="16838" w:h="11906" w:orient="landscape"/>
          <w:pgMar w:top="1440" w:right="1440" w:bottom="1440" w:left="1440" w:header="708" w:footer="708" w:gutter="0"/>
          <w:lnNumType w:countBy="1" w:restart="continuous"/>
          <w:cols w:space="708"/>
          <w:docGrid w:linePitch="360"/>
        </w:sectPr>
      </w:pPr>
    </w:p>
    <w:p w14:paraId="750DF861" w14:textId="4B09424C" w:rsidR="007F529E" w:rsidRPr="007F529E" w:rsidRDefault="007F529E" w:rsidP="00804743">
      <w:pPr>
        <w:widowControl w:val="0"/>
        <w:autoSpaceDE w:val="0"/>
        <w:autoSpaceDN w:val="0"/>
        <w:adjustRightInd w:val="0"/>
        <w:spacing w:line="360" w:lineRule="auto"/>
      </w:pPr>
      <w:r>
        <w:lastRenderedPageBreak/>
        <w:t>Table 3</w:t>
      </w:r>
    </w:p>
    <w:tbl>
      <w:tblPr>
        <w:tblStyle w:val="TableGrid1"/>
        <w:tblW w:w="5000" w:type="pct"/>
        <w:jc w:val="center"/>
        <w:tblLook w:val="04A0" w:firstRow="1" w:lastRow="0" w:firstColumn="1" w:lastColumn="0" w:noHBand="0" w:noVBand="1"/>
      </w:tblPr>
      <w:tblGrid>
        <w:gridCol w:w="1309"/>
        <w:gridCol w:w="1350"/>
        <w:gridCol w:w="792"/>
        <w:gridCol w:w="826"/>
        <w:gridCol w:w="1400"/>
        <w:gridCol w:w="1445"/>
        <w:gridCol w:w="725"/>
        <w:gridCol w:w="725"/>
        <w:gridCol w:w="1040"/>
        <w:gridCol w:w="742"/>
        <w:gridCol w:w="1001"/>
        <w:gridCol w:w="962"/>
        <w:gridCol w:w="827"/>
        <w:gridCol w:w="804"/>
      </w:tblGrid>
      <w:tr w:rsidR="007F529E" w:rsidRPr="00860424" w14:paraId="6E4EC8BC" w14:textId="77777777" w:rsidTr="00422A25">
        <w:trPr>
          <w:jc w:val="center"/>
        </w:trPr>
        <w:tc>
          <w:tcPr>
            <w:tcW w:w="456" w:type="pct"/>
            <w:vMerge w:val="restart"/>
          </w:tcPr>
          <w:p w14:paraId="08FB6509" w14:textId="77777777" w:rsidR="007F529E" w:rsidRPr="00860424" w:rsidRDefault="007F529E" w:rsidP="00422A25">
            <w:pPr>
              <w:spacing w:line="360" w:lineRule="auto"/>
              <w:rPr>
                <w:rFonts w:cs="Times New Roman"/>
                <w:b/>
              </w:rPr>
            </w:pPr>
            <w:r w:rsidRPr="00860424">
              <w:rPr>
                <w:rFonts w:cs="Times New Roman"/>
                <w:b/>
              </w:rPr>
              <w:t>Treatment</w:t>
            </w:r>
          </w:p>
        </w:tc>
        <w:tc>
          <w:tcPr>
            <w:tcW w:w="485" w:type="pct"/>
            <w:vMerge w:val="restart"/>
            <w:vAlign w:val="center"/>
          </w:tcPr>
          <w:p w14:paraId="2F5FBDE5" w14:textId="77777777" w:rsidR="007F529E" w:rsidRPr="00860424" w:rsidRDefault="007F529E" w:rsidP="00422A25">
            <w:pPr>
              <w:spacing w:line="360" w:lineRule="auto"/>
              <w:jc w:val="center"/>
              <w:rPr>
                <w:rFonts w:cs="Times New Roman"/>
                <w:b/>
              </w:rPr>
            </w:pPr>
            <w:r w:rsidRPr="00860424">
              <w:rPr>
                <w:rFonts w:cs="Times New Roman"/>
                <w:b/>
              </w:rPr>
              <w:t>Depth (cm)</w:t>
            </w:r>
          </w:p>
        </w:tc>
        <w:tc>
          <w:tcPr>
            <w:tcW w:w="582" w:type="pct"/>
            <w:gridSpan w:val="2"/>
            <w:vMerge w:val="restart"/>
          </w:tcPr>
          <w:p w14:paraId="0704D9CE" w14:textId="77777777" w:rsidR="007F529E" w:rsidRDefault="007F529E" w:rsidP="00422A25">
            <w:pPr>
              <w:spacing w:line="360" w:lineRule="auto"/>
              <w:jc w:val="center"/>
              <w:rPr>
                <w:rFonts w:cs="Times New Roman"/>
                <w:b/>
              </w:rPr>
            </w:pPr>
            <w:r>
              <w:rPr>
                <w:rFonts w:cs="Times New Roman"/>
                <w:b/>
              </w:rPr>
              <w:t xml:space="preserve">Soil water </w:t>
            </w:r>
            <w:r w:rsidRPr="00AF50B4">
              <w:rPr>
                <w:rFonts w:eastAsia="Times New Roman" w:cs="Times New Roman"/>
                <w:b/>
                <w:bCs/>
                <w:color w:val="000000"/>
                <w:sz w:val="21"/>
                <w:szCs w:val="21"/>
                <w:lang w:eastAsia="en-GB"/>
              </w:rPr>
              <w:t>δ</w:t>
            </w:r>
            <w:r w:rsidRPr="00AF50B4">
              <w:rPr>
                <w:rFonts w:eastAsia="Times New Roman" w:cs="Times New Roman"/>
                <w:b/>
                <w:bCs/>
                <w:color w:val="000000"/>
                <w:sz w:val="21"/>
                <w:szCs w:val="21"/>
                <w:vertAlign w:val="superscript"/>
                <w:lang w:eastAsia="en-GB"/>
              </w:rPr>
              <w:t>18</w:t>
            </w:r>
            <w:r w:rsidRPr="00AF50B4">
              <w:rPr>
                <w:rFonts w:eastAsia="Times New Roman" w:cs="Times New Roman"/>
                <w:b/>
                <w:bCs/>
                <w:color w:val="000000"/>
                <w:sz w:val="21"/>
                <w:szCs w:val="21"/>
                <w:lang w:eastAsia="en-GB"/>
              </w:rPr>
              <w:t>O</w:t>
            </w:r>
            <w:r w:rsidRPr="00AF50B4">
              <w:rPr>
                <w:rFonts w:eastAsia="Times New Roman" w:cs="Times New Roman"/>
                <w:b/>
                <w:bCs/>
                <w:color w:val="000000"/>
                <w:sz w:val="21"/>
                <w:szCs w:val="21"/>
                <w:vertAlign w:val="subscript"/>
                <w:lang w:eastAsia="en-GB"/>
              </w:rPr>
              <w:t>H2O</w:t>
            </w:r>
            <w:r w:rsidRPr="00AF50B4">
              <w:rPr>
                <w:rFonts w:eastAsia="Times New Roman" w:cs="Times New Roman"/>
                <w:b/>
                <w:bCs/>
                <w:color w:val="000000"/>
                <w:sz w:val="21"/>
                <w:szCs w:val="21"/>
                <w:lang w:eastAsia="en-GB"/>
              </w:rPr>
              <w:t xml:space="preserve"> (‰)</w:t>
            </w:r>
            <w:r>
              <w:rPr>
                <w:rFonts w:cs="Times New Roman"/>
                <w:b/>
              </w:rPr>
              <w:t xml:space="preserve"> </w:t>
            </w:r>
          </w:p>
        </w:tc>
        <w:tc>
          <w:tcPr>
            <w:tcW w:w="3477" w:type="pct"/>
            <w:gridSpan w:val="10"/>
          </w:tcPr>
          <w:p w14:paraId="60245E9E" w14:textId="77777777" w:rsidR="007F529E" w:rsidRDefault="007F529E" w:rsidP="00422A25">
            <w:pPr>
              <w:spacing w:line="360" w:lineRule="auto"/>
              <w:jc w:val="center"/>
              <w:rPr>
                <w:rFonts w:cs="Times New Roman"/>
                <w:b/>
              </w:rPr>
            </w:pPr>
            <w:r w:rsidRPr="003A22CC">
              <w:rPr>
                <w:rFonts w:cs="Times New Roman"/>
                <w:b/>
              </w:rPr>
              <w:t>δ</w:t>
            </w:r>
            <w:r w:rsidRPr="003A22CC">
              <w:rPr>
                <w:rFonts w:cs="Times New Roman"/>
                <w:b/>
                <w:vertAlign w:val="superscript"/>
              </w:rPr>
              <w:t>18</w:t>
            </w:r>
            <w:r w:rsidRPr="003A22CC">
              <w:rPr>
                <w:rFonts w:cs="Times New Roman"/>
                <w:b/>
              </w:rPr>
              <w:t>O</w:t>
            </w:r>
            <w:r w:rsidRPr="003A22CC">
              <w:rPr>
                <w:rFonts w:cs="Times New Roman"/>
                <w:b/>
                <w:vertAlign w:val="subscript"/>
              </w:rPr>
              <w:t>P</w:t>
            </w:r>
            <w:r>
              <w:rPr>
                <w:rFonts w:cs="Times New Roman"/>
                <w:b/>
              </w:rPr>
              <w:t xml:space="preserve"> (</w:t>
            </w:r>
            <w:r w:rsidRPr="00AF50B4">
              <w:rPr>
                <w:rFonts w:eastAsia="Times New Roman" w:cs="Times New Roman"/>
                <w:b/>
                <w:bCs/>
                <w:color w:val="000000"/>
                <w:sz w:val="21"/>
                <w:szCs w:val="21"/>
                <w:lang w:eastAsia="en-GB"/>
              </w:rPr>
              <w:t>‰</w:t>
            </w:r>
            <w:r>
              <w:rPr>
                <w:rFonts w:eastAsia="Times New Roman" w:cs="Times New Roman"/>
                <w:b/>
                <w:bCs/>
                <w:color w:val="000000"/>
                <w:sz w:val="21"/>
                <w:szCs w:val="21"/>
                <w:lang w:eastAsia="en-GB"/>
              </w:rPr>
              <w:t>)</w:t>
            </w:r>
          </w:p>
        </w:tc>
      </w:tr>
      <w:tr w:rsidR="007F529E" w:rsidRPr="00860424" w14:paraId="68EDF2EF" w14:textId="77777777" w:rsidTr="00422A25">
        <w:trPr>
          <w:jc w:val="center"/>
        </w:trPr>
        <w:tc>
          <w:tcPr>
            <w:tcW w:w="456" w:type="pct"/>
            <w:vMerge/>
          </w:tcPr>
          <w:p w14:paraId="5F77BF5E" w14:textId="77777777" w:rsidR="007F529E" w:rsidRPr="00860424" w:rsidRDefault="007F529E" w:rsidP="00422A25">
            <w:pPr>
              <w:spacing w:line="360" w:lineRule="auto"/>
              <w:rPr>
                <w:rFonts w:cs="Times New Roman"/>
                <w:b/>
              </w:rPr>
            </w:pPr>
          </w:p>
        </w:tc>
        <w:tc>
          <w:tcPr>
            <w:tcW w:w="485" w:type="pct"/>
            <w:vMerge/>
            <w:vAlign w:val="center"/>
          </w:tcPr>
          <w:p w14:paraId="0FF568B8" w14:textId="77777777" w:rsidR="007F529E" w:rsidRPr="00860424" w:rsidRDefault="007F529E" w:rsidP="00422A25">
            <w:pPr>
              <w:spacing w:line="360" w:lineRule="auto"/>
              <w:jc w:val="center"/>
              <w:rPr>
                <w:rFonts w:cs="Times New Roman"/>
                <w:b/>
              </w:rPr>
            </w:pPr>
          </w:p>
        </w:tc>
        <w:tc>
          <w:tcPr>
            <w:tcW w:w="582" w:type="pct"/>
            <w:gridSpan w:val="2"/>
            <w:vMerge/>
          </w:tcPr>
          <w:p w14:paraId="54BF2014" w14:textId="77777777" w:rsidR="007F529E" w:rsidRPr="00860424" w:rsidRDefault="007F529E" w:rsidP="00422A25">
            <w:pPr>
              <w:spacing w:line="360" w:lineRule="auto"/>
              <w:jc w:val="center"/>
              <w:rPr>
                <w:rFonts w:cs="Times New Roman"/>
                <w:b/>
              </w:rPr>
            </w:pPr>
          </w:p>
        </w:tc>
        <w:tc>
          <w:tcPr>
            <w:tcW w:w="1022" w:type="pct"/>
            <w:gridSpan w:val="2"/>
          </w:tcPr>
          <w:p w14:paraId="433E72D0" w14:textId="77777777" w:rsidR="007F529E" w:rsidRPr="00860424" w:rsidRDefault="007F529E" w:rsidP="00422A25">
            <w:pPr>
              <w:spacing w:line="360" w:lineRule="auto"/>
              <w:jc w:val="center"/>
              <w:rPr>
                <w:rFonts w:cs="Times New Roman"/>
                <w:b/>
              </w:rPr>
            </w:pPr>
            <w:r>
              <w:rPr>
                <w:rFonts w:cs="Times New Roman"/>
                <w:b/>
              </w:rPr>
              <w:t>Equilibrium range</w:t>
            </w:r>
          </w:p>
        </w:tc>
        <w:tc>
          <w:tcPr>
            <w:tcW w:w="522" w:type="pct"/>
            <w:gridSpan w:val="2"/>
          </w:tcPr>
          <w:p w14:paraId="4DC75D58" w14:textId="77777777" w:rsidR="007F529E" w:rsidRPr="00860424" w:rsidRDefault="007F529E" w:rsidP="00422A25">
            <w:pPr>
              <w:spacing w:line="360" w:lineRule="auto"/>
              <w:jc w:val="center"/>
              <w:rPr>
                <w:rFonts w:cs="Times New Roman"/>
                <w:b/>
              </w:rPr>
            </w:pPr>
            <w:r>
              <w:rPr>
                <w:rFonts w:cs="Times New Roman"/>
                <w:b/>
              </w:rPr>
              <w:t>Resin P</w:t>
            </w:r>
          </w:p>
        </w:tc>
        <w:tc>
          <w:tcPr>
            <w:tcW w:w="641" w:type="pct"/>
            <w:gridSpan w:val="2"/>
          </w:tcPr>
          <w:p w14:paraId="7454D341" w14:textId="77777777" w:rsidR="007F529E" w:rsidRPr="00860424" w:rsidRDefault="007F529E" w:rsidP="00422A25">
            <w:pPr>
              <w:spacing w:line="360" w:lineRule="auto"/>
              <w:jc w:val="center"/>
              <w:rPr>
                <w:rFonts w:cs="Times New Roman"/>
                <w:b/>
              </w:rPr>
            </w:pPr>
            <w:r>
              <w:rPr>
                <w:rFonts w:cs="Times New Roman"/>
                <w:b/>
              </w:rPr>
              <w:t>Hexanol P</w:t>
            </w:r>
          </w:p>
        </w:tc>
        <w:tc>
          <w:tcPr>
            <w:tcW w:w="706" w:type="pct"/>
            <w:gridSpan w:val="2"/>
          </w:tcPr>
          <w:p w14:paraId="75396018" w14:textId="77777777" w:rsidR="007F529E" w:rsidRPr="00860424" w:rsidRDefault="007F529E" w:rsidP="00422A25">
            <w:pPr>
              <w:spacing w:line="360" w:lineRule="auto"/>
              <w:jc w:val="center"/>
              <w:rPr>
                <w:rFonts w:cs="Times New Roman"/>
                <w:b/>
              </w:rPr>
            </w:pPr>
            <w:r>
              <w:rPr>
                <w:rFonts w:cs="Times New Roman"/>
                <w:b/>
              </w:rPr>
              <w:t>NaOH-EDTA Pi</w:t>
            </w:r>
          </w:p>
        </w:tc>
        <w:tc>
          <w:tcPr>
            <w:tcW w:w="586" w:type="pct"/>
            <w:gridSpan w:val="2"/>
          </w:tcPr>
          <w:p w14:paraId="35285FBF" w14:textId="77777777" w:rsidR="007F529E" w:rsidRPr="00860424" w:rsidRDefault="007F529E" w:rsidP="00422A25">
            <w:pPr>
              <w:spacing w:line="360" w:lineRule="auto"/>
              <w:jc w:val="center"/>
              <w:rPr>
                <w:rFonts w:cs="Times New Roman"/>
                <w:b/>
              </w:rPr>
            </w:pPr>
            <w:r>
              <w:rPr>
                <w:rFonts w:cs="Times New Roman"/>
                <w:b/>
              </w:rPr>
              <w:t>HCl P</w:t>
            </w:r>
          </w:p>
        </w:tc>
      </w:tr>
      <w:tr w:rsidR="007F529E" w:rsidRPr="00860424" w14:paraId="477C1EC5" w14:textId="77777777" w:rsidTr="00422A25">
        <w:trPr>
          <w:jc w:val="center"/>
        </w:trPr>
        <w:tc>
          <w:tcPr>
            <w:tcW w:w="456" w:type="pct"/>
            <w:vMerge/>
            <w:tcBorders>
              <w:bottom w:val="single" w:sz="12" w:space="0" w:color="auto"/>
            </w:tcBorders>
          </w:tcPr>
          <w:p w14:paraId="0B8D9EC8" w14:textId="77777777" w:rsidR="007F529E" w:rsidRPr="00860424" w:rsidRDefault="007F529E" w:rsidP="00422A25">
            <w:pPr>
              <w:spacing w:line="360" w:lineRule="auto"/>
              <w:rPr>
                <w:rFonts w:cs="Times New Roman"/>
              </w:rPr>
            </w:pPr>
          </w:p>
        </w:tc>
        <w:tc>
          <w:tcPr>
            <w:tcW w:w="485" w:type="pct"/>
            <w:tcBorders>
              <w:bottom w:val="single" w:sz="12" w:space="0" w:color="auto"/>
            </w:tcBorders>
          </w:tcPr>
          <w:p w14:paraId="53111DF8" w14:textId="77777777" w:rsidR="007F529E" w:rsidRPr="00860424" w:rsidRDefault="007F529E" w:rsidP="00422A25">
            <w:pPr>
              <w:spacing w:line="360" w:lineRule="auto"/>
              <w:rPr>
                <w:rFonts w:cs="Times New Roman"/>
              </w:rPr>
            </w:pPr>
          </w:p>
        </w:tc>
        <w:tc>
          <w:tcPr>
            <w:tcW w:w="285" w:type="pct"/>
          </w:tcPr>
          <w:p w14:paraId="52B79F97" w14:textId="77777777" w:rsidR="007F529E" w:rsidRPr="00860424" w:rsidRDefault="007F529E" w:rsidP="00422A25">
            <w:pPr>
              <w:spacing w:line="360" w:lineRule="auto"/>
              <w:rPr>
                <w:rFonts w:cs="Times New Roman"/>
              </w:rPr>
            </w:pPr>
            <w:r w:rsidRPr="00860424">
              <w:rPr>
                <w:rFonts w:cs="Times New Roman"/>
              </w:rPr>
              <w:t>+L</w:t>
            </w:r>
          </w:p>
        </w:tc>
        <w:tc>
          <w:tcPr>
            <w:tcW w:w="297" w:type="pct"/>
          </w:tcPr>
          <w:p w14:paraId="69723E4B" w14:textId="77777777" w:rsidR="007F529E" w:rsidRPr="00860424" w:rsidRDefault="007F529E" w:rsidP="00422A25">
            <w:pPr>
              <w:spacing w:line="360" w:lineRule="auto"/>
              <w:rPr>
                <w:rFonts w:cs="Times New Roman"/>
              </w:rPr>
            </w:pPr>
            <w:r w:rsidRPr="00860424">
              <w:rPr>
                <w:rFonts w:cs="Times New Roman"/>
              </w:rPr>
              <w:t>-L</w:t>
            </w:r>
          </w:p>
        </w:tc>
        <w:tc>
          <w:tcPr>
            <w:tcW w:w="503" w:type="pct"/>
          </w:tcPr>
          <w:p w14:paraId="5ECCA64D" w14:textId="77777777" w:rsidR="007F529E" w:rsidRPr="00860424" w:rsidRDefault="007F529E" w:rsidP="00422A25">
            <w:pPr>
              <w:spacing w:line="360" w:lineRule="auto"/>
              <w:rPr>
                <w:rFonts w:cs="Times New Roman"/>
              </w:rPr>
            </w:pPr>
            <w:r w:rsidRPr="00860424">
              <w:rPr>
                <w:rFonts w:cs="Times New Roman"/>
              </w:rPr>
              <w:t>+L</w:t>
            </w:r>
          </w:p>
        </w:tc>
        <w:tc>
          <w:tcPr>
            <w:tcW w:w="519" w:type="pct"/>
          </w:tcPr>
          <w:p w14:paraId="6C14B6C1" w14:textId="77777777" w:rsidR="007F529E" w:rsidRPr="00860424" w:rsidRDefault="007F529E" w:rsidP="00422A25">
            <w:pPr>
              <w:spacing w:line="360" w:lineRule="auto"/>
              <w:rPr>
                <w:rFonts w:cs="Times New Roman"/>
              </w:rPr>
            </w:pPr>
            <w:r w:rsidRPr="00860424">
              <w:rPr>
                <w:rFonts w:cs="Times New Roman"/>
              </w:rPr>
              <w:t>-L</w:t>
            </w:r>
          </w:p>
        </w:tc>
        <w:tc>
          <w:tcPr>
            <w:tcW w:w="261" w:type="pct"/>
          </w:tcPr>
          <w:p w14:paraId="71B401B2" w14:textId="77777777" w:rsidR="007F529E" w:rsidRPr="00860424" w:rsidRDefault="007F529E" w:rsidP="00422A25">
            <w:pPr>
              <w:spacing w:line="360" w:lineRule="auto"/>
              <w:rPr>
                <w:rFonts w:cs="Times New Roman"/>
              </w:rPr>
            </w:pPr>
            <w:r w:rsidRPr="00860424">
              <w:rPr>
                <w:rFonts w:cs="Times New Roman"/>
              </w:rPr>
              <w:t>+L</w:t>
            </w:r>
          </w:p>
        </w:tc>
        <w:tc>
          <w:tcPr>
            <w:tcW w:w="261" w:type="pct"/>
          </w:tcPr>
          <w:p w14:paraId="21B205F9" w14:textId="77777777" w:rsidR="007F529E" w:rsidRPr="00860424" w:rsidRDefault="007F529E" w:rsidP="00422A25">
            <w:pPr>
              <w:spacing w:line="360" w:lineRule="auto"/>
              <w:rPr>
                <w:rFonts w:cs="Times New Roman"/>
              </w:rPr>
            </w:pPr>
            <w:r w:rsidRPr="00860424">
              <w:rPr>
                <w:rFonts w:cs="Times New Roman"/>
              </w:rPr>
              <w:t>-L</w:t>
            </w:r>
          </w:p>
        </w:tc>
        <w:tc>
          <w:tcPr>
            <w:tcW w:w="374" w:type="pct"/>
            <w:tcBorders>
              <w:bottom w:val="single" w:sz="12" w:space="0" w:color="auto"/>
            </w:tcBorders>
          </w:tcPr>
          <w:p w14:paraId="459BE21F" w14:textId="77777777" w:rsidR="007F529E" w:rsidRPr="00860424" w:rsidRDefault="007F529E" w:rsidP="00422A25">
            <w:pPr>
              <w:spacing w:line="360" w:lineRule="auto"/>
              <w:rPr>
                <w:rFonts w:cs="Times New Roman"/>
              </w:rPr>
            </w:pPr>
            <w:r w:rsidRPr="00860424">
              <w:rPr>
                <w:rFonts w:cs="Times New Roman"/>
              </w:rPr>
              <w:t>+L</w:t>
            </w:r>
          </w:p>
        </w:tc>
        <w:tc>
          <w:tcPr>
            <w:tcW w:w="267" w:type="pct"/>
            <w:tcBorders>
              <w:bottom w:val="single" w:sz="12" w:space="0" w:color="auto"/>
            </w:tcBorders>
          </w:tcPr>
          <w:p w14:paraId="083E8FBD" w14:textId="77777777" w:rsidR="007F529E" w:rsidRPr="00860424" w:rsidRDefault="007F529E" w:rsidP="00422A25">
            <w:pPr>
              <w:spacing w:line="360" w:lineRule="auto"/>
              <w:rPr>
                <w:rFonts w:cs="Times New Roman"/>
              </w:rPr>
            </w:pPr>
            <w:r w:rsidRPr="00860424">
              <w:rPr>
                <w:rFonts w:cs="Times New Roman"/>
              </w:rPr>
              <w:t>-L</w:t>
            </w:r>
          </w:p>
        </w:tc>
        <w:tc>
          <w:tcPr>
            <w:tcW w:w="360" w:type="pct"/>
            <w:tcBorders>
              <w:bottom w:val="single" w:sz="12" w:space="0" w:color="auto"/>
            </w:tcBorders>
          </w:tcPr>
          <w:p w14:paraId="631CFC48" w14:textId="77777777" w:rsidR="007F529E" w:rsidRPr="00860424" w:rsidRDefault="007F529E" w:rsidP="00422A25">
            <w:pPr>
              <w:spacing w:line="360" w:lineRule="auto"/>
              <w:rPr>
                <w:rFonts w:cs="Times New Roman"/>
              </w:rPr>
            </w:pPr>
            <w:r w:rsidRPr="00860424">
              <w:t>+L</w:t>
            </w:r>
          </w:p>
        </w:tc>
        <w:tc>
          <w:tcPr>
            <w:tcW w:w="346" w:type="pct"/>
            <w:tcBorders>
              <w:bottom w:val="single" w:sz="12" w:space="0" w:color="auto"/>
            </w:tcBorders>
          </w:tcPr>
          <w:p w14:paraId="6A073FF4" w14:textId="77777777" w:rsidR="007F529E" w:rsidRPr="00860424" w:rsidRDefault="007F529E" w:rsidP="00422A25">
            <w:pPr>
              <w:spacing w:line="360" w:lineRule="auto"/>
              <w:rPr>
                <w:rFonts w:cs="Times New Roman"/>
              </w:rPr>
            </w:pPr>
            <w:r>
              <w:t>-</w:t>
            </w:r>
            <w:r w:rsidRPr="00860424">
              <w:t>L</w:t>
            </w:r>
          </w:p>
        </w:tc>
        <w:tc>
          <w:tcPr>
            <w:tcW w:w="297" w:type="pct"/>
            <w:tcBorders>
              <w:bottom w:val="single" w:sz="12" w:space="0" w:color="auto"/>
            </w:tcBorders>
          </w:tcPr>
          <w:p w14:paraId="332D5FC3" w14:textId="77777777" w:rsidR="007F529E" w:rsidRPr="00860424" w:rsidRDefault="007F529E" w:rsidP="00422A25">
            <w:pPr>
              <w:spacing w:line="360" w:lineRule="auto"/>
              <w:rPr>
                <w:rFonts w:cs="Times New Roman"/>
              </w:rPr>
            </w:pPr>
            <w:r w:rsidRPr="00860424">
              <w:t>+L</w:t>
            </w:r>
          </w:p>
        </w:tc>
        <w:tc>
          <w:tcPr>
            <w:tcW w:w="289" w:type="pct"/>
            <w:tcBorders>
              <w:bottom w:val="single" w:sz="12" w:space="0" w:color="auto"/>
            </w:tcBorders>
          </w:tcPr>
          <w:p w14:paraId="6EBF99CC" w14:textId="77777777" w:rsidR="007F529E" w:rsidRPr="00860424" w:rsidRDefault="007F529E" w:rsidP="00422A25">
            <w:pPr>
              <w:spacing w:line="360" w:lineRule="auto"/>
              <w:rPr>
                <w:rFonts w:cs="Times New Roman"/>
              </w:rPr>
            </w:pPr>
            <w:r w:rsidRPr="00860424">
              <w:t>-L</w:t>
            </w:r>
          </w:p>
        </w:tc>
      </w:tr>
      <w:tr w:rsidR="007F529E" w:rsidRPr="00860424" w14:paraId="74285E1D" w14:textId="77777777" w:rsidTr="00422A25">
        <w:trPr>
          <w:jc w:val="center"/>
        </w:trPr>
        <w:tc>
          <w:tcPr>
            <w:tcW w:w="456" w:type="pct"/>
            <w:vMerge w:val="restart"/>
            <w:tcBorders>
              <w:top w:val="single" w:sz="12" w:space="0" w:color="auto"/>
            </w:tcBorders>
            <w:vAlign w:val="center"/>
          </w:tcPr>
          <w:p w14:paraId="7FB5488D" w14:textId="77777777" w:rsidR="007F529E" w:rsidRPr="00860424" w:rsidRDefault="007F529E" w:rsidP="00422A25">
            <w:pPr>
              <w:spacing w:line="360" w:lineRule="auto"/>
              <w:rPr>
                <w:rFonts w:cs="Times New Roman"/>
              </w:rPr>
            </w:pPr>
            <w:r w:rsidRPr="00860424">
              <w:rPr>
                <w:rFonts w:cs="Times New Roman"/>
              </w:rPr>
              <w:t>-N+P</w:t>
            </w:r>
          </w:p>
          <w:p w14:paraId="68AD3305" w14:textId="77777777" w:rsidR="007F529E" w:rsidRPr="00860424" w:rsidRDefault="007F529E" w:rsidP="00422A25">
            <w:pPr>
              <w:spacing w:line="360" w:lineRule="auto"/>
              <w:rPr>
                <w:rFonts w:cs="Times New Roman"/>
              </w:rPr>
            </w:pPr>
          </w:p>
        </w:tc>
        <w:tc>
          <w:tcPr>
            <w:tcW w:w="485" w:type="pct"/>
            <w:tcBorders>
              <w:top w:val="single" w:sz="12" w:space="0" w:color="auto"/>
            </w:tcBorders>
            <w:vAlign w:val="center"/>
          </w:tcPr>
          <w:p w14:paraId="578B32F0" w14:textId="77777777" w:rsidR="007F529E" w:rsidRPr="00860424" w:rsidRDefault="007F529E" w:rsidP="00422A25">
            <w:pPr>
              <w:spacing w:line="360" w:lineRule="auto"/>
              <w:jc w:val="center"/>
              <w:rPr>
                <w:rFonts w:cs="Times New Roman"/>
              </w:rPr>
            </w:pPr>
            <w:r w:rsidRPr="00860424">
              <w:rPr>
                <w:rFonts w:cs="Times New Roman"/>
              </w:rPr>
              <w:t>0-10</w:t>
            </w:r>
          </w:p>
        </w:tc>
        <w:tc>
          <w:tcPr>
            <w:tcW w:w="285" w:type="pct"/>
            <w:vAlign w:val="center"/>
          </w:tcPr>
          <w:p w14:paraId="122DFF27"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color w:val="000000"/>
                <w:szCs w:val="24"/>
                <w:lang w:eastAsia="en-GB"/>
              </w:rPr>
              <w:t>-5.9</w:t>
            </w:r>
          </w:p>
        </w:tc>
        <w:tc>
          <w:tcPr>
            <w:tcW w:w="297" w:type="pct"/>
            <w:vAlign w:val="center"/>
          </w:tcPr>
          <w:p w14:paraId="09A2261B"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color w:val="000000"/>
                <w:szCs w:val="24"/>
                <w:lang w:eastAsia="en-GB"/>
              </w:rPr>
              <w:t>-5.6</w:t>
            </w:r>
          </w:p>
        </w:tc>
        <w:tc>
          <w:tcPr>
            <w:tcW w:w="503" w:type="pct"/>
            <w:vAlign w:val="center"/>
          </w:tcPr>
          <w:p w14:paraId="2C9C905C" w14:textId="77777777" w:rsidR="007F529E" w:rsidRPr="003A22CC" w:rsidRDefault="007F529E" w:rsidP="00422A25">
            <w:pPr>
              <w:keepNext/>
              <w:spacing w:line="360" w:lineRule="auto"/>
              <w:jc w:val="center"/>
              <w:rPr>
                <w:rFonts w:cs="Times New Roman"/>
                <w:szCs w:val="24"/>
              </w:rPr>
            </w:pPr>
            <w:r w:rsidRPr="003A22CC">
              <w:rPr>
                <w:rFonts w:cs="Times New Roman"/>
                <w:szCs w:val="24"/>
              </w:rPr>
              <w:t>19.8-20-0</w:t>
            </w:r>
          </w:p>
        </w:tc>
        <w:tc>
          <w:tcPr>
            <w:tcW w:w="519" w:type="pct"/>
            <w:vAlign w:val="center"/>
          </w:tcPr>
          <w:p w14:paraId="0D5AD5E4" w14:textId="77777777" w:rsidR="007F529E" w:rsidRPr="003A22CC" w:rsidRDefault="007F529E" w:rsidP="00422A25">
            <w:pPr>
              <w:keepNext/>
              <w:spacing w:line="360" w:lineRule="auto"/>
              <w:jc w:val="center"/>
              <w:rPr>
                <w:rFonts w:cs="Times New Roman"/>
                <w:szCs w:val="24"/>
              </w:rPr>
            </w:pPr>
            <w:r w:rsidRPr="003A22CC">
              <w:rPr>
                <w:rFonts w:cs="Times New Roman"/>
                <w:szCs w:val="24"/>
              </w:rPr>
              <w:t>20.1-20.3</w:t>
            </w:r>
          </w:p>
        </w:tc>
        <w:tc>
          <w:tcPr>
            <w:tcW w:w="261" w:type="pct"/>
            <w:vAlign w:val="center"/>
          </w:tcPr>
          <w:p w14:paraId="70CC55B4"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b/>
                <w:color w:val="000000"/>
                <w:szCs w:val="24"/>
                <w:lang w:eastAsia="en-GB"/>
              </w:rPr>
              <w:t>20.0</w:t>
            </w:r>
          </w:p>
        </w:tc>
        <w:tc>
          <w:tcPr>
            <w:tcW w:w="261" w:type="pct"/>
            <w:vAlign w:val="center"/>
          </w:tcPr>
          <w:p w14:paraId="6A00DE56"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b/>
                <w:color w:val="000000"/>
                <w:szCs w:val="24"/>
                <w:lang w:eastAsia="en-GB"/>
              </w:rPr>
              <w:t>23.0</w:t>
            </w:r>
          </w:p>
        </w:tc>
        <w:tc>
          <w:tcPr>
            <w:tcW w:w="374" w:type="pct"/>
            <w:tcBorders>
              <w:top w:val="single" w:sz="12" w:space="0" w:color="auto"/>
            </w:tcBorders>
            <w:vAlign w:val="center"/>
          </w:tcPr>
          <w:p w14:paraId="3E5E8480"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color w:val="000000"/>
                <w:szCs w:val="24"/>
                <w:lang w:eastAsia="en-GB"/>
              </w:rPr>
              <w:t>18.3</w:t>
            </w:r>
          </w:p>
        </w:tc>
        <w:tc>
          <w:tcPr>
            <w:tcW w:w="267" w:type="pct"/>
            <w:tcBorders>
              <w:top w:val="single" w:sz="12" w:space="0" w:color="auto"/>
            </w:tcBorders>
            <w:vAlign w:val="center"/>
          </w:tcPr>
          <w:p w14:paraId="4B0DF49F"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color w:val="000000"/>
                <w:szCs w:val="24"/>
                <w:lang w:eastAsia="en-GB"/>
              </w:rPr>
              <w:t>21.7</w:t>
            </w:r>
          </w:p>
        </w:tc>
        <w:tc>
          <w:tcPr>
            <w:tcW w:w="360" w:type="pct"/>
            <w:tcBorders>
              <w:top w:val="single" w:sz="12" w:space="0" w:color="auto"/>
            </w:tcBorders>
            <w:vAlign w:val="center"/>
          </w:tcPr>
          <w:p w14:paraId="716E5498" w14:textId="77777777" w:rsidR="007F529E" w:rsidRPr="003A22CC" w:rsidRDefault="007F529E" w:rsidP="00422A25">
            <w:pPr>
              <w:spacing w:line="360" w:lineRule="auto"/>
              <w:jc w:val="center"/>
              <w:rPr>
                <w:rFonts w:cs="Times New Roman"/>
                <w:szCs w:val="24"/>
              </w:rPr>
            </w:pPr>
            <w:r w:rsidRPr="003A22CC">
              <w:rPr>
                <w:rFonts w:eastAsia="Times New Roman" w:cs="Times New Roman"/>
                <w:b/>
                <w:color w:val="000000"/>
                <w:szCs w:val="24"/>
                <w:lang w:eastAsia="en-GB"/>
              </w:rPr>
              <w:t>15.2</w:t>
            </w:r>
          </w:p>
        </w:tc>
        <w:tc>
          <w:tcPr>
            <w:tcW w:w="346" w:type="pct"/>
            <w:tcBorders>
              <w:top w:val="single" w:sz="12" w:space="0" w:color="auto"/>
            </w:tcBorders>
            <w:vAlign w:val="center"/>
          </w:tcPr>
          <w:p w14:paraId="30B04D72" w14:textId="77777777" w:rsidR="007F529E" w:rsidRPr="003A22CC" w:rsidRDefault="007F529E" w:rsidP="00422A25">
            <w:pPr>
              <w:spacing w:line="360" w:lineRule="auto"/>
              <w:jc w:val="center"/>
              <w:rPr>
                <w:rFonts w:cs="Times New Roman"/>
                <w:szCs w:val="24"/>
              </w:rPr>
            </w:pPr>
            <w:r w:rsidRPr="003A22CC">
              <w:rPr>
                <w:rFonts w:eastAsia="Times New Roman" w:cs="Times New Roman"/>
                <w:b/>
                <w:color w:val="000000"/>
                <w:szCs w:val="24"/>
                <w:lang w:eastAsia="en-GB"/>
              </w:rPr>
              <w:t>17.6</w:t>
            </w:r>
          </w:p>
        </w:tc>
        <w:tc>
          <w:tcPr>
            <w:tcW w:w="297" w:type="pct"/>
            <w:tcBorders>
              <w:top w:val="single" w:sz="12" w:space="0" w:color="auto"/>
            </w:tcBorders>
            <w:vAlign w:val="center"/>
          </w:tcPr>
          <w:p w14:paraId="7697DC90" w14:textId="77777777" w:rsidR="007F529E" w:rsidRPr="003A22CC" w:rsidRDefault="007F529E" w:rsidP="00422A25">
            <w:pPr>
              <w:spacing w:line="360" w:lineRule="auto"/>
              <w:jc w:val="center"/>
              <w:rPr>
                <w:rFonts w:cs="Times New Roman"/>
                <w:szCs w:val="24"/>
              </w:rPr>
            </w:pPr>
            <w:r w:rsidRPr="003A22CC">
              <w:rPr>
                <w:rFonts w:eastAsia="Times New Roman" w:cs="Times New Roman"/>
                <w:b/>
                <w:color w:val="000000"/>
                <w:szCs w:val="24"/>
                <w:lang w:eastAsia="en-GB"/>
              </w:rPr>
              <w:t>21.7</w:t>
            </w:r>
          </w:p>
        </w:tc>
        <w:tc>
          <w:tcPr>
            <w:tcW w:w="289" w:type="pct"/>
            <w:tcBorders>
              <w:top w:val="single" w:sz="12" w:space="0" w:color="auto"/>
            </w:tcBorders>
            <w:vAlign w:val="center"/>
          </w:tcPr>
          <w:p w14:paraId="3AF56B76" w14:textId="77777777" w:rsidR="007F529E" w:rsidRPr="003A22CC" w:rsidRDefault="007F529E" w:rsidP="00422A25">
            <w:pPr>
              <w:spacing w:line="360" w:lineRule="auto"/>
              <w:jc w:val="center"/>
              <w:rPr>
                <w:rFonts w:cs="Times New Roman"/>
                <w:szCs w:val="24"/>
              </w:rPr>
            </w:pPr>
            <w:r w:rsidRPr="003A22CC">
              <w:rPr>
                <w:rFonts w:eastAsia="Times New Roman" w:cs="Times New Roman"/>
                <w:b/>
                <w:color w:val="000000"/>
                <w:szCs w:val="24"/>
                <w:lang w:eastAsia="en-GB"/>
              </w:rPr>
              <w:t>22.7</w:t>
            </w:r>
          </w:p>
        </w:tc>
      </w:tr>
      <w:tr w:rsidR="007F529E" w:rsidRPr="00860424" w14:paraId="7B1B4AE2" w14:textId="77777777" w:rsidTr="00422A25">
        <w:trPr>
          <w:jc w:val="center"/>
        </w:trPr>
        <w:tc>
          <w:tcPr>
            <w:tcW w:w="456" w:type="pct"/>
            <w:vMerge/>
            <w:vAlign w:val="center"/>
          </w:tcPr>
          <w:p w14:paraId="4BAF6CFB" w14:textId="77777777" w:rsidR="007F529E" w:rsidRPr="00860424" w:rsidRDefault="007F529E" w:rsidP="00422A25">
            <w:pPr>
              <w:spacing w:line="360" w:lineRule="auto"/>
              <w:rPr>
                <w:rFonts w:cs="Times New Roman"/>
              </w:rPr>
            </w:pPr>
          </w:p>
        </w:tc>
        <w:tc>
          <w:tcPr>
            <w:tcW w:w="485" w:type="pct"/>
            <w:vAlign w:val="center"/>
          </w:tcPr>
          <w:p w14:paraId="23F4A922" w14:textId="77777777" w:rsidR="007F529E" w:rsidRPr="00860424" w:rsidRDefault="007F529E" w:rsidP="00422A25">
            <w:pPr>
              <w:spacing w:line="360" w:lineRule="auto"/>
              <w:jc w:val="center"/>
              <w:rPr>
                <w:rFonts w:cs="Times New Roman"/>
              </w:rPr>
            </w:pPr>
            <w:r w:rsidRPr="00860424">
              <w:rPr>
                <w:rFonts w:cs="Times New Roman"/>
              </w:rPr>
              <w:t>10-20</w:t>
            </w:r>
          </w:p>
        </w:tc>
        <w:tc>
          <w:tcPr>
            <w:tcW w:w="285" w:type="pct"/>
            <w:vAlign w:val="center"/>
          </w:tcPr>
          <w:p w14:paraId="7C094FEB"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color w:val="000000"/>
                <w:szCs w:val="24"/>
                <w:lang w:eastAsia="en-GB"/>
              </w:rPr>
              <w:t>-6.7</w:t>
            </w:r>
          </w:p>
        </w:tc>
        <w:tc>
          <w:tcPr>
            <w:tcW w:w="297" w:type="pct"/>
            <w:vAlign w:val="center"/>
          </w:tcPr>
          <w:p w14:paraId="0C4BF105"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color w:val="000000"/>
                <w:szCs w:val="24"/>
                <w:lang w:eastAsia="en-GB"/>
              </w:rPr>
              <w:t>-6.9</w:t>
            </w:r>
          </w:p>
        </w:tc>
        <w:tc>
          <w:tcPr>
            <w:tcW w:w="503" w:type="pct"/>
            <w:vAlign w:val="center"/>
          </w:tcPr>
          <w:p w14:paraId="586A1007" w14:textId="77777777" w:rsidR="007F529E" w:rsidRPr="003A22CC" w:rsidRDefault="007F529E" w:rsidP="00422A25">
            <w:pPr>
              <w:keepNext/>
              <w:spacing w:line="360" w:lineRule="auto"/>
              <w:jc w:val="center"/>
              <w:rPr>
                <w:rFonts w:cs="Times New Roman"/>
                <w:szCs w:val="24"/>
              </w:rPr>
            </w:pPr>
            <w:r w:rsidRPr="003A22CC">
              <w:rPr>
                <w:rFonts w:cs="Times New Roman"/>
                <w:szCs w:val="24"/>
              </w:rPr>
              <w:t>19.0-19.1</w:t>
            </w:r>
          </w:p>
        </w:tc>
        <w:tc>
          <w:tcPr>
            <w:tcW w:w="519" w:type="pct"/>
            <w:vAlign w:val="center"/>
          </w:tcPr>
          <w:p w14:paraId="77F5B3C2" w14:textId="77777777" w:rsidR="007F529E" w:rsidRPr="003A22CC" w:rsidRDefault="007F529E" w:rsidP="00422A25">
            <w:pPr>
              <w:keepNext/>
              <w:spacing w:line="360" w:lineRule="auto"/>
              <w:jc w:val="center"/>
              <w:rPr>
                <w:rFonts w:cs="Times New Roman"/>
                <w:szCs w:val="24"/>
              </w:rPr>
            </w:pPr>
            <w:r w:rsidRPr="003A22CC">
              <w:rPr>
                <w:rFonts w:cs="Times New Roman"/>
                <w:szCs w:val="24"/>
              </w:rPr>
              <w:t>18.8-18.9</w:t>
            </w:r>
          </w:p>
        </w:tc>
        <w:tc>
          <w:tcPr>
            <w:tcW w:w="261" w:type="pct"/>
            <w:vAlign w:val="center"/>
          </w:tcPr>
          <w:p w14:paraId="27FE03CD"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b/>
                <w:color w:val="000000"/>
                <w:szCs w:val="24"/>
                <w:lang w:eastAsia="en-GB"/>
              </w:rPr>
              <w:t>20.3</w:t>
            </w:r>
          </w:p>
        </w:tc>
        <w:tc>
          <w:tcPr>
            <w:tcW w:w="261" w:type="pct"/>
            <w:vAlign w:val="center"/>
          </w:tcPr>
          <w:p w14:paraId="56E49FB8"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b/>
                <w:color w:val="000000"/>
                <w:szCs w:val="24"/>
                <w:lang w:eastAsia="en-GB"/>
              </w:rPr>
              <w:t>24.5</w:t>
            </w:r>
          </w:p>
        </w:tc>
        <w:tc>
          <w:tcPr>
            <w:tcW w:w="374" w:type="pct"/>
            <w:vAlign w:val="center"/>
          </w:tcPr>
          <w:p w14:paraId="1BD0444A"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color w:val="000000"/>
                <w:szCs w:val="24"/>
                <w:lang w:eastAsia="en-GB"/>
              </w:rPr>
              <w:t>19.5</w:t>
            </w:r>
          </w:p>
        </w:tc>
        <w:tc>
          <w:tcPr>
            <w:tcW w:w="267" w:type="pct"/>
            <w:vAlign w:val="center"/>
          </w:tcPr>
          <w:p w14:paraId="1FD89AAF"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color w:val="000000"/>
                <w:szCs w:val="24"/>
                <w:lang w:eastAsia="en-GB"/>
              </w:rPr>
              <w:t>23.2</w:t>
            </w:r>
          </w:p>
        </w:tc>
        <w:tc>
          <w:tcPr>
            <w:tcW w:w="360" w:type="pct"/>
            <w:vAlign w:val="center"/>
          </w:tcPr>
          <w:p w14:paraId="53B2F035" w14:textId="77777777" w:rsidR="007F529E" w:rsidRPr="003A22CC" w:rsidRDefault="007F529E" w:rsidP="00422A25">
            <w:pPr>
              <w:spacing w:line="360" w:lineRule="auto"/>
              <w:jc w:val="center"/>
              <w:rPr>
                <w:rFonts w:cs="Times New Roman"/>
                <w:szCs w:val="24"/>
              </w:rPr>
            </w:pPr>
            <w:proofErr w:type="spellStart"/>
            <w:r w:rsidRPr="003A22CC">
              <w:rPr>
                <w:rFonts w:eastAsia="Times New Roman" w:cs="Times New Roman"/>
                <w:color w:val="000000"/>
                <w:szCs w:val="24"/>
                <w:lang w:eastAsia="en-GB"/>
              </w:rPr>
              <w:t>nd</w:t>
            </w:r>
            <w:proofErr w:type="spellEnd"/>
          </w:p>
        </w:tc>
        <w:tc>
          <w:tcPr>
            <w:tcW w:w="346" w:type="pct"/>
            <w:vAlign w:val="center"/>
          </w:tcPr>
          <w:p w14:paraId="12B609C8" w14:textId="77777777" w:rsidR="007F529E" w:rsidRPr="003A22CC" w:rsidRDefault="007F529E" w:rsidP="00422A25">
            <w:pPr>
              <w:spacing w:line="360" w:lineRule="auto"/>
              <w:jc w:val="center"/>
              <w:rPr>
                <w:rFonts w:cs="Times New Roman"/>
                <w:szCs w:val="24"/>
              </w:rPr>
            </w:pPr>
            <w:proofErr w:type="spellStart"/>
            <w:r w:rsidRPr="003A22CC">
              <w:rPr>
                <w:rFonts w:eastAsia="Times New Roman" w:cs="Times New Roman"/>
                <w:color w:val="000000"/>
                <w:szCs w:val="24"/>
                <w:lang w:eastAsia="en-GB"/>
              </w:rPr>
              <w:t>nd</w:t>
            </w:r>
            <w:proofErr w:type="spellEnd"/>
          </w:p>
        </w:tc>
        <w:tc>
          <w:tcPr>
            <w:tcW w:w="297" w:type="pct"/>
            <w:vAlign w:val="center"/>
          </w:tcPr>
          <w:p w14:paraId="6CA2000A" w14:textId="77777777" w:rsidR="007F529E" w:rsidRPr="003A22CC" w:rsidRDefault="007F529E" w:rsidP="00422A25">
            <w:pPr>
              <w:spacing w:line="360" w:lineRule="auto"/>
              <w:jc w:val="center"/>
              <w:rPr>
                <w:rFonts w:cs="Times New Roman"/>
                <w:szCs w:val="24"/>
              </w:rPr>
            </w:pPr>
            <w:r w:rsidRPr="003A22CC">
              <w:rPr>
                <w:rFonts w:eastAsia="Times New Roman" w:cs="Times New Roman"/>
                <w:b/>
                <w:color w:val="000000"/>
                <w:szCs w:val="24"/>
                <w:lang w:eastAsia="en-GB"/>
              </w:rPr>
              <w:t>20.4</w:t>
            </w:r>
          </w:p>
        </w:tc>
        <w:tc>
          <w:tcPr>
            <w:tcW w:w="289" w:type="pct"/>
            <w:vAlign w:val="center"/>
          </w:tcPr>
          <w:p w14:paraId="1DE87D4A" w14:textId="77777777" w:rsidR="007F529E" w:rsidRPr="003A22CC" w:rsidRDefault="007F529E" w:rsidP="00422A25">
            <w:pPr>
              <w:spacing w:line="360" w:lineRule="auto"/>
              <w:jc w:val="center"/>
              <w:rPr>
                <w:rFonts w:cs="Times New Roman"/>
                <w:szCs w:val="24"/>
              </w:rPr>
            </w:pPr>
            <w:r w:rsidRPr="003A22CC">
              <w:rPr>
                <w:rFonts w:eastAsia="Times New Roman" w:cs="Times New Roman"/>
                <w:b/>
                <w:color w:val="000000"/>
                <w:szCs w:val="24"/>
                <w:lang w:eastAsia="en-GB"/>
              </w:rPr>
              <w:t>21.7</w:t>
            </w:r>
          </w:p>
        </w:tc>
      </w:tr>
      <w:tr w:rsidR="007F529E" w:rsidRPr="00860424" w14:paraId="2A91746C" w14:textId="77777777" w:rsidTr="00422A25">
        <w:trPr>
          <w:jc w:val="center"/>
        </w:trPr>
        <w:tc>
          <w:tcPr>
            <w:tcW w:w="456" w:type="pct"/>
            <w:vMerge/>
            <w:tcBorders>
              <w:bottom w:val="single" w:sz="12" w:space="0" w:color="auto"/>
            </w:tcBorders>
            <w:vAlign w:val="center"/>
          </w:tcPr>
          <w:p w14:paraId="6114B97C" w14:textId="77777777" w:rsidR="007F529E" w:rsidRPr="00860424" w:rsidRDefault="007F529E" w:rsidP="00422A25">
            <w:pPr>
              <w:spacing w:line="360" w:lineRule="auto"/>
              <w:rPr>
                <w:rFonts w:cs="Times New Roman"/>
              </w:rPr>
            </w:pPr>
          </w:p>
        </w:tc>
        <w:tc>
          <w:tcPr>
            <w:tcW w:w="485" w:type="pct"/>
            <w:tcBorders>
              <w:bottom w:val="single" w:sz="12" w:space="0" w:color="auto"/>
            </w:tcBorders>
            <w:vAlign w:val="center"/>
          </w:tcPr>
          <w:p w14:paraId="731CADC6" w14:textId="77777777" w:rsidR="007F529E" w:rsidRPr="00860424" w:rsidRDefault="007F529E" w:rsidP="00422A25">
            <w:pPr>
              <w:spacing w:line="360" w:lineRule="auto"/>
              <w:jc w:val="center"/>
              <w:rPr>
                <w:rFonts w:cs="Times New Roman"/>
              </w:rPr>
            </w:pPr>
            <w:r w:rsidRPr="00860424">
              <w:rPr>
                <w:rFonts w:cs="Times New Roman"/>
              </w:rPr>
              <w:t>20-30</w:t>
            </w:r>
          </w:p>
        </w:tc>
        <w:tc>
          <w:tcPr>
            <w:tcW w:w="285" w:type="pct"/>
            <w:vAlign w:val="center"/>
          </w:tcPr>
          <w:p w14:paraId="2E437C11"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color w:val="000000"/>
                <w:szCs w:val="24"/>
                <w:lang w:eastAsia="en-GB"/>
              </w:rPr>
              <w:t>-6.6</w:t>
            </w:r>
          </w:p>
        </w:tc>
        <w:tc>
          <w:tcPr>
            <w:tcW w:w="297" w:type="pct"/>
            <w:vAlign w:val="center"/>
          </w:tcPr>
          <w:p w14:paraId="6DFB6AD2"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color w:val="000000"/>
                <w:szCs w:val="24"/>
                <w:lang w:eastAsia="en-GB"/>
              </w:rPr>
              <w:t>-6.4</w:t>
            </w:r>
          </w:p>
        </w:tc>
        <w:tc>
          <w:tcPr>
            <w:tcW w:w="503" w:type="pct"/>
            <w:vAlign w:val="center"/>
          </w:tcPr>
          <w:p w14:paraId="613DE18A" w14:textId="77777777" w:rsidR="007F529E" w:rsidRPr="003A22CC" w:rsidRDefault="007F529E" w:rsidP="00422A25">
            <w:pPr>
              <w:keepNext/>
              <w:spacing w:line="360" w:lineRule="auto"/>
              <w:jc w:val="center"/>
              <w:rPr>
                <w:rFonts w:cs="Times New Roman"/>
                <w:szCs w:val="24"/>
              </w:rPr>
            </w:pPr>
            <w:r w:rsidRPr="003A22CC">
              <w:rPr>
                <w:rFonts w:cs="Times New Roman"/>
                <w:szCs w:val="24"/>
              </w:rPr>
              <w:t>19.0-19.1</w:t>
            </w:r>
          </w:p>
        </w:tc>
        <w:tc>
          <w:tcPr>
            <w:tcW w:w="519" w:type="pct"/>
            <w:vAlign w:val="center"/>
          </w:tcPr>
          <w:p w14:paraId="1E0250AA" w14:textId="77777777" w:rsidR="007F529E" w:rsidRPr="003A22CC" w:rsidRDefault="007F529E" w:rsidP="00422A25">
            <w:pPr>
              <w:keepNext/>
              <w:spacing w:line="360" w:lineRule="auto"/>
              <w:jc w:val="center"/>
              <w:rPr>
                <w:rFonts w:cs="Times New Roman"/>
                <w:szCs w:val="24"/>
              </w:rPr>
            </w:pPr>
            <w:r w:rsidRPr="003A22CC">
              <w:rPr>
                <w:rFonts w:cs="Times New Roman"/>
                <w:szCs w:val="24"/>
              </w:rPr>
              <w:t>19.3-19.3</w:t>
            </w:r>
          </w:p>
        </w:tc>
        <w:tc>
          <w:tcPr>
            <w:tcW w:w="261" w:type="pct"/>
            <w:vAlign w:val="center"/>
          </w:tcPr>
          <w:p w14:paraId="59DD41F4"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b/>
                <w:color w:val="000000"/>
                <w:szCs w:val="24"/>
                <w:lang w:eastAsia="en-GB"/>
              </w:rPr>
              <w:t>19.7</w:t>
            </w:r>
          </w:p>
        </w:tc>
        <w:tc>
          <w:tcPr>
            <w:tcW w:w="261" w:type="pct"/>
            <w:vAlign w:val="center"/>
          </w:tcPr>
          <w:p w14:paraId="18381053"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b/>
                <w:color w:val="000000"/>
                <w:szCs w:val="24"/>
                <w:lang w:eastAsia="en-GB"/>
              </w:rPr>
              <w:t>21.9</w:t>
            </w:r>
          </w:p>
        </w:tc>
        <w:tc>
          <w:tcPr>
            <w:tcW w:w="374" w:type="pct"/>
            <w:tcBorders>
              <w:bottom w:val="single" w:sz="12" w:space="0" w:color="auto"/>
            </w:tcBorders>
            <w:vAlign w:val="center"/>
          </w:tcPr>
          <w:p w14:paraId="39D6FC18"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color w:val="000000"/>
                <w:szCs w:val="24"/>
                <w:lang w:eastAsia="en-GB"/>
              </w:rPr>
              <w:t>18.4</w:t>
            </w:r>
          </w:p>
        </w:tc>
        <w:tc>
          <w:tcPr>
            <w:tcW w:w="267" w:type="pct"/>
            <w:tcBorders>
              <w:bottom w:val="single" w:sz="12" w:space="0" w:color="auto"/>
            </w:tcBorders>
            <w:vAlign w:val="center"/>
          </w:tcPr>
          <w:p w14:paraId="07920A8D"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color w:val="000000"/>
                <w:szCs w:val="24"/>
                <w:lang w:eastAsia="en-GB"/>
              </w:rPr>
              <w:t>21.8</w:t>
            </w:r>
          </w:p>
        </w:tc>
        <w:tc>
          <w:tcPr>
            <w:tcW w:w="360" w:type="pct"/>
            <w:tcBorders>
              <w:bottom w:val="single" w:sz="12" w:space="0" w:color="auto"/>
            </w:tcBorders>
            <w:vAlign w:val="center"/>
          </w:tcPr>
          <w:p w14:paraId="08AB70EF" w14:textId="77777777" w:rsidR="007F529E" w:rsidRPr="003A22CC" w:rsidRDefault="007F529E" w:rsidP="00422A25">
            <w:pPr>
              <w:spacing w:line="360" w:lineRule="auto"/>
              <w:jc w:val="center"/>
              <w:rPr>
                <w:rFonts w:cs="Times New Roman"/>
                <w:szCs w:val="24"/>
              </w:rPr>
            </w:pPr>
            <w:proofErr w:type="spellStart"/>
            <w:r w:rsidRPr="003A22CC">
              <w:rPr>
                <w:rFonts w:eastAsia="Times New Roman" w:cs="Times New Roman"/>
                <w:color w:val="000000"/>
                <w:szCs w:val="24"/>
                <w:lang w:eastAsia="en-GB"/>
              </w:rPr>
              <w:t>nd</w:t>
            </w:r>
            <w:proofErr w:type="spellEnd"/>
          </w:p>
        </w:tc>
        <w:tc>
          <w:tcPr>
            <w:tcW w:w="346" w:type="pct"/>
            <w:tcBorders>
              <w:bottom w:val="single" w:sz="12" w:space="0" w:color="auto"/>
            </w:tcBorders>
            <w:vAlign w:val="center"/>
          </w:tcPr>
          <w:p w14:paraId="34182CA9" w14:textId="77777777" w:rsidR="007F529E" w:rsidRPr="003A22CC" w:rsidRDefault="007F529E" w:rsidP="00422A25">
            <w:pPr>
              <w:spacing w:line="360" w:lineRule="auto"/>
              <w:jc w:val="center"/>
              <w:rPr>
                <w:rFonts w:cs="Times New Roman"/>
                <w:szCs w:val="24"/>
              </w:rPr>
            </w:pPr>
            <w:proofErr w:type="spellStart"/>
            <w:r w:rsidRPr="003A22CC">
              <w:rPr>
                <w:rFonts w:eastAsia="Times New Roman" w:cs="Times New Roman"/>
                <w:color w:val="000000"/>
                <w:szCs w:val="24"/>
                <w:lang w:eastAsia="en-GB"/>
              </w:rPr>
              <w:t>nd</w:t>
            </w:r>
            <w:proofErr w:type="spellEnd"/>
          </w:p>
        </w:tc>
        <w:tc>
          <w:tcPr>
            <w:tcW w:w="297" w:type="pct"/>
            <w:tcBorders>
              <w:bottom w:val="single" w:sz="12" w:space="0" w:color="auto"/>
            </w:tcBorders>
            <w:vAlign w:val="center"/>
          </w:tcPr>
          <w:p w14:paraId="1E760CD7" w14:textId="77777777" w:rsidR="007F529E" w:rsidRPr="003A22CC" w:rsidRDefault="007F529E" w:rsidP="00422A25">
            <w:pPr>
              <w:spacing w:line="360" w:lineRule="auto"/>
              <w:jc w:val="center"/>
              <w:rPr>
                <w:rFonts w:cs="Times New Roman"/>
                <w:szCs w:val="24"/>
              </w:rPr>
            </w:pPr>
            <w:r w:rsidRPr="003A22CC">
              <w:rPr>
                <w:rFonts w:eastAsia="Times New Roman" w:cs="Times New Roman"/>
                <w:b/>
                <w:color w:val="000000"/>
                <w:szCs w:val="24"/>
                <w:lang w:eastAsia="en-GB"/>
              </w:rPr>
              <w:t>19.0</w:t>
            </w:r>
          </w:p>
        </w:tc>
        <w:tc>
          <w:tcPr>
            <w:tcW w:w="289" w:type="pct"/>
            <w:tcBorders>
              <w:bottom w:val="single" w:sz="12" w:space="0" w:color="auto"/>
            </w:tcBorders>
            <w:vAlign w:val="center"/>
          </w:tcPr>
          <w:p w14:paraId="31D7457C" w14:textId="77777777" w:rsidR="007F529E" w:rsidRPr="003A22CC" w:rsidRDefault="007F529E" w:rsidP="00422A25">
            <w:pPr>
              <w:spacing w:line="360" w:lineRule="auto"/>
              <w:jc w:val="center"/>
              <w:rPr>
                <w:rFonts w:cs="Times New Roman"/>
                <w:szCs w:val="24"/>
              </w:rPr>
            </w:pPr>
            <w:proofErr w:type="spellStart"/>
            <w:r w:rsidRPr="003A22CC">
              <w:rPr>
                <w:rFonts w:eastAsia="Times New Roman" w:cs="Times New Roman"/>
                <w:color w:val="000000"/>
                <w:szCs w:val="24"/>
                <w:lang w:eastAsia="en-GB"/>
              </w:rPr>
              <w:t>nd</w:t>
            </w:r>
            <w:proofErr w:type="spellEnd"/>
          </w:p>
        </w:tc>
      </w:tr>
      <w:tr w:rsidR="007F529E" w:rsidRPr="00860424" w14:paraId="150DF667" w14:textId="77777777" w:rsidTr="00422A25">
        <w:trPr>
          <w:jc w:val="center"/>
        </w:trPr>
        <w:tc>
          <w:tcPr>
            <w:tcW w:w="456" w:type="pct"/>
            <w:vMerge w:val="restart"/>
            <w:tcBorders>
              <w:top w:val="single" w:sz="12" w:space="0" w:color="auto"/>
            </w:tcBorders>
            <w:vAlign w:val="center"/>
          </w:tcPr>
          <w:p w14:paraId="292C2CED" w14:textId="77777777" w:rsidR="007F529E" w:rsidRPr="00860424" w:rsidRDefault="007F529E" w:rsidP="00422A25">
            <w:pPr>
              <w:spacing w:line="360" w:lineRule="auto"/>
              <w:rPr>
                <w:rFonts w:cs="Times New Roman"/>
              </w:rPr>
            </w:pPr>
            <w:r w:rsidRPr="00860424">
              <w:rPr>
                <w:rFonts w:cs="Times New Roman"/>
              </w:rPr>
              <w:t>+N+P</w:t>
            </w:r>
          </w:p>
        </w:tc>
        <w:tc>
          <w:tcPr>
            <w:tcW w:w="485" w:type="pct"/>
            <w:tcBorders>
              <w:top w:val="single" w:sz="12" w:space="0" w:color="auto"/>
            </w:tcBorders>
            <w:vAlign w:val="center"/>
          </w:tcPr>
          <w:p w14:paraId="1EC443D6" w14:textId="77777777" w:rsidR="007F529E" w:rsidRPr="00860424" w:rsidRDefault="007F529E" w:rsidP="00422A25">
            <w:pPr>
              <w:spacing w:line="360" w:lineRule="auto"/>
              <w:jc w:val="center"/>
              <w:rPr>
                <w:rFonts w:cs="Times New Roman"/>
              </w:rPr>
            </w:pPr>
            <w:r w:rsidRPr="00860424">
              <w:rPr>
                <w:rFonts w:cs="Times New Roman"/>
              </w:rPr>
              <w:t>0-10</w:t>
            </w:r>
          </w:p>
        </w:tc>
        <w:tc>
          <w:tcPr>
            <w:tcW w:w="285" w:type="pct"/>
            <w:vAlign w:val="center"/>
          </w:tcPr>
          <w:p w14:paraId="6A6B2402"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color w:val="000000"/>
                <w:szCs w:val="24"/>
                <w:lang w:eastAsia="en-GB"/>
              </w:rPr>
              <w:t>-5.5</w:t>
            </w:r>
          </w:p>
        </w:tc>
        <w:tc>
          <w:tcPr>
            <w:tcW w:w="297" w:type="pct"/>
            <w:vAlign w:val="center"/>
          </w:tcPr>
          <w:p w14:paraId="2B515491"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color w:val="000000"/>
                <w:szCs w:val="24"/>
                <w:lang w:eastAsia="en-GB"/>
              </w:rPr>
              <w:t>-5.3</w:t>
            </w:r>
          </w:p>
        </w:tc>
        <w:tc>
          <w:tcPr>
            <w:tcW w:w="503" w:type="pct"/>
            <w:vAlign w:val="center"/>
          </w:tcPr>
          <w:p w14:paraId="6A261178" w14:textId="77777777" w:rsidR="007F529E" w:rsidRPr="003A22CC" w:rsidRDefault="007F529E" w:rsidP="00422A25">
            <w:pPr>
              <w:keepNext/>
              <w:spacing w:line="360" w:lineRule="auto"/>
              <w:jc w:val="center"/>
              <w:rPr>
                <w:rFonts w:cs="Times New Roman"/>
                <w:szCs w:val="24"/>
              </w:rPr>
            </w:pPr>
            <w:r>
              <w:rPr>
                <w:rFonts w:cs="Times New Roman"/>
                <w:szCs w:val="24"/>
              </w:rPr>
              <w:t>20.2-20.4</w:t>
            </w:r>
          </w:p>
        </w:tc>
        <w:tc>
          <w:tcPr>
            <w:tcW w:w="519" w:type="pct"/>
            <w:vAlign w:val="center"/>
          </w:tcPr>
          <w:p w14:paraId="51791DC8" w14:textId="77777777" w:rsidR="007F529E" w:rsidRPr="003A22CC" w:rsidRDefault="007F529E" w:rsidP="00422A25">
            <w:pPr>
              <w:keepNext/>
              <w:spacing w:line="360" w:lineRule="auto"/>
              <w:jc w:val="center"/>
              <w:rPr>
                <w:rFonts w:cs="Times New Roman"/>
                <w:szCs w:val="24"/>
              </w:rPr>
            </w:pPr>
            <w:r>
              <w:rPr>
                <w:rFonts w:cs="Times New Roman"/>
                <w:szCs w:val="24"/>
              </w:rPr>
              <w:t>20.4-20.7</w:t>
            </w:r>
          </w:p>
        </w:tc>
        <w:tc>
          <w:tcPr>
            <w:tcW w:w="261" w:type="pct"/>
            <w:vAlign w:val="center"/>
          </w:tcPr>
          <w:p w14:paraId="2E785ECB"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b/>
                <w:color w:val="000000"/>
                <w:szCs w:val="24"/>
                <w:lang w:eastAsia="en-GB"/>
              </w:rPr>
              <w:t>18.7</w:t>
            </w:r>
          </w:p>
        </w:tc>
        <w:tc>
          <w:tcPr>
            <w:tcW w:w="261" w:type="pct"/>
            <w:vAlign w:val="center"/>
          </w:tcPr>
          <w:p w14:paraId="5AD9631E"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b/>
                <w:color w:val="000000"/>
                <w:szCs w:val="24"/>
                <w:lang w:eastAsia="en-GB"/>
              </w:rPr>
              <w:t>21.9</w:t>
            </w:r>
          </w:p>
        </w:tc>
        <w:tc>
          <w:tcPr>
            <w:tcW w:w="374" w:type="pct"/>
            <w:tcBorders>
              <w:top w:val="single" w:sz="12" w:space="0" w:color="auto"/>
            </w:tcBorders>
            <w:vAlign w:val="center"/>
          </w:tcPr>
          <w:p w14:paraId="60BC59C7"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color w:val="000000"/>
                <w:szCs w:val="24"/>
                <w:lang w:eastAsia="en-GB"/>
              </w:rPr>
              <w:t>17.9</w:t>
            </w:r>
          </w:p>
        </w:tc>
        <w:tc>
          <w:tcPr>
            <w:tcW w:w="267" w:type="pct"/>
            <w:tcBorders>
              <w:top w:val="single" w:sz="12" w:space="0" w:color="auto"/>
            </w:tcBorders>
            <w:vAlign w:val="center"/>
          </w:tcPr>
          <w:p w14:paraId="34CD0601"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color w:val="000000"/>
                <w:szCs w:val="24"/>
                <w:lang w:eastAsia="en-GB"/>
              </w:rPr>
              <w:t>22.1</w:t>
            </w:r>
          </w:p>
        </w:tc>
        <w:tc>
          <w:tcPr>
            <w:tcW w:w="360" w:type="pct"/>
            <w:tcBorders>
              <w:top w:val="single" w:sz="12" w:space="0" w:color="auto"/>
            </w:tcBorders>
            <w:vAlign w:val="center"/>
          </w:tcPr>
          <w:p w14:paraId="386C1E9E" w14:textId="77777777" w:rsidR="007F529E" w:rsidRPr="003A22CC" w:rsidRDefault="007F529E" w:rsidP="00422A25">
            <w:pPr>
              <w:spacing w:line="360" w:lineRule="auto"/>
              <w:jc w:val="center"/>
              <w:rPr>
                <w:rFonts w:cs="Times New Roman"/>
                <w:szCs w:val="24"/>
              </w:rPr>
            </w:pPr>
            <w:r w:rsidRPr="003A22CC">
              <w:rPr>
                <w:rFonts w:eastAsia="Times New Roman" w:cs="Times New Roman"/>
                <w:b/>
                <w:color w:val="000000"/>
                <w:szCs w:val="24"/>
                <w:lang w:eastAsia="en-GB"/>
              </w:rPr>
              <w:t>20.7</w:t>
            </w:r>
          </w:p>
        </w:tc>
        <w:tc>
          <w:tcPr>
            <w:tcW w:w="346" w:type="pct"/>
            <w:tcBorders>
              <w:top w:val="single" w:sz="12" w:space="0" w:color="auto"/>
            </w:tcBorders>
            <w:vAlign w:val="center"/>
          </w:tcPr>
          <w:p w14:paraId="26DF6D77" w14:textId="77777777" w:rsidR="007F529E" w:rsidRPr="003A22CC" w:rsidRDefault="007F529E" w:rsidP="00422A25">
            <w:pPr>
              <w:spacing w:line="360" w:lineRule="auto"/>
              <w:jc w:val="center"/>
              <w:rPr>
                <w:rFonts w:cs="Times New Roman"/>
                <w:szCs w:val="24"/>
              </w:rPr>
            </w:pPr>
            <w:r w:rsidRPr="003A22CC">
              <w:rPr>
                <w:rFonts w:eastAsia="Times New Roman" w:cs="Times New Roman"/>
                <w:b/>
                <w:color w:val="000000"/>
                <w:szCs w:val="24"/>
                <w:lang w:eastAsia="en-GB"/>
              </w:rPr>
              <w:t>17.4</w:t>
            </w:r>
          </w:p>
        </w:tc>
        <w:tc>
          <w:tcPr>
            <w:tcW w:w="297" w:type="pct"/>
            <w:tcBorders>
              <w:top w:val="single" w:sz="12" w:space="0" w:color="auto"/>
            </w:tcBorders>
            <w:vAlign w:val="center"/>
          </w:tcPr>
          <w:p w14:paraId="64772E71" w14:textId="77777777" w:rsidR="007F529E" w:rsidRPr="003A22CC" w:rsidRDefault="007F529E" w:rsidP="00422A25">
            <w:pPr>
              <w:spacing w:line="360" w:lineRule="auto"/>
              <w:jc w:val="center"/>
              <w:rPr>
                <w:rFonts w:cs="Times New Roman"/>
                <w:szCs w:val="24"/>
              </w:rPr>
            </w:pPr>
            <w:r w:rsidRPr="003A22CC">
              <w:rPr>
                <w:rFonts w:eastAsia="Times New Roman" w:cs="Times New Roman"/>
                <w:b/>
                <w:color w:val="000000"/>
                <w:szCs w:val="24"/>
                <w:lang w:eastAsia="en-GB"/>
              </w:rPr>
              <w:t>18.5</w:t>
            </w:r>
          </w:p>
        </w:tc>
        <w:tc>
          <w:tcPr>
            <w:tcW w:w="289" w:type="pct"/>
            <w:tcBorders>
              <w:top w:val="single" w:sz="12" w:space="0" w:color="auto"/>
            </w:tcBorders>
            <w:vAlign w:val="center"/>
          </w:tcPr>
          <w:p w14:paraId="4B3D9871" w14:textId="77777777" w:rsidR="007F529E" w:rsidRPr="003A22CC" w:rsidRDefault="007F529E" w:rsidP="00422A25">
            <w:pPr>
              <w:spacing w:line="360" w:lineRule="auto"/>
              <w:jc w:val="center"/>
              <w:rPr>
                <w:rFonts w:cs="Times New Roman"/>
                <w:szCs w:val="24"/>
              </w:rPr>
            </w:pPr>
            <w:r w:rsidRPr="003A22CC">
              <w:rPr>
                <w:rFonts w:eastAsia="Times New Roman" w:cs="Times New Roman"/>
                <w:b/>
                <w:color w:val="000000"/>
                <w:szCs w:val="24"/>
                <w:lang w:eastAsia="en-GB"/>
              </w:rPr>
              <w:t>22.2</w:t>
            </w:r>
          </w:p>
        </w:tc>
      </w:tr>
      <w:tr w:rsidR="007F529E" w:rsidRPr="00860424" w14:paraId="02B10CE4" w14:textId="77777777" w:rsidTr="00422A25">
        <w:trPr>
          <w:jc w:val="center"/>
        </w:trPr>
        <w:tc>
          <w:tcPr>
            <w:tcW w:w="456" w:type="pct"/>
            <w:vMerge/>
            <w:vAlign w:val="center"/>
          </w:tcPr>
          <w:p w14:paraId="53B28E9B" w14:textId="77777777" w:rsidR="007F529E" w:rsidRPr="00860424" w:rsidRDefault="007F529E" w:rsidP="00422A25">
            <w:pPr>
              <w:spacing w:line="360" w:lineRule="auto"/>
              <w:rPr>
                <w:rFonts w:cs="Times New Roman"/>
              </w:rPr>
            </w:pPr>
          </w:p>
        </w:tc>
        <w:tc>
          <w:tcPr>
            <w:tcW w:w="485" w:type="pct"/>
            <w:vAlign w:val="center"/>
          </w:tcPr>
          <w:p w14:paraId="0415AB33" w14:textId="77777777" w:rsidR="007F529E" w:rsidRPr="00860424" w:rsidRDefault="007F529E" w:rsidP="00422A25">
            <w:pPr>
              <w:spacing w:line="360" w:lineRule="auto"/>
              <w:jc w:val="center"/>
              <w:rPr>
                <w:rFonts w:cs="Times New Roman"/>
              </w:rPr>
            </w:pPr>
            <w:r w:rsidRPr="00860424">
              <w:rPr>
                <w:rFonts w:cs="Times New Roman"/>
              </w:rPr>
              <w:t>10-20</w:t>
            </w:r>
          </w:p>
        </w:tc>
        <w:tc>
          <w:tcPr>
            <w:tcW w:w="285" w:type="pct"/>
            <w:vAlign w:val="center"/>
          </w:tcPr>
          <w:p w14:paraId="4E5583AA"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color w:val="000000"/>
                <w:szCs w:val="24"/>
                <w:lang w:eastAsia="en-GB"/>
              </w:rPr>
              <w:t>-6.4</w:t>
            </w:r>
          </w:p>
        </w:tc>
        <w:tc>
          <w:tcPr>
            <w:tcW w:w="297" w:type="pct"/>
            <w:vAlign w:val="center"/>
          </w:tcPr>
          <w:p w14:paraId="41A8FD2E"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color w:val="000000"/>
                <w:szCs w:val="24"/>
                <w:lang w:eastAsia="en-GB"/>
              </w:rPr>
              <w:t>-6.2</w:t>
            </w:r>
          </w:p>
        </w:tc>
        <w:tc>
          <w:tcPr>
            <w:tcW w:w="503" w:type="pct"/>
            <w:vAlign w:val="center"/>
          </w:tcPr>
          <w:p w14:paraId="0B05A12F" w14:textId="77777777" w:rsidR="007F529E" w:rsidRPr="003A22CC" w:rsidRDefault="007F529E" w:rsidP="00422A25">
            <w:pPr>
              <w:keepNext/>
              <w:spacing w:line="360" w:lineRule="auto"/>
              <w:jc w:val="center"/>
              <w:rPr>
                <w:rFonts w:cs="Times New Roman"/>
                <w:szCs w:val="24"/>
              </w:rPr>
            </w:pPr>
            <w:r>
              <w:rPr>
                <w:rFonts w:cs="Times New Roman"/>
                <w:szCs w:val="24"/>
              </w:rPr>
              <w:t>19.2-19.3</w:t>
            </w:r>
          </w:p>
        </w:tc>
        <w:tc>
          <w:tcPr>
            <w:tcW w:w="519" w:type="pct"/>
            <w:vAlign w:val="center"/>
          </w:tcPr>
          <w:p w14:paraId="720548E2" w14:textId="77777777" w:rsidR="007F529E" w:rsidRPr="003A22CC" w:rsidRDefault="007F529E" w:rsidP="00422A25">
            <w:pPr>
              <w:keepNext/>
              <w:spacing w:line="360" w:lineRule="auto"/>
              <w:jc w:val="center"/>
              <w:rPr>
                <w:rFonts w:cs="Times New Roman"/>
                <w:szCs w:val="24"/>
              </w:rPr>
            </w:pPr>
            <w:r>
              <w:rPr>
                <w:rFonts w:cs="Times New Roman"/>
                <w:szCs w:val="24"/>
              </w:rPr>
              <w:t>19.5-19.6</w:t>
            </w:r>
          </w:p>
        </w:tc>
        <w:tc>
          <w:tcPr>
            <w:tcW w:w="261" w:type="pct"/>
            <w:vAlign w:val="center"/>
          </w:tcPr>
          <w:p w14:paraId="4FCA0AE0"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b/>
                <w:color w:val="000000"/>
                <w:szCs w:val="24"/>
                <w:lang w:eastAsia="en-GB"/>
              </w:rPr>
              <w:t>19.1</w:t>
            </w:r>
          </w:p>
        </w:tc>
        <w:tc>
          <w:tcPr>
            <w:tcW w:w="261" w:type="pct"/>
            <w:vAlign w:val="center"/>
          </w:tcPr>
          <w:p w14:paraId="1510081F"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b/>
                <w:color w:val="000000"/>
                <w:szCs w:val="24"/>
                <w:lang w:eastAsia="en-GB"/>
              </w:rPr>
              <w:t>21.6</w:t>
            </w:r>
          </w:p>
        </w:tc>
        <w:tc>
          <w:tcPr>
            <w:tcW w:w="374" w:type="pct"/>
            <w:vAlign w:val="center"/>
          </w:tcPr>
          <w:p w14:paraId="23145173"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color w:val="000000"/>
                <w:szCs w:val="24"/>
                <w:lang w:eastAsia="en-GB"/>
              </w:rPr>
              <w:t>17.9</w:t>
            </w:r>
          </w:p>
        </w:tc>
        <w:tc>
          <w:tcPr>
            <w:tcW w:w="267" w:type="pct"/>
            <w:vAlign w:val="center"/>
          </w:tcPr>
          <w:p w14:paraId="5D85677E"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color w:val="000000"/>
                <w:szCs w:val="24"/>
                <w:lang w:eastAsia="en-GB"/>
              </w:rPr>
              <w:t>21.5</w:t>
            </w:r>
          </w:p>
        </w:tc>
        <w:tc>
          <w:tcPr>
            <w:tcW w:w="360" w:type="pct"/>
            <w:vAlign w:val="center"/>
          </w:tcPr>
          <w:p w14:paraId="61E027E2" w14:textId="77777777" w:rsidR="007F529E" w:rsidRPr="003A22CC" w:rsidRDefault="007F529E" w:rsidP="00422A25">
            <w:pPr>
              <w:spacing w:line="360" w:lineRule="auto"/>
              <w:jc w:val="center"/>
              <w:rPr>
                <w:rFonts w:cs="Times New Roman"/>
                <w:szCs w:val="24"/>
              </w:rPr>
            </w:pPr>
            <w:proofErr w:type="spellStart"/>
            <w:r w:rsidRPr="003A22CC">
              <w:rPr>
                <w:rFonts w:eastAsia="Times New Roman" w:cs="Times New Roman"/>
                <w:color w:val="000000"/>
                <w:szCs w:val="24"/>
                <w:lang w:eastAsia="en-GB"/>
              </w:rPr>
              <w:t>nd</w:t>
            </w:r>
            <w:proofErr w:type="spellEnd"/>
          </w:p>
        </w:tc>
        <w:tc>
          <w:tcPr>
            <w:tcW w:w="346" w:type="pct"/>
            <w:vAlign w:val="center"/>
          </w:tcPr>
          <w:p w14:paraId="6F670482" w14:textId="77777777" w:rsidR="007F529E" w:rsidRPr="003A22CC" w:rsidRDefault="007F529E" w:rsidP="00422A25">
            <w:pPr>
              <w:spacing w:line="360" w:lineRule="auto"/>
              <w:jc w:val="center"/>
              <w:rPr>
                <w:rFonts w:cs="Times New Roman"/>
                <w:szCs w:val="24"/>
              </w:rPr>
            </w:pPr>
            <w:proofErr w:type="spellStart"/>
            <w:r w:rsidRPr="003A22CC">
              <w:rPr>
                <w:rFonts w:eastAsia="Times New Roman" w:cs="Times New Roman"/>
                <w:color w:val="000000"/>
                <w:szCs w:val="24"/>
                <w:lang w:eastAsia="en-GB"/>
              </w:rPr>
              <w:t>nd</w:t>
            </w:r>
            <w:proofErr w:type="spellEnd"/>
          </w:p>
        </w:tc>
        <w:tc>
          <w:tcPr>
            <w:tcW w:w="297" w:type="pct"/>
            <w:vAlign w:val="center"/>
          </w:tcPr>
          <w:p w14:paraId="5E24CF48" w14:textId="77777777" w:rsidR="007F529E" w:rsidRPr="003A22CC" w:rsidRDefault="007F529E" w:rsidP="00422A25">
            <w:pPr>
              <w:spacing w:line="360" w:lineRule="auto"/>
              <w:jc w:val="center"/>
              <w:rPr>
                <w:rFonts w:cs="Times New Roman"/>
                <w:szCs w:val="24"/>
              </w:rPr>
            </w:pPr>
            <w:r w:rsidRPr="003A22CC">
              <w:rPr>
                <w:rFonts w:eastAsia="Times New Roman" w:cs="Times New Roman"/>
                <w:b/>
                <w:color w:val="000000"/>
                <w:szCs w:val="24"/>
                <w:lang w:eastAsia="en-GB"/>
              </w:rPr>
              <w:t>21.1</w:t>
            </w:r>
          </w:p>
        </w:tc>
        <w:tc>
          <w:tcPr>
            <w:tcW w:w="289" w:type="pct"/>
            <w:vAlign w:val="center"/>
          </w:tcPr>
          <w:p w14:paraId="4530F843" w14:textId="77777777" w:rsidR="007F529E" w:rsidRPr="003A22CC" w:rsidRDefault="007F529E" w:rsidP="00422A25">
            <w:pPr>
              <w:spacing w:line="360" w:lineRule="auto"/>
              <w:jc w:val="center"/>
              <w:rPr>
                <w:rFonts w:cs="Times New Roman"/>
                <w:szCs w:val="24"/>
              </w:rPr>
            </w:pPr>
            <w:r w:rsidRPr="003A22CC">
              <w:rPr>
                <w:rFonts w:eastAsia="Times New Roman" w:cs="Times New Roman"/>
                <w:b/>
                <w:color w:val="000000"/>
                <w:szCs w:val="24"/>
                <w:lang w:eastAsia="en-GB"/>
              </w:rPr>
              <w:t>23.5</w:t>
            </w:r>
          </w:p>
        </w:tc>
      </w:tr>
      <w:tr w:rsidR="007F529E" w:rsidRPr="00860424" w14:paraId="457F0FBE" w14:textId="77777777" w:rsidTr="00422A25">
        <w:trPr>
          <w:jc w:val="center"/>
        </w:trPr>
        <w:tc>
          <w:tcPr>
            <w:tcW w:w="456" w:type="pct"/>
            <w:vMerge/>
            <w:tcBorders>
              <w:bottom w:val="single" w:sz="12" w:space="0" w:color="auto"/>
            </w:tcBorders>
            <w:vAlign w:val="center"/>
          </w:tcPr>
          <w:p w14:paraId="5D48458B" w14:textId="77777777" w:rsidR="007F529E" w:rsidRPr="00860424" w:rsidRDefault="007F529E" w:rsidP="00422A25">
            <w:pPr>
              <w:spacing w:line="360" w:lineRule="auto"/>
              <w:rPr>
                <w:rFonts w:cs="Times New Roman"/>
              </w:rPr>
            </w:pPr>
          </w:p>
        </w:tc>
        <w:tc>
          <w:tcPr>
            <w:tcW w:w="485" w:type="pct"/>
            <w:tcBorders>
              <w:bottom w:val="single" w:sz="12" w:space="0" w:color="auto"/>
            </w:tcBorders>
            <w:vAlign w:val="center"/>
          </w:tcPr>
          <w:p w14:paraId="38A0C09D" w14:textId="77777777" w:rsidR="007F529E" w:rsidRPr="00860424" w:rsidRDefault="007F529E" w:rsidP="00422A25">
            <w:pPr>
              <w:spacing w:line="360" w:lineRule="auto"/>
              <w:jc w:val="center"/>
              <w:rPr>
                <w:rFonts w:cs="Times New Roman"/>
              </w:rPr>
            </w:pPr>
            <w:r w:rsidRPr="00860424">
              <w:rPr>
                <w:rFonts w:cs="Times New Roman"/>
              </w:rPr>
              <w:t>20-30</w:t>
            </w:r>
          </w:p>
        </w:tc>
        <w:tc>
          <w:tcPr>
            <w:tcW w:w="285" w:type="pct"/>
            <w:vAlign w:val="center"/>
          </w:tcPr>
          <w:p w14:paraId="0A0A0CB9"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color w:val="000000"/>
                <w:szCs w:val="24"/>
                <w:lang w:eastAsia="en-GB"/>
              </w:rPr>
              <w:t>-7.4</w:t>
            </w:r>
          </w:p>
        </w:tc>
        <w:tc>
          <w:tcPr>
            <w:tcW w:w="297" w:type="pct"/>
            <w:vAlign w:val="center"/>
          </w:tcPr>
          <w:p w14:paraId="3E96C5D6"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color w:val="000000"/>
                <w:szCs w:val="24"/>
                <w:lang w:eastAsia="en-GB"/>
              </w:rPr>
              <w:t>-6.2</w:t>
            </w:r>
          </w:p>
        </w:tc>
        <w:tc>
          <w:tcPr>
            <w:tcW w:w="503" w:type="pct"/>
            <w:vAlign w:val="center"/>
          </w:tcPr>
          <w:p w14:paraId="39307829" w14:textId="77777777" w:rsidR="007F529E" w:rsidRPr="003A22CC" w:rsidRDefault="007F529E" w:rsidP="00422A25">
            <w:pPr>
              <w:keepNext/>
              <w:spacing w:line="360" w:lineRule="auto"/>
              <w:jc w:val="center"/>
              <w:rPr>
                <w:rFonts w:cs="Times New Roman"/>
                <w:szCs w:val="24"/>
              </w:rPr>
            </w:pPr>
            <w:r>
              <w:rPr>
                <w:rFonts w:cs="Times New Roman"/>
                <w:szCs w:val="24"/>
              </w:rPr>
              <w:t>18.3-18.3</w:t>
            </w:r>
          </w:p>
        </w:tc>
        <w:tc>
          <w:tcPr>
            <w:tcW w:w="519" w:type="pct"/>
            <w:vAlign w:val="center"/>
          </w:tcPr>
          <w:p w14:paraId="137E996F" w14:textId="77777777" w:rsidR="007F529E" w:rsidRPr="003A22CC" w:rsidRDefault="007F529E" w:rsidP="00422A25">
            <w:pPr>
              <w:keepNext/>
              <w:spacing w:line="360" w:lineRule="auto"/>
              <w:jc w:val="center"/>
              <w:rPr>
                <w:rFonts w:cs="Times New Roman"/>
                <w:szCs w:val="24"/>
              </w:rPr>
            </w:pPr>
            <w:r>
              <w:rPr>
                <w:rFonts w:cs="Times New Roman"/>
                <w:szCs w:val="24"/>
              </w:rPr>
              <w:t>19.4-19.5</w:t>
            </w:r>
          </w:p>
        </w:tc>
        <w:tc>
          <w:tcPr>
            <w:tcW w:w="261" w:type="pct"/>
            <w:vAlign w:val="center"/>
          </w:tcPr>
          <w:p w14:paraId="7AD0F74F"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b/>
                <w:color w:val="000000"/>
                <w:szCs w:val="24"/>
                <w:lang w:eastAsia="en-GB"/>
              </w:rPr>
              <w:t>18.9</w:t>
            </w:r>
          </w:p>
        </w:tc>
        <w:tc>
          <w:tcPr>
            <w:tcW w:w="261" w:type="pct"/>
            <w:vAlign w:val="center"/>
          </w:tcPr>
          <w:p w14:paraId="3DAC968C"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b/>
                <w:color w:val="000000"/>
                <w:szCs w:val="24"/>
                <w:lang w:eastAsia="en-GB"/>
              </w:rPr>
              <w:t>21.2</w:t>
            </w:r>
          </w:p>
        </w:tc>
        <w:tc>
          <w:tcPr>
            <w:tcW w:w="374" w:type="pct"/>
            <w:tcBorders>
              <w:bottom w:val="single" w:sz="12" w:space="0" w:color="auto"/>
            </w:tcBorders>
            <w:vAlign w:val="center"/>
          </w:tcPr>
          <w:p w14:paraId="211854A6"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color w:val="000000"/>
                <w:szCs w:val="24"/>
                <w:lang w:eastAsia="en-GB"/>
              </w:rPr>
              <w:t>17.6</w:t>
            </w:r>
          </w:p>
        </w:tc>
        <w:tc>
          <w:tcPr>
            <w:tcW w:w="267" w:type="pct"/>
            <w:tcBorders>
              <w:bottom w:val="single" w:sz="12" w:space="0" w:color="auto"/>
            </w:tcBorders>
            <w:vAlign w:val="center"/>
          </w:tcPr>
          <w:p w14:paraId="3D742B56"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color w:val="000000"/>
                <w:szCs w:val="24"/>
                <w:lang w:eastAsia="en-GB"/>
              </w:rPr>
              <w:t>23.6</w:t>
            </w:r>
          </w:p>
        </w:tc>
        <w:tc>
          <w:tcPr>
            <w:tcW w:w="360" w:type="pct"/>
            <w:tcBorders>
              <w:bottom w:val="single" w:sz="12" w:space="0" w:color="auto"/>
            </w:tcBorders>
            <w:vAlign w:val="center"/>
          </w:tcPr>
          <w:p w14:paraId="2CAF6393" w14:textId="77777777" w:rsidR="007F529E" w:rsidRPr="003A22CC" w:rsidRDefault="007F529E" w:rsidP="00422A25">
            <w:pPr>
              <w:spacing w:line="360" w:lineRule="auto"/>
              <w:jc w:val="center"/>
              <w:rPr>
                <w:rFonts w:cs="Times New Roman"/>
                <w:szCs w:val="24"/>
              </w:rPr>
            </w:pPr>
            <w:proofErr w:type="spellStart"/>
            <w:r w:rsidRPr="003A22CC">
              <w:rPr>
                <w:rFonts w:eastAsia="Times New Roman" w:cs="Times New Roman"/>
                <w:color w:val="000000"/>
                <w:szCs w:val="24"/>
                <w:lang w:eastAsia="en-GB"/>
              </w:rPr>
              <w:t>nd</w:t>
            </w:r>
            <w:proofErr w:type="spellEnd"/>
          </w:p>
        </w:tc>
        <w:tc>
          <w:tcPr>
            <w:tcW w:w="346" w:type="pct"/>
            <w:tcBorders>
              <w:bottom w:val="single" w:sz="12" w:space="0" w:color="auto"/>
            </w:tcBorders>
            <w:vAlign w:val="center"/>
          </w:tcPr>
          <w:p w14:paraId="5F8BD65E" w14:textId="77777777" w:rsidR="007F529E" w:rsidRPr="003A22CC" w:rsidRDefault="007F529E" w:rsidP="00422A25">
            <w:pPr>
              <w:spacing w:line="360" w:lineRule="auto"/>
              <w:jc w:val="center"/>
              <w:rPr>
                <w:rFonts w:cs="Times New Roman"/>
                <w:szCs w:val="24"/>
              </w:rPr>
            </w:pPr>
            <w:proofErr w:type="spellStart"/>
            <w:r w:rsidRPr="003A22CC">
              <w:rPr>
                <w:rFonts w:eastAsia="Times New Roman" w:cs="Times New Roman"/>
                <w:color w:val="000000"/>
                <w:szCs w:val="24"/>
                <w:lang w:eastAsia="en-GB"/>
              </w:rPr>
              <w:t>nd</w:t>
            </w:r>
            <w:proofErr w:type="spellEnd"/>
          </w:p>
        </w:tc>
        <w:tc>
          <w:tcPr>
            <w:tcW w:w="297" w:type="pct"/>
            <w:tcBorders>
              <w:bottom w:val="single" w:sz="12" w:space="0" w:color="auto"/>
            </w:tcBorders>
            <w:vAlign w:val="center"/>
          </w:tcPr>
          <w:p w14:paraId="12ABB76E" w14:textId="77777777" w:rsidR="007F529E" w:rsidRPr="003A22CC" w:rsidRDefault="007F529E" w:rsidP="00422A25">
            <w:pPr>
              <w:spacing w:line="360" w:lineRule="auto"/>
              <w:jc w:val="center"/>
              <w:rPr>
                <w:rFonts w:cs="Times New Roman"/>
                <w:szCs w:val="24"/>
              </w:rPr>
            </w:pPr>
            <w:r w:rsidRPr="003A22CC">
              <w:rPr>
                <w:rFonts w:eastAsia="Times New Roman" w:cs="Times New Roman"/>
                <w:b/>
                <w:color w:val="000000"/>
                <w:szCs w:val="24"/>
                <w:lang w:eastAsia="en-GB"/>
              </w:rPr>
              <w:t>20.9</w:t>
            </w:r>
          </w:p>
        </w:tc>
        <w:tc>
          <w:tcPr>
            <w:tcW w:w="289" w:type="pct"/>
            <w:tcBorders>
              <w:bottom w:val="single" w:sz="12" w:space="0" w:color="auto"/>
            </w:tcBorders>
            <w:vAlign w:val="center"/>
          </w:tcPr>
          <w:p w14:paraId="60A8C449" w14:textId="77777777" w:rsidR="007F529E" w:rsidRPr="003A22CC" w:rsidRDefault="007F529E" w:rsidP="00422A25">
            <w:pPr>
              <w:spacing w:line="360" w:lineRule="auto"/>
              <w:jc w:val="center"/>
              <w:rPr>
                <w:rFonts w:cs="Times New Roman"/>
                <w:szCs w:val="24"/>
              </w:rPr>
            </w:pPr>
            <w:r w:rsidRPr="003A22CC">
              <w:rPr>
                <w:rFonts w:eastAsia="Times New Roman" w:cs="Times New Roman"/>
                <w:b/>
                <w:color w:val="000000"/>
                <w:szCs w:val="24"/>
                <w:lang w:eastAsia="en-GB"/>
              </w:rPr>
              <w:t>23.9</w:t>
            </w:r>
          </w:p>
        </w:tc>
      </w:tr>
      <w:tr w:rsidR="007F529E" w:rsidRPr="00860424" w14:paraId="4FE8B03F" w14:textId="77777777" w:rsidTr="00422A25">
        <w:trPr>
          <w:jc w:val="center"/>
        </w:trPr>
        <w:tc>
          <w:tcPr>
            <w:tcW w:w="456" w:type="pct"/>
            <w:vMerge w:val="restart"/>
            <w:tcBorders>
              <w:top w:val="single" w:sz="12" w:space="0" w:color="auto"/>
            </w:tcBorders>
            <w:vAlign w:val="center"/>
          </w:tcPr>
          <w:p w14:paraId="368BC317" w14:textId="77777777" w:rsidR="007F529E" w:rsidRPr="00860424" w:rsidRDefault="007F529E" w:rsidP="00422A25">
            <w:pPr>
              <w:spacing w:line="360" w:lineRule="auto"/>
              <w:rPr>
                <w:rFonts w:cs="Times New Roman"/>
              </w:rPr>
            </w:pPr>
            <w:r w:rsidRPr="00860424">
              <w:rPr>
                <w:rFonts w:cs="Times New Roman"/>
              </w:rPr>
              <w:t>-N-P</w:t>
            </w:r>
          </w:p>
        </w:tc>
        <w:tc>
          <w:tcPr>
            <w:tcW w:w="485" w:type="pct"/>
            <w:tcBorders>
              <w:top w:val="single" w:sz="12" w:space="0" w:color="auto"/>
            </w:tcBorders>
            <w:vAlign w:val="center"/>
          </w:tcPr>
          <w:p w14:paraId="2AC825BE" w14:textId="77777777" w:rsidR="007F529E" w:rsidRPr="00860424" w:rsidRDefault="007F529E" w:rsidP="00422A25">
            <w:pPr>
              <w:spacing w:line="360" w:lineRule="auto"/>
              <w:jc w:val="center"/>
              <w:rPr>
                <w:rFonts w:cs="Times New Roman"/>
              </w:rPr>
            </w:pPr>
            <w:r w:rsidRPr="00860424">
              <w:rPr>
                <w:rFonts w:cs="Times New Roman"/>
              </w:rPr>
              <w:t>0-10</w:t>
            </w:r>
          </w:p>
        </w:tc>
        <w:tc>
          <w:tcPr>
            <w:tcW w:w="285" w:type="pct"/>
            <w:vAlign w:val="center"/>
          </w:tcPr>
          <w:p w14:paraId="5B5CC270"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color w:val="000000"/>
                <w:szCs w:val="24"/>
                <w:lang w:eastAsia="en-GB"/>
              </w:rPr>
              <w:t>-5.9</w:t>
            </w:r>
          </w:p>
        </w:tc>
        <w:tc>
          <w:tcPr>
            <w:tcW w:w="297" w:type="pct"/>
            <w:vAlign w:val="center"/>
          </w:tcPr>
          <w:p w14:paraId="109C296B"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color w:val="000000"/>
                <w:szCs w:val="24"/>
                <w:lang w:eastAsia="en-GB"/>
              </w:rPr>
              <w:t>-5.6</w:t>
            </w:r>
          </w:p>
        </w:tc>
        <w:tc>
          <w:tcPr>
            <w:tcW w:w="503" w:type="pct"/>
            <w:vAlign w:val="center"/>
          </w:tcPr>
          <w:p w14:paraId="51EDA278" w14:textId="77777777" w:rsidR="007F529E" w:rsidRPr="003A22CC" w:rsidRDefault="007F529E" w:rsidP="00422A25">
            <w:pPr>
              <w:keepNext/>
              <w:spacing w:line="360" w:lineRule="auto"/>
              <w:jc w:val="center"/>
              <w:rPr>
                <w:rFonts w:cs="Times New Roman"/>
                <w:szCs w:val="24"/>
              </w:rPr>
            </w:pPr>
            <w:r>
              <w:rPr>
                <w:rFonts w:cs="Times New Roman"/>
                <w:szCs w:val="24"/>
              </w:rPr>
              <w:t>19.9-20.1</w:t>
            </w:r>
          </w:p>
        </w:tc>
        <w:tc>
          <w:tcPr>
            <w:tcW w:w="519" w:type="pct"/>
            <w:vAlign w:val="center"/>
          </w:tcPr>
          <w:p w14:paraId="247EC311" w14:textId="77777777" w:rsidR="007F529E" w:rsidRPr="003A22CC" w:rsidRDefault="007F529E" w:rsidP="00422A25">
            <w:pPr>
              <w:keepNext/>
              <w:spacing w:line="360" w:lineRule="auto"/>
              <w:jc w:val="center"/>
              <w:rPr>
                <w:rFonts w:cs="Times New Roman"/>
                <w:color w:val="92D050"/>
                <w:szCs w:val="24"/>
              </w:rPr>
            </w:pPr>
            <w:r w:rsidRPr="003A22CC">
              <w:rPr>
                <w:rFonts w:cs="Times New Roman"/>
                <w:color w:val="000000" w:themeColor="text1"/>
                <w:szCs w:val="24"/>
              </w:rPr>
              <w:t>20.1-20.4</w:t>
            </w:r>
          </w:p>
        </w:tc>
        <w:tc>
          <w:tcPr>
            <w:tcW w:w="261" w:type="pct"/>
            <w:vAlign w:val="center"/>
          </w:tcPr>
          <w:p w14:paraId="2E0E251D" w14:textId="77777777" w:rsidR="007F529E" w:rsidRPr="003A22CC" w:rsidRDefault="007F529E" w:rsidP="00422A25">
            <w:pPr>
              <w:keepNext/>
              <w:spacing w:line="360" w:lineRule="auto"/>
              <w:jc w:val="center"/>
              <w:rPr>
                <w:rFonts w:cs="Times New Roman"/>
                <w:szCs w:val="24"/>
              </w:rPr>
            </w:pPr>
            <w:proofErr w:type="spellStart"/>
            <w:r w:rsidRPr="003A22CC">
              <w:rPr>
                <w:rFonts w:eastAsia="Times New Roman" w:cs="Times New Roman"/>
                <w:color w:val="000000"/>
                <w:szCs w:val="24"/>
                <w:lang w:eastAsia="en-GB"/>
              </w:rPr>
              <w:t>nd</w:t>
            </w:r>
            <w:proofErr w:type="spellEnd"/>
          </w:p>
        </w:tc>
        <w:tc>
          <w:tcPr>
            <w:tcW w:w="261" w:type="pct"/>
            <w:vAlign w:val="center"/>
          </w:tcPr>
          <w:p w14:paraId="6FB29D61" w14:textId="77777777" w:rsidR="007F529E" w:rsidRPr="003A22CC" w:rsidRDefault="007F529E" w:rsidP="00422A25">
            <w:pPr>
              <w:keepNext/>
              <w:spacing w:line="360" w:lineRule="auto"/>
              <w:jc w:val="center"/>
              <w:rPr>
                <w:rFonts w:cs="Times New Roman"/>
                <w:szCs w:val="24"/>
              </w:rPr>
            </w:pPr>
            <w:proofErr w:type="spellStart"/>
            <w:r w:rsidRPr="003A22CC">
              <w:rPr>
                <w:rFonts w:eastAsia="Times New Roman" w:cs="Times New Roman"/>
                <w:color w:val="000000"/>
                <w:szCs w:val="24"/>
                <w:lang w:eastAsia="en-GB"/>
              </w:rPr>
              <w:t>nd</w:t>
            </w:r>
            <w:proofErr w:type="spellEnd"/>
          </w:p>
        </w:tc>
        <w:tc>
          <w:tcPr>
            <w:tcW w:w="374" w:type="pct"/>
            <w:tcBorders>
              <w:top w:val="single" w:sz="12" w:space="0" w:color="auto"/>
            </w:tcBorders>
            <w:vAlign w:val="center"/>
          </w:tcPr>
          <w:p w14:paraId="324C75E5"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b/>
                <w:color w:val="000000"/>
                <w:szCs w:val="24"/>
                <w:lang w:eastAsia="en-GB"/>
              </w:rPr>
              <w:t>13.0</w:t>
            </w:r>
          </w:p>
        </w:tc>
        <w:tc>
          <w:tcPr>
            <w:tcW w:w="267" w:type="pct"/>
            <w:tcBorders>
              <w:top w:val="single" w:sz="12" w:space="0" w:color="auto"/>
            </w:tcBorders>
            <w:vAlign w:val="center"/>
          </w:tcPr>
          <w:p w14:paraId="3A539C25"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b/>
                <w:color w:val="000000"/>
                <w:szCs w:val="24"/>
                <w:lang w:eastAsia="en-GB"/>
              </w:rPr>
              <w:t>15.1</w:t>
            </w:r>
          </w:p>
        </w:tc>
        <w:tc>
          <w:tcPr>
            <w:tcW w:w="360" w:type="pct"/>
            <w:tcBorders>
              <w:top w:val="single" w:sz="12" w:space="0" w:color="auto"/>
            </w:tcBorders>
            <w:vAlign w:val="center"/>
          </w:tcPr>
          <w:p w14:paraId="349A1BFF" w14:textId="77777777" w:rsidR="007F529E" w:rsidRPr="003A22CC" w:rsidRDefault="007F529E" w:rsidP="00422A25">
            <w:pPr>
              <w:spacing w:line="360" w:lineRule="auto"/>
              <w:jc w:val="center"/>
              <w:rPr>
                <w:rFonts w:cs="Times New Roman"/>
                <w:szCs w:val="24"/>
              </w:rPr>
            </w:pPr>
            <w:proofErr w:type="spellStart"/>
            <w:r w:rsidRPr="003A22CC">
              <w:rPr>
                <w:rFonts w:eastAsia="Times New Roman" w:cs="Times New Roman"/>
                <w:color w:val="000000"/>
                <w:szCs w:val="24"/>
                <w:lang w:eastAsia="en-GB"/>
              </w:rPr>
              <w:t>nd</w:t>
            </w:r>
            <w:proofErr w:type="spellEnd"/>
          </w:p>
        </w:tc>
        <w:tc>
          <w:tcPr>
            <w:tcW w:w="346" w:type="pct"/>
            <w:tcBorders>
              <w:top w:val="single" w:sz="12" w:space="0" w:color="auto"/>
            </w:tcBorders>
            <w:vAlign w:val="center"/>
          </w:tcPr>
          <w:p w14:paraId="1730D656" w14:textId="77777777" w:rsidR="007F529E" w:rsidRPr="003A22CC" w:rsidRDefault="007F529E" w:rsidP="00422A25">
            <w:pPr>
              <w:spacing w:line="360" w:lineRule="auto"/>
              <w:jc w:val="center"/>
              <w:rPr>
                <w:rFonts w:cs="Times New Roman"/>
                <w:szCs w:val="24"/>
              </w:rPr>
            </w:pPr>
            <w:proofErr w:type="spellStart"/>
            <w:r w:rsidRPr="003A22CC">
              <w:rPr>
                <w:rFonts w:eastAsia="Times New Roman" w:cs="Times New Roman"/>
                <w:color w:val="000000"/>
                <w:szCs w:val="24"/>
                <w:lang w:eastAsia="en-GB"/>
              </w:rPr>
              <w:t>nd</w:t>
            </w:r>
            <w:proofErr w:type="spellEnd"/>
          </w:p>
        </w:tc>
        <w:tc>
          <w:tcPr>
            <w:tcW w:w="297" w:type="pct"/>
            <w:tcBorders>
              <w:top w:val="single" w:sz="12" w:space="0" w:color="auto"/>
            </w:tcBorders>
            <w:vAlign w:val="center"/>
          </w:tcPr>
          <w:p w14:paraId="479B6CC5" w14:textId="77777777" w:rsidR="007F529E" w:rsidRPr="003A22CC" w:rsidRDefault="007F529E" w:rsidP="00422A25">
            <w:pPr>
              <w:spacing w:line="360" w:lineRule="auto"/>
              <w:jc w:val="center"/>
              <w:rPr>
                <w:rFonts w:cs="Times New Roman"/>
                <w:szCs w:val="24"/>
              </w:rPr>
            </w:pPr>
            <w:proofErr w:type="spellStart"/>
            <w:r w:rsidRPr="003A22CC">
              <w:rPr>
                <w:rFonts w:eastAsia="Times New Roman" w:cs="Times New Roman"/>
                <w:color w:val="000000"/>
                <w:szCs w:val="24"/>
                <w:lang w:eastAsia="en-GB"/>
              </w:rPr>
              <w:t>nd</w:t>
            </w:r>
            <w:proofErr w:type="spellEnd"/>
          </w:p>
        </w:tc>
        <w:tc>
          <w:tcPr>
            <w:tcW w:w="289" w:type="pct"/>
            <w:tcBorders>
              <w:top w:val="single" w:sz="12" w:space="0" w:color="auto"/>
            </w:tcBorders>
            <w:vAlign w:val="center"/>
          </w:tcPr>
          <w:p w14:paraId="30A89F01" w14:textId="77777777" w:rsidR="007F529E" w:rsidRPr="003A22CC" w:rsidRDefault="007F529E" w:rsidP="00422A25">
            <w:pPr>
              <w:spacing w:line="360" w:lineRule="auto"/>
              <w:jc w:val="center"/>
              <w:rPr>
                <w:rFonts w:cs="Times New Roman"/>
                <w:szCs w:val="24"/>
              </w:rPr>
            </w:pPr>
            <w:proofErr w:type="spellStart"/>
            <w:r w:rsidRPr="003A22CC">
              <w:rPr>
                <w:rFonts w:eastAsia="Times New Roman" w:cs="Times New Roman"/>
                <w:color w:val="000000"/>
                <w:szCs w:val="24"/>
                <w:lang w:eastAsia="en-GB"/>
              </w:rPr>
              <w:t>nd</w:t>
            </w:r>
            <w:proofErr w:type="spellEnd"/>
          </w:p>
        </w:tc>
      </w:tr>
      <w:tr w:rsidR="007F529E" w:rsidRPr="00860424" w14:paraId="315D1233" w14:textId="77777777" w:rsidTr="00422A25">
        <w:trPr>
          <w:jc w:val="center"/>
        </w:trPr>
        <w:tc>
          <w:tcPr>
            <w:tcW w:w="456" w:type="pct"/>
            <w:vMerge/>
          </w:tcPr>
          <w:p w14:paraId="2CBE3449" w14:textId="77777777" w:rsidR="007F529E" w:rsidRPr="00860424" w:rsidRDefault="007F529E" w:rsidP="00422A25">
            <w:pPr>
              <w:spacing w:line="360" w:lineRule="auto"/>
              <w:rPr>
                <w:rFonts w:cs="Times New Roman"/>
              </w:rPr>
            </w:pPr>
          </w:p>
        </w:tc>
        <w:tc>
          <w:tcPr>
            <w:tcW w:w="485" w:type="pct"/>
            <w:vAlign w:val="center"/>
          </w:tcPr>
          <w:p w14:paraId="17E88E5E" w14:textId="77777777" w:rsidR="007F529E" w:rsidRPr="00860424" w:rsidRDefault="007F529E" w:rsidP="00422A25">
            <w:pPr>
              <w:spacing w:line="360" w:lineRule="auto"/>
              <w:jc w:val="center"/>
              <w:rPr>
                <w:rFonts w:cs="Times New Roman"/>
              </w:rPr>
            </w:pPr>
            <w:r w:rsidRPr="00860424">
              <w:rPr>
                <w:rFonts w:cs="Times New Roman"/>
              </w:rPr>
              <w:t>10-20</w:t>
            </w:r>
          </w:p>
        </w:tc>
        <w:tc>
          <w:tcPr>
            <w:tcW w:w="285" w:type="pct"/>
            <w:vAlign w:val="center"/>
          </w:tcPr>
          <w:p w14:paraId="4FAA6851"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color w:val="000000"/>
                <w:szCs w:val="24"/>
                <w:lang w:eastAsia="en-GB"/>
              </w:rPr>
              <w:t>-7.1</w:t>
            </w:r>
          </w:p>
        </w:tc>
        <w:tc>
          <w:tcPr>
            <w:tcW w:w="297" w:type="pct"/>
            <w:vAlign w:val="center"/>
          </w:tcPr>
          <w:p w14:paraId="5770BFCB"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color w:val="000000"/>
                <w:szCs w:val="24"/>
                <w:lang w:eastAsia="en-GB"/>
              </w:rPr>
              <w:t>-6.9</w:t>
            </w:r>
          </w:p>
        </w:tc>
        <w:tc>
          <w:tcPr>
            <w:tcW w:w="503" w:type="pct"/>
            <w:vAlign w:val="center"/>
          </w:tcPr>
          <w:p w14:paraId="1B7ABCD1" w14:textId="77777777" w:rsidR="007F529E" w:rsidRPr="003A22CC" w:rsidRDefault="007F529E" w:rsidP="00422A25">
            <w:pPr>
              <w:keepNext/>
              <w:spacing w:line="360" w:lineRule="auto"/>
              <w:jc w:val="center"/>
              <w:rPr>
                <w:rFonts w:cs="Times New Roman"/>
                <w:szCs w:val="24"/>
              </w:rPr>
            </w:pPr>
            <w:r>
              <w:rPr>
                <w:rFonts w:cs="Times New Roman"/>
                <w:szCs w:val="24"/>
              </w:rPr>
              <w:t>18.5-18.6</w:t>
            </w:r>
          </w:p>
        </w:tc>
        <w:tc>
          <w:tcPr>
            <w:tcW w:w="519" w:type="pct"/>
            <w:vAlign w:val="center"/>
          </w:tcPr>
          <w:p w14:paraId="4EAA713F" w14:textId="77777777" w:rsidR="007F529E" w:rsidRPr="003A22CC" w:rsidRDefault="007F529E" w:rsidP="00422A25">
            <w:pPr>
              <w:keepNext/>
              <w:spacing w:line="360" w:lineRule="auto"/>
              <w:jc w:val="center"/>
              <w:rPr>
                <w:rFonts w:cs="Times New Roman"/>
                <w:szCs w:val="24"/>
              </w:rPr>
            </w:pPr>
            <w:r>
              <w:rPr>
                <w:rFonts w:cs="Times New Roman"/>
                <w:szCs w:val="24"/>
              </w:rPr>
              <w:t>18.8-18.9</w:t>
            </w:r>
          </w:p>
        </w:tc>
        <w:tc>
          <w:tcPr>
            <w:tcW w:w="261" w:type="pct"/>
            <w:vAlign w:val="center"/>
          </w:tcPr>
          <w:p w14:paraId="7BC7571F" w14:textId="77777777" w:rsidR="007F529E" w:rsidRPr="003A22CC" w:rsidRDefault="007F529E" w:rsidP="00422A25">
            <w:pPr>
              <w:keepNext/>
              <w:spacing w:line="360" w:lineRule="auto"/>
              <w:jc w:val="center"/>
              <w:rPr>
                <w:rFonts w:cs="Times New Roman"/>
                <w:szCs w:val="24"/>
              </w:rPr>
            </w:pPr>
            <w:proofErr w:type="spellStart"/>
            <w:r w:rsidRPr="003A22CC">
              <w:rPr>
                <w:rFonts w:eastAsia="Times New Roman" w:cs="Times New Roman"/>
                <w:color w:val="000000"/>
                <w:szCs w:val="24"/>
                <w:lang w:eastAsia="en-GB"/>
              </w:rPr>
              <w:t>nd</w:t>
            </w:r>
            <w:proofErr w:type="spellEnd"/>
          </w:p>
        </w:tc>
        <w:tc>
          <w:tcPr>
            <w:tcW w:w="261" w:type="pct"/>
            <w:vAlign w:val="center"/>
          </w:tcPr>
          <w:p w14:paraId="29664D47" w14:textId="77777777" w:rsidR="007F529E" w:rsidRPr="003A22CC" w:rsidRDefault="007F529E" w:rsidP="00422A25">
            <w:pPr>
              <w:keepNext/>
              <w:spacing w:line="360" w:lineRule="auto"/>
              <w:jc w:val="center"/>
              <w:rPr>
                <w:rFonts w:cs="Times New Roman"/>
                <w:szCs w:val="24"/>
              </w:rPr>
            </w:pPr>
            <w:proofErr w:type="spellStart"/>
            <w:r w:rsidRPr="003A22CC">
              <w:rPr>
                <w:rFonts w:eastAsia="Times New Roman" w:cs="Times New Roman"/>
                <w:color w:val="000000"/>
                <w:szCs w:val="24"/>
                <w:lang w:eastAsia="en-GB"/>
              </w:rPr>
              <w:t>nd</w:t>
            </w:r>
            <w:proofErr w:type="spellEnd"/>
          </w:p>
        </w:tc>
        <w:tc>
          <w:tcPr>
            <w:tcW w:w="374" w:type="pct"/>
            <w:vAlign w:val="center"/>
          </w:tcPr>
          <w:p w14:paraId="54AF70F0"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b/>
                <w:color w:val="000000"/>
                <w:szCs w:val="24"/>
                <w:lang w:eastAsia="en-GB"/>
              </w:rPr>
              <w:t>14.0</w:t>
            </w:r>
          </w:p>
        </w:tc>
        <w:tc>
          <w:tcPr>
            <w:tcW w:w="267" w:type="pct"/>
            <w:vAlign w:val="center"/>
          </w:tcPr>
          <w:p w14:paraId="698C805A"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b/>
                <w:color w:val="000000"/>
                <w:szCs w:val="24"/>
                <w:lang w:eastAsia="en-GB"/>
              </w:rPr>
              <w:t>14.1</w:t>
            </w:r>
          </w:p>
        </w:tc>
        <w:tc>
          <w:tcPr>
            <w:tcW w:w="360" w:type="pct"/>
            <w:vAlign w:val="center"/>
          </w:tcPr>
          <w:p w14:paraId="4E24DC61" w14:textId="77777777" w:rsidR="007F529E" w:rsidRPr="003A22CC" w:rsidRDefault="007F529E" w:rsidP="00422A25">
            <w:pPr>
              <w:spacing w:line="360" w:lineRule="auto"/>
              <w:jc w:val="center"/>
              <w:rPr>
                <w:rFonts w:cs="Times New Roman"/>
                <w:szCs w:val="24"/>
              </w:rPr>
            </w:pPr>
            <w:proofErr w:type="spellStart"/>
            <w:r w:rsidRPr="003A22CC">
              <w:rPr>
                <w:rFonts w:eastAsia="Times New Roman" w:cs="Times New Roman"/>
                <w:color w:val="000000"/>
                <w:szCs w:val="24"/>
                <w:lang w:eastAsia="en-GB"/>
              </w:rPr>
              <w:t>nd</w:t>
            </w:r>
            <w:proofErr w:type="spellEnd"/>
          </w:p>
        </w:tc>
        <w:tc>
          <w:tcPr>
            <w:tcW w:w="346" w:type="pct"/>
            <w:vAlign w:val="center"/>
          </w:tcPr>
          <w:p w14:paraId="77274D5A" w14:textId="77777777" w:rsidR="007F529E" w:rsidRPr="003A22CC" w:rsidRDefault="007F529E" w:rsidP="00422A25">
            <w:pPr>
              <w:spacing w:line="360" w:lineRule="auto"/>
              <w:jc w:val="center"/>
              <w:rPr>
                <w:rFonts w:cs="Times New Roman"/>
                <w:szCs w:val="24"/>
              </w:rPr>
            </w:pPr>
            <w:proofErr w:type="spellStart"/>
            <w:r w:rsidRPr="003A22CC">
              <w:rPr>
                <w:rFonts w:eastAsia="Times New Roman" w:cs="Times New Roman"/>
                <w:color w:val="000000"/>
                <w:szCs w:val="24"/>
                <w:lang w:eastAsia="en-GB"/>
              </w:rPr>
              <w:t>nd</w:t>
            </w:r>
            <w:proofErr w:type="spellEnd"/>
          </w:p>
        </w:tc>
        <w:tc>
          <w:tcPr>
            <w:tcW w:w="297" w:type="pct"/>
            <w:vAlign w:val="center"/>
          </w:tcPr>
          <w:p w14:paraId="39CF66EA" w14:textId="77777777" w:rsidR="007F529E" w:rsidRPr="003A22CC" w:rsidRDefault="007F529E" w:rsidP="00422A25">
            <w:pPr>
              <w:spacing w:line="360" w:lineRule="auto"/>
              <w:jc w:val="center"/>
              <w:rPr>
                <w:rFonts w:cs="Times New Roman"/>
                <w:szCs w:val="24"/>
              </w:rPr>
            </w:pPr>
            <w:proofErr w:type="spellStart"/>
            <w:r w:rsidRPr="003A22CC">
              <w:rPr>
                <w:rFonts w:eastAsia="Times New Roman" w:cs="Times New Roman"/>
                <w:color w:val="000000"/>
                <w:szCs w:val="24"/>
                <w:lang w:eastAsia="en-GB"/>
              </w:rPr>
              <w:t>nd</w:t>
            </w:r>
            <w:proofErr w:type="spellEnd"/>
          </w:p>
        </w:tc>
        <w:tc>
          <w:tcPr>
            <w:tcW w:w="289" w:type="pct"/>
            <w:vAlign w:val="center"/>
          </w:tcPr>
          <w:p w14:paraId="64ABE42A" w14:textId="77777777" w:rsidR="007F529E" w:rsidRPr="003A22CC" w:rsidRDefault="007F529E" w:rsidP="00422A25">
            <w:pPr>
              <w:spacing w:line="360" w:lineRule="auto"/>
              <w:jc w:val="center"/>
              <w:rPr>
                <w:rFonts w:cs="Times New Roman"/>
                <w:szCs w:val="24"/>
              </w:rPr>
            </w:pPr>
            <w:proofErr w:type="spellStart"/>
            <w:r w:rsidRPr="003A22CC">
              <w:rPr>
                <w:rFonts w:eastAsia="Times New Roman" w:cs="Times New Roman"/>
                <w:color w:val="000000"/>
                <w:szCs w:val="24"/>
                <w:lang w:eastAsia="en-GB"/>
              </w:rPr>
              <w:t>nd</w:t>
            </w:r>
            <w:proofErr w:type="spellEnd"/>
          </w:p>
        </w:tc>
      </w:tr>
      <w:tr w:rsidR="007F529E" w:rsidRPr="00860424" w14:paraId="1B355840" w14:textId="77777777" w:rsidTr="00422A25">
        <w:trPr>
          <w:jc w:val="center"/>
        </w:trPr>
        <w:tc>
          <w:tcPr>
            <w:tcW w:w="456" w:type="pct"/>
            <w:vMerge/>
          </w:tcPr>
          <w:p w14:paraId="5A8FFA6E" w14:textId="77777777" w:rsidR="007F529E" w:rsidRPr="00860424" w:rsidRDefault="007F529E" w:rsidP="00422A25">
            <w:pPr>
              <w:spacing w:line="360" w:lineRule="auto"/>
              <w:rPr>
                <w:rFonts w:cs="Times New Roman"/>
              </w:rPr>
            </w:pPr>
          </w:p>
        </w:tc>
        <w:tc>
          <w:tcPr>
            <w:tcW w:w="485" w:type="pct"/>
            <w:vAlign w:val="center"/>
          </w:tcPr>
          <w:p w14:paraId="608727E0" w14:textId="77777777" w:rsidR="007F529E" w:rsidRPr="00860424" w:rsidRDefault="007F529E" w:rsidP="00422A25">
            <w:pPr>
              <w:spacing w:line="360" w:lineRule="auto"/>
              <w:jc w:val="center"/>
              <w:rPr>
                <w:rFonts w:cs="Times New Roman"/>
              </w:rPr>
            </w:pPr>
            <w:r w:rsidRPr="00860424">
              <w:rPr>
                <w:rFonts w:cs="Times New Roman"/>
              </w:rPr>
              <w:t>20-30</w:t>
            </w:r>
          </w:p>
        </w:tc>
        <w:tc>
          <w:tcPr>
            <w:tcW w:w="285" w:type="pct"/>
            <w:vAlign w:val="center"/>
          </w:tcPr>
          <w:p w14:paraId="3C119504"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color w:val="000000"/>
                <w:szCs w:val="24"/>
                <w:lang w:eastAsia="en-GB"/>
              </w:rPr>
              <w:t>-7.2</w:t>
            </w:r>
          </w:p>
        </w:tc>
        <w:tc>
          <w:tcPr>
            <w:tcW w:w="297" w:type="pct"/>
            <w:vAlign w:val="center"/>
          </w:tcPr>
          <w:p w14:paraId="098E8FBA"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color w:val="000000"/>
                <w:szCs w:val="24"/>
                <w:lang w:eastAsia="en-GB"/>
              </w:rPr>
              <w:t>-6.9</w:t>
            </w:r>
          </w:p>
        </w:tc>
        <w:tc>
          <w:tcPr>
            <w:tcW w:w="503" w:type="pct"/>
            <w:vAlign w:val="center"/>
          </w:tcPr>
          <w:p w14:paraId="3D2C7ACF" w14:textId="77777777" w:rsidR="007F529E" w:rsidRPr="003A22CC" w:rsidRDefault="007F529E" w:rsidP="00422A25">
            <w:pPr>
              <w:keepNext/>
              <w:spacing w:line="360" w:lineRule="auto"/>
              <w:jc w:val="center"/>
              <w:rPr>
                <w:rFonts w:cs="Times New Roman"/>
                <w:szCs w:val="24"/>
              </w:rPr>
            </w:pPr>
            <w:r>
              <w:rPr>
                <w:rFonts w:cs="Times New Roman"/>
                <w:szCs w:val="24"/>
              </w:rPr>
              <w:t>18.4-18.5</w:t>
            </w:r>
          </w:p>
        </w:tc>
        <w:tc>
          <w:tcPr>
            <w:tcW w:w="519" w:type="pct"/>
            <w:vAlign w:val="center"/>
          </w:tcPr>
          <w:p w14:paraId="6E701F6D" w14:textId="77777777" w:rsidR="007F529E" w:rsidRPr="003A22CC" w:rsidRDefault="007F529E" w:rsidP="00422A25">
            <w:pPr>
              <w:keepNext/>
              <w:spacing w:line="360" w:lineRule="auto"/>
              <w:jc w:val="center"/>
              <w:rPr>
                <w:rFonts w:cs="Times New Roman"/>
                <w:szCs w:val="24"/>
              </w:rPr>
            </w:pPr>
            <w:r>
              <w:rPr>
                <w:rFonts w:cs="Times New Roman"/>
                <w:szCs w:val="24"/>
              </w:rPr>
              <w:t>18.7-18.8</w:t>
            </w:r>
          </w:p>
        </w:tc>
        <w:tc>
          <w:tcPr>
            <w:tcW w:w="261" w:type="pct"/>
            <w:vAlign w:val="center"/>
          </w:tcPr>
          <w:p w14:paraId="5E729CB2" w14:textId="77777777" w:rsidR="007F529E" w:rsidRPr="003A22CC" w:rsidRDefault="007F529E" w:rsidP="00422A25">
            <w:pPr>
              <w:keepNext/>
              <w:spacing w:line="360" w:lineRule="auto"/>
              <w:jc w:val="center"/>
              <w:rPr>
                <w:rFonts w:cs="Times New Roman"/>
                <w:szCs w:val="24"/>
              </w:rPr>
            </w:pPr>
            <w:proofErr w:type="spellStart"/>
            <w:r w:rsidRPr="003A22CC">
              <w:rPr>
                <w:rFonts w:eastAsia="Times New Roman" w:cs="Times New Roman"/>
                <w:color w:val="000000"/>
                <w:szCs w:val="24"/>
                <w:lang w:eastAsia="en-GB"/>
              </w:rPr>
              <w:t>nd</w:t>
            </w:r>
            <w:proofErr w:type="spellEnd"/>
          </w:p>
        </w:tc>
        <w:tc>
          <w:tcPr>
            <w:tcW w:w="261" w:type="pct"/>
            <w:vAlign w:val="center"/>
          </w:tcPr>
          <w:p w14:paraId="6DF23B7E" w14:textId="77777777" w:rsidR="007F529E" w:rsidRPr="003A22CC" w:rsidRDefault="007F529E" w:rsidP="00422A25">
            <w:pPr>
              <w:keepNext/>
              <w:spacing w:line="360" w:lineRule="auto"/>
              <w:jc w:val="center"/>
              <w:rPr>
                <w:rFonts w:cs="Times New Roman"/>
                <w:szCs w:val="24"/>
              </w:rPr>
            </w:pPr>
            <w:proofErr w:type="spellStart"/>
            <w:r w:rsidRPr="003A22CC">
              <w:rPr>
                <w:rFonts w:eastAsia="Times New Roman" w:cs="Times New Roman"/>
                <w:color w:val="000000"/>
                <w:szCs w:val="24"/>
                <w:lang w:eastAsia="en-GB"/>
              </w:rPr>
              <w:t>nd</w:t>
            </w:r>
            <w:proofErr w:type="spellEnd"/>
          </w:p>
        </w:tc>
        <w:tc>
          <w:tcPr>
            <w:tcW w:w="374" w:type="pct"/>
            <w:vAlign w:val="center"/>
          </w:tcPr>
          <w:p w14:paraId="00E14105" w14:textId="77777777" w:rsidR="007F529E" w:rsidRPr="003A22CC" w:rsidRDefault="007F529E" w:rsidP="00422A25">
            <w:pPr>
              <w:keepNext/>
              <w:spacing w:line="360" w:lineRule="auto"/>
              <w:jc w:val="center"/>
              <w:rPr>
                <w:rFonts w:cs="Times New Roman"/>
                <w:szCs w:val="24"/>
              </w:rPr>
            </w:pPr>
            <w:proofErr w:type="spellStart"/>
            <w:r w:rsidRPr="003A22CC">
              <w:rPr>
                <w:rFonts w:eastAsia="Times New Roman" w:cs="Times New Roman"/>
                <w:color w:val="000000"/>
                <w:szCs w:val="24"/>
                <w:lang w:eastAsia="en-GB"/>
              </w:rPr>
              <w:t>nd</w:t>
            </w:r>
            <w:proofErr w:type="spellEnd"/>
          </w:p>
        </w:tc>
        <w:tc>
          <w:tcPr>
            <w:tcW w:w="267" w:type="pct"/>
            <w:vAlign w:val="center"/>
          </w:tcPr>
          <w:p w14:paraId="5C881430" w14:textId="77777777" w:rsidR="007F529E" w:rsidRPr="003A22CC" w:rsidRDefault="007F529E" w:rsidP="00422A25">
            <w:pPr>
              <w:keepNext/>
              <w:spacing w:line="360" w:lineRule="auto"/>
              <w:jc w:val="center"/>
              <w:rPr>
                <w:rFonts w:cs="Times New Roman"/>
                <w:szCs w:val="24"/>
              </w:rPr>
            </w:pPr>
            <w:r w:rsidRPr="003A22CC">
              <w:rPr>
                <w:rFonts w:eastAsia="Times New Roman" w:cs="Times New Roman"/>
                <w:b/>
                <w:color w:val="000000"/>
                <w:szCs w:val="24"/>
                <w:lang w:eastAsia="en-GB"/>
              </w:rPr>
              <w:t>15.4</w:t>
            </w:r>
          </w:p>
        </w:tc>
        <w:tc>
          <w:tcPr>
            <w:tcW w:w="360" w:type="pct"/>
            <w:vAlign w:val="center"/>
          </w:tcPr>
          <w:p w14:paraId="6B7B5831" w14:textId="77777777" w:rsidR="007F529E" w:rsidRPr="003A22CC" w:rsidRDefault="007F529E" w:rsidP="00422A25">
            <w:pPr>
              <w:spacing w:line="360" w:lineRule="auto"/>
              <w:jc w:val="center"/>
              <w:rPr>
                <w:rFonts w:cs="Times New Roman"/>
                <w:szCs w:val="24"/>
              </w:rPr>
            </w:pPr>
            <w:proofErr w:type="spellStart"/>
            <w:r w:rsidRPr="003A22CC">
              <w:rPr>
                <w:rFonts w:eastAsia="Times New Roman" w:cs="Times New Roman"/>
                <w:color w:val="000000"/>
                <w:szCs w:val="24"/>
                <w:lang w:eastAsia="en-GB"/>
              </w:rPr>
              <w:t>nd</w:t>
            </w:r>
            <w:proofErr w:type="spellEnd"/>
          </w:p>
        </w:tc>
        <w:tc>
          <w:tcPr>
            <w:tcW w:w="346" w:type="pct"/>
            <w:vAlign w:val="center"/>
          </w:tcPr>
          <w:p w14:paraId="75F34489" w14:textId="77777777" w:rsidR="007F529E" w:rsidRPr="003A22CC" w:rsidRDefault="007F529E" w:rsidP="00422A25">
            <w:pPr>
              <w:spacing w:line="360" w:lineRule="auto"/>
              <w:jc w:val="center"/>
              <w:rPr>
                <w:rFonts w:cs="Times New Roman"/>
                <w:szCs w:val="24"/>
              </w:rPr>
            </w:pPr>
            <w:proofErr w:type="spellStart"/>
            <w:r w:rsidRPr="003A22CC">
              <w:rPr>
                <w:rFonts w:eastAsia="Times New Roman" w:cs="Times New Roman"/>
                <w:color w:val="000000"/>
                <w:szCs w:val="24"/>
                <w:lang w:eastAsia="en-GB"/>
              </w:rPr>
              <w:t>nd</w:t>
            </w:r>
            <w:proofErr w:type="spellEnd"/>
          </w:p>
        </w:tc>
        <w:tc>
          <w:tcPr>
            <w:tcW w:w="297" w:type="pct"/>
            <w:vAlign w:val="center"/>
          </w:tcPr>
          <w:p w14:paraId="10993BFA" w14:textId="77777777" w:rsidR="007F529E" w:rsidRPr="003A22CC" w:rsidRDefault="007F529E" w:rsidP="00422A25">
            <w:pPr>
              <w:spacing w:line="360" w:lineRule="auto"/>
              <w:jc w:val="center"/>
              <w:rPr>
                <w:rFonts w:cs="Times New Roman"/>
                <w:szCs w:val="24"/>
              </w:rPr>
            </w:pPr>
            <w:proofErr w:type="spellStart"/>
            <w:r w:rsidRPr="003A22CC">
              <w:rPr>
                <w:rFonts w:eastAsia="Times New Roman" w:cs="Times New Roman"/>
                <w:color w:val="000000"/>
                <w:szCs w:val="24"/>
                <w:lang w:eastAsia="en-GB"/>
              </w:rPr>
              <w:t>nd</w:t>
            </w:r>
            <w:proofErr w:type="spellEnd"/>
          </w:p>
        </w:tc>
        <w:tc>
          <w:tcPr>
            <w:tcW w:w="289" w:type="pct"/>
            <w:vAlign w:val="center"/>
          </w:tcPr>
          <w:p w14:paraId="619E9134" w14:textId="77777777" w:rsidR="007F529E" w:rsidRPr="003A22CC" w:rsidRDefault="007F529E" w:rsidP="00422A25">
            <w:pPr>
              <w:spacing w:line="360" w:lineRule="auto"/>
              <w:jc w:val="center"/>
              <w:rPr>
                <w:rFonts w:cs="Times New Roman"/>
                <w:szCs w:val="24"/>
              </w:rPr>
            </w:pPr>
            <w:proofErr w:type="spellStart"/>
            <w:r w:rsidRPr="003A22CC">
              <w:rPr>
                <w:rFonts w:eastAsia="Times New Roman" w:cs="Times New Roman"/>
                <w:color w:val="000000"/>
                <w:szCs w:val="24"/>
                <w:lang w:eastAsia="en-GB"/>
              </w:rPr>
              <w:t>nd</w:t>
            </w:r>
            <w:proofErr w:type="spellEnd"/>
          </w:p>
        </w:tc>
      </w:tr>
    </w:tbl>
    <w:p w14:paraId="6887595A" w14:textId="77777777" w:rsidR="007F529E" w:rsidRPr="002E2406" w:rsidRDefault="007F529E" w:rsidP="007F529E">
      <w:pPr>
        <w:spacing w:line="360" w:lineRule="auto"/>
        <w:rPr>
          <w:rStyle w:val="Emphasis"/>
          <w:rFonts w:cs="Times New Roman"/>
          <w:i w:val="0"/>
        </w:rPr>
        <w:sectPr w:rsidR="007F529E" w:rsidRPr="002E2406" w:rsidSect="002E2406">
          <w:pgSz w:w="16838" w:h="11906" w:orient="landscape"/>
          <w:pgMar w:top="1440" w:right="1440" w:bottom="1440" w:left="1440" w:header="708" w:footer="708" w:gutter="0"/>
          <w:lnNumType w:countBy="1" w:restart="continuous"/>
          <w:cols w:space="708"/>
          <w:docGrid w:linePitch="360"/>
        </w:sectPr>
      </w:pPr>
      <w:proofErr w:type="spellStart"/>
      <w:r w:rsidRPr="002E2406">
        <w:rPr>
          <w:rStyle w:val="Emphasis"/>
          <w:rFonts w:cs="Times New Roman"/>
          <w:i w:val="0"/>
          <w:vertAlign w:val="superscript"/>
        </w:rPr>
        <w:t>a</w:t>
      </w:r>
      <w:r w:rsidRPr="002E2406">
        <w:rPr>
          <w:rStyle w:val="Emphasis"/>
          <w:rFonts w:cs="Times New Roman"/>
          <w:i w:val="0"/>
        </w:rPr>
        <w:t>Equilibrium</w:t>
      </w:r>
      <w:proofErr w:type="spellEnd"/>
      <w:r w:rsidRPr="002E2406">
        <w:rPr>
          <w:rStyle w:val="Emphasis"/>
          <w:rFonts w:cs="Times New Roman"/>
          <w:i w:val="0"/>
        </w:rPr>
        <w:t xml:space="preserve"> range was calculated based on the minimum and maximum soil temperature during the 24-hour period before soil sampling for each depth: 3.3-4.7</w:t>
      </w:r>
      <w:r w:rsidRPr="002E2406">
        <w:rPr>
          <w:rFonts w:eastAsia="Times New Roman" w:cs="Times New Roman"/>
          <w:color w:val="000000"/>
          <w:sz w:val="22"/>
          <w:lang w:eastAsia="en-GB"/>
        </w:rPr>
        <w:t>˚</w:t>
      </w:r>
      <w:r w:rsidRPr="002E2406">
        <w:rPr>
          <w:rStyle w:val="Emphasis"/>
          <w:rFonts w:cs="Times New Roman"/>
          <w:i w:val="0"/>
        </w:rPr>
        <w:t>C (0-10 cm), 4.4-4.9</w:t>
      </w:r>
      <w:r w:rsidRPr="002E2406">
        <w:rPr>
          <w:rFonts w:eastAsia="Times New Roman" w:cs="Times New Roman"/>
          <w:color w:val="000000"/>
          <w:sz w:val="22"/>
          <w:lang w:eastAsia="en-GB"/>
        </w:rPr>
        <w:t>˚</w:t>
      </w:r>
      <w:r w:rsidRPr="002E2406">
        <w:rPr>
          <w:rStyle w:val="Emphasis"/>
          <w:rFonts w:cs="Times New Roman"/>
          <w:i w:val="0"/>
        </w:rPr>
        <w:t>C (10-20 cm), and 4.8-5.1</w:t>
      </w:r>
      <w:r w:rsidRPr="002E2406">
        <w:rPr>
          <w:rFonts w:eastAsia="Times New Roman" w:cs="Times New Roman"/>
          <w:color w:val="000000"/>
          <w:sz w:val="22"/>
          <w:lang w:eastAsia="en-GB"/>
        </w:rPr>
        <w:t>˚</w:t>
      </w:r>
      <w:r w:rsidRPr="002E2406">
        <w:rPr>
          <w:rStyle w:val="Emphasis"/>
          <w:rFonts w:cs="Times New Roman"/>
          <w:i w:val="0"/>
        </w:rPr>
        <w:t>C (20-30cm).</w:t>
      </w:r>
    </w:p>
    <w:p w14:paraId="48F0D27F" w14:textId="1B634CE0" w:rsidR="007F529E" w:rsidRPr="007F529E" w:rsidRDefault="006807C1" w:rsidP="006807C1">
      <w:pPr>
        <w:widowControl w:val="0"/>
        <w:autoSpaceDE w:val="0"/>
        <w:autoSpaceDN w:val="0"/>
        <w:adjustRightInd w:val="0"/>
        <w:spacing w:line="360" w:lineRule="auto"/>
      </w:pPr>
      <w:r>
        <w:lastRenderedPageBreak/>
        <w:t>Ta</w:t>
      </w:r>
      <w:r w:rsidR="007F529E">
        <w:t>ble 4</w:t>
      </w:r>
    </w:p>
    <w:tbl>
      <w:tblPr>
        <w:tblStyle w:val="TableGrid"/>
        <w:tblW w:w="0" w:type="auto"/>
        <w:tblLook w:val="04A0" w:firstRow="1" w:lastRow="0" w:firstColumn="1" w:lastColumn="0" w:noHBand="0" w:noVBand="1"/>
      </w:tblPr>
      <w:tblGrid>
        <w:gridCol w:w="1132"/>
        <w:gridCol w:w="586"/>
        <w:gridCol w:w="1376"/>
        <w:gridCol w:w="1279"/>
        <w:gridCol w:w="1279"/>
        <w:gridCol w:w="1615"/>
        <w:gridCol w:w="1370"/>
      </w:tblGrid>
      <w:tr w:rsidR="007F529E" w:rsidRPr="00860424" w14:paraId="4454F98A" w14:textId="77777777" w:rsidTr="00422A25">
        <w:tc>
          <w:tcPr>
            <w:tcW w:w="1718" w:type="dxa"/>
            <w:gridSpan w:val="2"/>
          </w:tcPr>
          <w:p w14:paraId="2E6F3FDD" w14:textId="77777777" w:rsidR="007F529E" w:rsidRPr="00860424" w:rsidRDefault="007F529E" w:rsidP="00422A25">
            <w:pPr>
              <w:spacing w:line="360" w:lineRule="auto"/>
            </w:pPr>
            <w:r w:rsidRPr="00860424">
              <w:t>Treatment</w:t>
            </w:r>
          </w:p>
        </w:tc>
        <w:tc>
          <w:tcPr>
            <w:tcW w:w="1376" w:type="dxa"/>
          </w:tcPr>
          <w:p w14:paraId="7CF1D534" w14:textId="77777777" w:rsidR="007F529E" w:rsidRPr="00860424" w:rsidRDefault="007F529E" w:rsidP="00422A25">
            <w:pPr>
              <w:spacing w:line="360" w:lineRule="auto"/>
            </w:pPr>
            <w:r w:rsidRPr="00860424">
              <w:t>Equilibrium</w:t>
            </w:r>
          </w:p>
          <w:p w14:paraId="648D1683" w14:textId="77777777" w:rsidR="007F529E" w:rsidRPr="00860424" w:rsidRDefault="007F529E" w:rsidP="00422A25">
            <w:pPr>
              <w:spacing w:line="360" w:lineRule="auto"/>
            </w:pPr>
            <w:r w:rsidRPr="00860424">
              <w:t>Range</w:t>
            </w:r>
          </w:p>
        </w:tc>
        <w:tc>
          <w:tcPr>
            <w:tcW w:w="1279" w:type="dxa"/>
          </w:tcPr>
          <w:p w14:paraId="13A58BB7" w14:textId="77777777" w:rsidR="007F529E" w:rsidRPr="00860424" w:rsidRDefault="007F529E" w:rsidP="00422A25">
            <w:pPr>
              <w:spacing w:line="360" w:lineRule="auto"/>
            </w:pPr>
            <w:r w:rsidRPr="00860424">
              <w:t>TCA P δ</w:t>
            </w:r>
            <w:r w:rsidRPr="00860424">
              <w:rPr>
                <w:vertAlign w:val="superscript"/>
              </w:rPr>
              <w:t>18</w:t>
            </w:r>
            <w:r w:rsidRPr="00860424">
              <w:t>O</w:t>
            </w:r>
            <w:r w:rsidRPr="00860424">
              <w:rPr>
                <w:vertAlign w:val="subscript"/>
              </w:rPr>
              <w:t>P</w:t>
            </w:r>
            <w:r w:rsidRPr="00860424">
              <w:t xml:space="preserve"> </w:t>
            </w:r>
          </w:p>
        </w:tc>
        <w:tc>
          <w:tcPr>
            <w:tcW w:w="1279" w:type="dxa"/>
          </w:tcPr>
          <w:p w14:paraId="50EDA314" w14:textId="77777777" w:rsidR="007F529E" w:rsidRPr="00860424" w:rsidRDefault="007F529E" w:rsidP="00422A25">
            <w:pPr>
              <w:spacing w:line="360" w:lineRule="auto"/>
            </w:pPr>
            <w:r w:rsidRPr="00860424">
              <w:t>Resin P δ</w:t>
            </w:r>
            <w:r w:rsidRPr="00860424">
              <w:rPr>
                <w:vertAlign w:val="superscript"/>
              </w:rPr>
              <w:t>18</w:t>
            </w:r>
            <w:r w:rsidRPr="00860424">
              <w:t>O</w:t>
            </w:r>
            <w:r w:rsidRPr="00860424">
              <w:rPr>
                <w:vertAlign w:val="subscript"/>
              </w:rPr>
              <w:t>P</w:t>
            </w:r>
            <w:r w:rsidRPr="00860424">
              <w:t xml:space="preserve"> </w:t>
            </w:r>
          </w:p>
        </w:tc>
        <w:tc>
          <w:tcPr>
            <w:tcW w:w="1615" w:type="dxa"/>
          </w:tcPr>
          <w:p w14:paraId="47960790" w14:textId="77777777" w:rsidR="007F529E" w:rsidRPr="00860424" w:rsidRDefault="007F529E" w:rsidP="00422A25">
            <w:pPr>
              <w:spacing w:line="360" w:lineRule="auto"/>
            </w:pPr>
            <w:r w:rsidRPr="00860424">
              <w:t>Hexanol P δ</w:t>
            </w:r>
            <w:r w:rsidRPr="00860424">
              <w:rPr>
                <w:vertAlign w:val="superscript"/>
              </w:rPr>
              <w:t>18</w:t>
            </w:r>
            <w:r w:rsidRPr="00860424">
              <w:t>O</w:t>
            </w:r>
            <w:r w:rsidRPr="00860424">
              <w:rPr>
                <w:vertAlign w:val="subscript"/>
              </w:rPr>
              <w:t>P</w:t>
            </w:r>
            <w:r w:rsidRPr="00860424">
              <w:t xml:space="preserve"> </w:t>
            </w:r>
          </w:p>
        </w:tc>
        <w:tc>
          <w:tcPr>
            <w:tcW w:w="1370" w:type="dxa"/>
          </w:tcPr>
          <w:p w14:paraId="61ACFC39" w14:textId="77777777" w:rsidR="007F529E" w:rsidRPr="00860424" w:rsidRDefault="007F529E" w:rsidP="00422A25">
            <w:pPr>
              <w:spacing w:line="360" w:lineRule="auto"/>
            </w:pPr>
            <w:r w:rsidRPr="00860424">
              <w:t>HCl P δ</w:t>
            </w:r>
            <w:r w:rsidRPr="00860424">
              <w:rPr>
                <w:vertAlign w:val="superscript"/>
              </w:rPr>
              <w:t>18</w:t>
            </w:r>
            <w:r w:rsidRPr="00860424">
              <w:t>O</w:t>
            </w:r>
            <w:r w:rsidRPr="00860424">
              <w:rPr>
                <w:vertAlign w:val="subscript"/>
              </w:rPr>
              <w:t>P</w:t>
            </w:r>
            <w:r w:rsidRPr="00860424">
              <w:t xml:space="preserve"> </w:t>
            </w:r>
          </w:p>
        </w:tc>
      </w:tr>
      <w:tr w:rsidR="007F529E" w:rsidRPr="00860424" w14:paraId="12A6C416" w14:textId="77777777" w:rsidTr="00422A25">
        <w:tc>
          <w:tcPr>
            <w:tcW w:w="1132" w:type="dxa"/>
            <w:vMerge w:val="restart"/>
          </w:tcPr>
          <w:p w14:paraId="0AF5ED04" w14:textId="77777777" w:rsidR="007F529E" w:rsidRPr="00860424" w:rsidRDefault="007F529E" w:rsidP="00422A25">
            <w:pPr>
              <w:spacing w:line="360" w:lineRule="auto"/>
            </w:pPr>
            <w:r w:rsidRPr="00860424">
              <w:t>-N+P</w:t>
            </w:r>
          </w:p>
        </w:tc>
        <w:tc>
          <w:tcPr>
            <w:tcW w:w="586" w:type="dxa"/>
          </w:tcPr>
          <w:p w14:paraId="179269AE" w14:textId="77777777" w:rsidR="007F529E" w:rsidRPr="00860424" w:rsidRDefault="007F529E" w:rsidP="00422A25">
            <w:pPr>
              <w:spacing w:line="360" w:lineRule="auto"/>
            </w:pPr>
            <w:r w:rsidRPr="00860424">
              <w:t>+L</w:t>
            </w:r>
          </w:p>
        </w:tc>
        <w:tc>
          <w:tcPr>
            <w:tcW w:w="1376" w:type="dxa"/>
            <w:vMerge w:val="restart"/>
            <w:textDirection w:val="btLr"/>
            <w:vAlign w:val="center"/>
          </w:tcPr>
          <w:p w14:paraId="66ECE6AA" w14:textId="77777777" w:rsidR="007F529E" w:rsidRPr="00860424" w:rsidRDefault="007F529E" w:rsidP="00422A25">
            <w:pPr>
              <w:spacing w:line="360" w:lineRule="auto"/>
              <w:ind w:left="113" w:right="113"/>
              <w:rPr>
                <w:sz w:val="36"/>
              </w:rPr>
            </w:pPr>
            <w:r w:rsidRPr="00860424">
              <w:rPr>
                <w:sz w:val="36"/>
              </w:rPr>
              <w:t>18.3 to 20.7</w:t>
            </w:r>
          </w:p>
        </w:tc>
        <w:tc>
          <w:tcPr>
            <w:tcW w:w="1279" w:type="dxa"/>
          </w:tcPr>
          <w:p w14:paraId="2959F947" w14:textId="77777777" w:rsidR="007F529E" w:rsidRPr="00860424" w:rsidRDefault="007F529E" w:rsidP="00422A25">
            <w:pPr>
              <w:spacing w:line="360" w:lineRule="auto"/>
            </w:pPr>
            <w:r w:rsidRPr="00860424">
              <w:t>22.9</w:t>
            </w:r>
            <w:r w:rsidRPr="00860424">
              <w:rPr>
                <w:rFonts w:cs="Times New Roman"/>
              </w:rPr>
              <w:t>±0.9</w:t>
            </w:r>
          </w:p>
        </w:tc>
        <w:tc>
          <w:tcPr>
            <w:tcW w:w="1279" w:type="dxa"/>
          </w:tcPr>
          <w:p w14:paraId="7BBCD362" w14:textId="77777777" w:rsidR="007F529E" w:rsidRPr="00860424" w:rsidRDefault="007F529E" w:rsidP="00422A25">
            <w:pPr>
              <w:spacing w:line="360" w:lineRule="auto"/>
            </w:pPr>
            <w:r w:rsidRPr="00860424">
              <w:t xml:space="preserve">20.0 </w:t>
            </w:r>
            <w:r w:rsidRPr="00860424">
              <w:rPr>
                <w:rFonts w:cs="Times New Roman"/>
              </w:rPr>
              <w:t>±</w:t>
            </w:r>
            <w:r w:rsidRPr="00860424">
              <w:t>0.3</w:t>
            </w:r>
          </w:p>
        </w:tc>
        <w:tc>
          <w:tcPr>
            <w:tcW w:w="1615" w:type="dxa"/>
          </w:tcPr>
          <w:p w14:paraId="16065875" w14:textId="77777777" w:rsidR="007F529E" w:rsidRPr="00860424" w:rsidRDefault="007F529E" w:rsidP="00422A25">
            <w:pPr>
              <w:spacing w:line="360" w:lineRule="auto"/>
              <w:rPr>
                <w:i/>
              </w:rPr>
            </w:pPr>
            <w:r w:rsidRPr="00860424">
              <w:rPr>
                <w:i/>
              </w:rPr>
              <w:t>n</w:t>
            </w:r>
            <w:r>
              <w:rPr>
                <w:i/>
              </w:rPr>
              <w:t>r</w:t>
            </w:r>
          </w:p>
        </w:tc>
        <w:tc>
          <w:tcPr>
            <w:tcW w:w="1370" w:type="dxa"/>
          </w:tcPr>
          <w:p w14:paraId="0C7C2BBE" w14:textId="77777777" w:rsidR="007F529E" w:rsidRPr="00860424" w:rsidRDefault="007F529E" w:rsidP="00422A25">
            <w:pPr>
              <w:spacing w:line="360" w:lineRule="auto"/>
            </w:pPr>
            <w:r w:rsidRPr="00860424">
              <w:t xml:space="preserve">20.4 </w:t>
            </w:r>
            <w:r w:rsidRPr="00860424">
              <w:rPr>
                <w:rFonts w:cs="Times New Roman"/>
              </w:rPr>
              <w:t>±</w:t>
            </w:r>
            <w:r w:rsidRPr="00860424">
              <w:t>1.4</w:t>
            </w:r>
          </w:p>
        </w:tc>
      </w:tr>
      <w:tr w:rsidR="007F529E" w:rsidRPr="00860424" w14:paraId="383DA1AE" w14:textId="77777777" w:rsidTr="00422A25">
        <w:tc>
          <w:tcPr>
            <w:tcW w:w="1132" w:type="dxa"/>
            <w:vMerge/>
          </w:tcPr>
          <w:p w14:paraId="22BD2BFA" w14:textId="77777777" w:rsidR="007F529E" w:rsidRPr="00860424" w:rsidRDefault="007F529E" w:rsidP="00422A25">
            <w:pPr>
              <w:spacing w:line="360" w:lineRule="auto"/>
            </w:pPr>
          </w:p>
        </w:tc>
        <w:tc>
          <w:tcPr>
            <w:tcW w:w="586" w:type="dxa"/>
          </w:tcPr>
          <w:p w14:paraId="4E4CE133" w14:textId="77777777" w:rsidR="007F529E" w:rsidRPr="00860424" w:rsidRDefault="007F529E" w:rsidP="00422A25">
            <w:pPr>
              <w:spacing w:line="360" w:lineRule="auto"/>
            </w:pPr>
            <w:r w:rsidRPr="00860424">
              <w:t>-L</w:t>
            </w:r>
          </w:p>
        </w:tc>
        <w:tc>
          <w:tcPr>
            <w:tcW w:w="1376" w:type="dxa"/>
            <w:vMerge/>
          </w:tcPr>
          <w:p w14:paraId="76683106" w14:textId="77777777" w:rsidR="007F529E" w:rsidRPr="00860424" w:rsidRDefault="007F529E" w:rsidP="00422A25">
            <w:pPr>
              <w:spacing w:line="360" w:lineRule="auto"/>
            </w:pPr>
          </w:p>
        </w:tc>
        <w:tc>
          <w:tcPr>
            <w:tcW w:w="1279" w:type="dxa"/>
          </w:tcPr>
          <w:p w14:paraId="162DA8AC" w14:textId="77777777" w:rsidR="007F529E" w:rsidRPr="00860424" w:rsidRDefault="007F529E" w:rsidP="00422A25">
            <w:pPr>
              <w:spacing w:line="360" w:lineRule="auto"/>
            </w:pPr>
            <w:r w:rsidRPr="00860424">
              <w:t>22.3</w:t>
            </w:r>
            <w:r w:rsidRPr="00860424">
              <w:rPr>
                <w:rFonts w:cs="Times New Roman"/>
              </w:rPr>
              <w:t>±1.4</w:t>
            </w:r>
          </w:p>
        </w:tc>
        <w:tc>
          <w:tcPr>
            <w:tcW w:w="1279" w:type="dxa"/>
          </w:tcPr>
          <w:p w14:paraId="70AC7AC4" w14:textId="77777777" w:rsidR="007F529E" w:rsidRPr="00860424" w:rsidRDefault="007F529E" w:rsidP="00422A25">
            <w:pPr>
              <w:spacing w:line="360" w:lineRule="auto"/>
            </w:pPr>
            <w:r w:rsidRPr="00860424">
              <w:t xml:space="preserve">23.1 </w:t>
            </w:r>
            <w:r w:rsidRPr="00860424">
              <w:rPr>
                <w:rFonts w:cs="Times New Roman"/>
              </w:rPr>
              <w:t>±</w:t>
            </w:r>
            <w:r w:rsidRPr="00860424">
              <w:t>1.3</w:t>
            </w:r>
          </w:p>
        </w:tc>
        <w:tc>
          <w:tcPr>
            <w:tcW w:w="1615" w:type="dxa"/>
          </w:tcPr>
          <w:p w14:paraId="23EE9875" w14:textId="77777777" w:rsidR="007F529E" w:rsidRPr="00860424" w:rsidRDefault="007F529E" w:rsidP="00422A25">
            <w:pPr>
              <w:spacing w:line="360" w:lineRule="auto"/>
            </w:pPr>
            <w:r w:rsidRPr="00860424">
              <w:rPr>
                <w:i/>
              </w:rPr>
              <w:t>n</w:t>
            </w:r>
            <w:r>
              <w:rPr>
                <w:i/>
              </w:rPr>
              <w:t>r</w:t>
            </w:r>
          </w:p>
        </w:tc>
        <w:tc>
          <w:tcPr>
            <w:tcW w:w="1370" w:type="dxa"/>
          </w:tcPr>
          <w:p w14:paraId="135B7FAC" w14:textId="77777777" w:rsidR="007F529E" w:rsidRPr="00860424" w:rsidRDefault="007F529E" w:rsidP="00422A25">
            <w:pPr>
              <w:spacing w:line="360" w:lineRule="auto"/>
            </w:pPr>
            <w:r w:rsidRPr="00860424">
              <w:t xml:space="preserve">22.2 </w:t>
            </w:r>
            <w:r w:rsidRPr="00860424">
              <w:rPr>
                <w:rFonts w:cs="Times New Roman"/>
              </w:rPr>
              <w:t>±</w:t>
            </w:r>
            <w:r w:rsidRPr="00860424">
              <w:t>0.8</w:t>
            </w:r>
          </w:p>
        </w:tc>
      </w:tr>
      <w:tr w:rsidR="007F529E" w:rsidRPr="00860424" w14:paraId="239C9867" w14:textId="77777777" w:rsidTr="00422A25">
        <w:tc>
          <w:tcPr>
            <w:tcW w:w="1132" w:type="dxa"/>
            <w:vMerge w:val="restart"/>
          </w:tcPr>
          <w:p w14:paraId="2F7072E5" w14:textId="77777777" w:rsidR="007F529E" w:rsidRPr="00860424" w:rsidRDefault="007F529E" w:rsidP="00422A25">
            <w:pPr>
              <w:spacing w:line="360" w:lineRule="auto"/>
            </w:pPr>
            <w:r w:rsidRPr="00860424">
              <w:t>+N+P</w:t>
            </w:r>
          </w:p>
        </w:tc>
        <w:tc>
          <w:tcPr>
            <w:tcW w:w="586" w:type="dxa"/>
          </w:tcPr>
          <w:p w14:paraId="07F47723" w14:textId="77777777" w:rsidR="007F529E" w:rsidRPr="00860424" w:rsidRDefault="007F529E" w:rsidP="00422A25">
            <w:pPr>
              <w:spacing w:line="360" w:lineRule="auto"/>
            </w:pPr>
            <w:r w:rsidRPr="00860424">
              <w:t>+L</w:t>
            </w:r>
          </w:p>
        </w:tc>
        <w:tc>
          <w:tcPr>
            <w:tcW w:w="1376" w:type="dxa"/>
            <w:vMerge/>
          </w:tcPr>
          <w:p w14:paraId="488B392E" w14:textId="77777777" w:rsidR="007F529E" w:rsidRPr="00860424" w:rsidRDefault="007F529E" w:rsidP="00422A25">
            <w:pPr>
              <w:spacing w:line="360" w:lineRule="auto"/>
            </w:pPr>
          </w:p>
        </w:tc>
        <w:tc>
          <w:tcPr>
            <w:tcW w:w="1279" w:type="dxa"/>
          </w:tcPr>
          <w:p w14:paraId="201D6DC8" w14:textId="77777777" w:rsidR="007F529E" w:rsidRPr="00860424" w:rsidRDefault="007F529E" w:rsidP="00422A25">
            <w:pPr>
              <w:spacing w:line="360" w:lineRule="auto"/>
            </w:pPr>
            <w:r w:rsidRPr="00860424">
              <w:t>22.3</w:t>
            </w:r>
            <w:r w:rsidRPr="00860424">
              <w:rPr>
                <w:rFonts w:cs="Times New Roman"/>
              </w:rPr>
              <w:t>±0.4</w:t>
            </w:r>
          </w:p>
        </w:tc>
        <w:tc>
          <w:tcPr>
            <w:tcW w:w="1279" w:type="dxa"/>
          </w:tcPr>
          <w:p w14:paraId="240963DB" w14:textId="77777777" w:rsidR="007F529E" w:rsidRPr="00860424" w:rsidRDefault="007F529E" w:rsidP="00422A25">
            <w:pPr>
              <w:spacing w:line="360" w:lineRule="auto"/>
            </w:pPr>
            <w:r w:rsidRPr="00860424">
              <w:t xml:space="preserve">18.9 </w:t>
            </w:r>
            <w:r w:rsidRPr="00860424">
              <w:rPr>
                <w:rFonts w:cs="Times New Roman"/>
              </w:rPr>
              <w:t>±</w:t>
            </w:r>
            <w:r w:rsidRPr="00860424">
              <w:t>0.2</w:t>
            </w:r>
          </w:p>
        </w:tc>
        <w:tc>
          <w:tcPr>
            <w:tcW w:w="1615" w:type="dxa"/>
          </w:tcPr>
          <w:p w14:paraId="17488601" w14:textId="77777777" w:rsidR="007F529E" w:rsidRPr="00860424" w:rsidRDefault="007F529E" w:rsidP="00422A25">
            <w:pPr>
              <w:spacing w:line="360" w:lineRule="auto"/>
            </w:pPr>
            <w:r w:rsidRPr="00860424">
              <w:rPr>
                <w:i/>
              </w:rPr>
              <w:t>n</w:t>
            </w:r>
            <w:r>
              <w:rPr>
                <w:i/>
              </w:rPr>
              <w:t>r</w:t>
            </w:r>
          </w:p>
        </w:tc>
        <w:tc>
          <w:tcPr>
            <w:tcW w:w="1370" w:type="dxa"/>
          </w:tcPr>
          <w:p w14:paraId="544985BD" w14:textId="77777777" w:rsidR="007F529E" w:rsidRPr="00860424" w:rsidRDefault="007F529E" w:rsidP="00422A25">
            <w:pPr>
              <w:spacing w:line="360" w:lineRule="auto"/>
            </w:pPr>
            <w:r w:rsidRPr="00860424">
              <w:t xml:space="preserve">20.2 </w:t>
            </w:r>
            <w:r w:rsidRPr="00860424">
              <w:rPr>
                <w:rFonts w:cs="Times New Roman"/>
              </w:rPr>
              <w:t>±</w:t>
            </w:r>
            <w:r w:rsidRPr="00860424">
              <w:t>1.5</w:t>
            </w:r>
          </w:p>
        </w:tc>
      </w:tr>
      <w:tr w:rsidR="007F529E" w:rsidRPr="00860424" w14:paraId="291FF359" w14:textId="77777777" w:rsidTr="00422A25">
        <w:tc>
          <w:tcPr>
            <w:tcW w:w="1132" w:type="dxa"/>
            <w:vMerge/>
          </w:tcPr>
          <w:p w14:paraId="498F5ABE" w14:textId="77777777" w:rsidR="007F529E" w:rsidRPr="00860424" w:rsidRDefault="007F529E" w:rsidP="00422A25">
            <w:pPr>
              <w:spacing w:line="360" w:lineRule="auto"/>
            </w:pPr>
          </w:p>
        </w:tc>
        <w:tc>
          <w:tcPr>
            <w:tcW w:w="586" w:type="dxa"/>
          </w:tcPr>
          <w:p w14:paraId="1B991520" w14:textId="77777777" w:rsidR="007F529E" w:rsidRPr="00860424" w:rsidRDefault="007F529E" w:rsidP="00422A25">
            <w:pPr>
              <w:spacing w:line="360" w:lineRule="auto"/>
            </w:pPr>
            <w:r w:rsidRPr="00860424">
              <w:t>-L</w:t>
            </w:r>
          </w:p>
        </w:tc>
        <w:tc>
          <w:tcPr>
            <w:tcW w:w="1376" w:type="dxa"/>
            <w:vMerge/>
          </w:tcPr>
          <w:p w14:paraId="5ACC27E4" w14:textId="77777777" w:rsidR="007F529E" w:rsidRPr="00860424" w:rsidRDefault="007F529E" w:rsidP="00422A25">
            <w:pPr>
              <w:spacing w:line="360" w:lineRule="auto"/>
            </w:pPr>
          </w:p>
        </w:tc>
        <w:tc>
          <w:tcPr>
            <w:tcW w:w="1279" w:type="dxa"/>
          </w:tcPr>
          <w:p w14:paraId="652349AA" w14:textId="77777777" w:rsidR="007F529E" w:rsidRPr="00860424" w:rsidRDefault="007F529E" w:rsidP="00422A25">
            <w:pPr>
              <w:spacing w:line="360" w:lineRule="auto"/>
            </w:pPr>
            <w:r w:rsidRPr="00860424">
              <w:t>21.2</w:t>
            </w:r>
            <w:r w:rsidRPr="00860424">
              <w:rPr>
                <w:rFonts w:cs="Times New Roman"/>
              </w:rPr>
              <w:t>±1.7</w:t>
            </w:r>
          </w:p>
        </w:tc>
        <w:tc>
          <w:tcPr>
            <w:tcW w:w="1279" w:type="dxa"/>
          </w:tcPr>
          <w:p w14:paraId="15CDF7EB" w14:textId="77777777" w:rsidR="007F529E" w:rsidRPr="00860424" w:rsidRDefault="007F529E" w:rsidP="00422A25">
            <w:pPr>
              <w:spacing w:line="360" w:lineRule="auto"/>
            </w:pPr>
            <w:r w:rsidRPr="00860424">
              <w:t xml:space="preserve">21.6 </w:t>
            </w:r>
            <w:r w:rsidRPr="00860424">
              <w:rPr>
                <w:rFonts w:cs="Times New Roman"/>
              </w:rPr>
              <w:t>±</w:t>
            </w:r>
            <w:r w:rsidRPr="00860424">
              <w:t>0.4</w:t>
            </w:r>
          </w:p>
        </w:tc>
        <w:tc>
          <w:tcPr>
            <w:tcW w:w="1615" w:type="dxa"/>
          </w:tcPr>
          <w:p w14:paraId="19ACC133" w14:textId="77777777" w:rsidR="007F529E" w:rsidRPr="000958F2" w:rsidRDefault="007F529E" w:rsidP="00422A25">
            <w:pPr>
              <w:spacing w:line="360" w:lineRule="auto"/>
              <w:rPr>
                <w:i/>
                <w:iCs/>
              </w:rPr>
            </w:pPr>
            <w:r w:rsidRPr="000958F2">
              <w:rPr>
                <w:i/>
                <w:iCs/>
              </w:rPr>
              <w:t>nr</w:t>
            </w:r>
          </w:p>
        </w:tc>
        <w:tc>
          <w:tcPr>
            <w:tcW w:w="1370" w:type="dxa"/>
          </w:tcPr>
          <w:p w14:paraId="137C784E" w14:textId="77777777" w:rsidR="007F529E" w:rsidRPr="00860424" w:rsidRDefault="007F529E" w:rsidP="00422A25">
            <w:pPr>
              <w:spacing w:line="360" w:lineRule="auto"/>
            </w:pPr>
            <w:r w:rsidRPr="00860424">
              <w:t xml:space="preserve">23.2 </w:t>
            </w:r>
            <w:r w:rsidRPr="00860424">
              <w:rPr>
                <w:rFonts w:cs="Times New Roman"/>
              </w:rPr>
              <w:t>±</w:t>
            </w:r>
            <w:r w:rsidRPr="00860424">
              <w:t>0.9</w:t>
            </w:r>
          </w:p>
        </w:tc>
      </w:tr>
      <w:tr w:rsidR="007F529E" w:rsidRPr="00860424" w14:paraId="4BE11A65" w14:textId="77777777" w:rsidTr="00422A25">
        <w:tc>
          <w:tcPr>
            <w:tcW w:w="1132" w:type="dxa"/>
            <w:vMerge w:val="restart"/>
          </w:tcPr>
          <w:p w14:paraId="49C75AD9" w14:textId="77777777" w:rsidR="007F529E" w:rsidRPr="00860424" w:rsidRDefault="007F529E" w:rsidP="00422A25">
            <w:pPr>
              <w:spacing w:line="360" w:lineRule="auto"/>
            </w:pPr>
            <w:r w:rsidRPr="00860424">
              <w:t>-N-P</w:t>
            </w:r>
          </w:p>
        </w:tc>
        <w:tc>
          <w:tcPr>
            <w:tcW w:w="586" w:type="dxa"/>
          </w:tcPr>
          <w:p w14:paraId="7FF5158A" w14:textId="77777777" w:rsidR="007F529E" w:rsidRPr="00860424" w:rsidRDefault="007F529E" w:rsidP="00422A25">
            <w:pPr>
              <w:spacing w:line="360" w:lineRule="auto"/>
            </w:pPr>
            <w:r w:rsidRPr="00860424">
              <w:t>+L</w:t>
            </w:r>
          </w:p>
        </w:tc>
        <w:tc>
          <w:tcPr>
            <w:tcW w:w="1376" w:type="dxa"/>
            <w:vMerge/>
          </w:tcPr>
          <w:p w14:paraId="78483FBF" w14:textId="77777777" w:rsidR="007F529E" w:rsidRPr="00860424" w:rsidRDefault="007F529E" w:rsidP="00422A25">
            <w:pPr>
              <w:spacing w:line="360" w:lineRule="auto"/>
              <w:rPr>
                <w:i/>
              </w:rPr>
            </w:pPr>
          </w:p>
        </w:tc>
        <w:tc>
          <w:tcPr>
            <w:tcW w:w="1279" w:type="dxa"/>
          </w:tcPr>
          <w:p w14:paraId="06C282E4" w14:textId="77777777" w:rsidR="007F529E" w:rsidRPr="00860424" w:rsidRDefault="007F529E" w:rsidP="00422A25">
            <w:pPr>
              <w:spacing w:line="360" w:lineRule="auto"/>
            </w:pPr>
            <w:r w:rsidRPr="00860424">
              <w:t>16.3</w:t>
            </w:r>
            <w:r w:rsidRPr="00860424">
              <w:rPr>
                <w:rFonts w:cs="Times New Roman"/>
              </w:rPr>
              <w:t>±0.3</w:t>
            </w:r>
          </w:p>
        </w:tc>
        <w:tc>
          <w:tcPr>
            <w:tcW w:w="1279" w:type="dxa"/>
          </w:tcPr>
          <w:p w14:paraId="6F242C15" w14:textId="77777777" w:rsidR="007F529E" w:rsidRPr="00860424" w:rsidRDefault="007F529E" w:rsidP="00422A25">
            <w:pPr>
              <w:spacing w:line="360" w:lineRule="auto"/>
            </w:pPr>
            <w:proofErr w:type="spellStart"/>
            <w:r w:rsidRPr="00860424">
              <w:rPr>
                <w:i/>
              </w:rPr>
              <w:t>nd</w:t>
            </w:r>
            <w:proofErr w:type="spellEnd"/>
          </w:p>
        </w:tc>
        <w:tc>
          <w:tcPr>
            <w:tcW w:w="1615" w:type="dxa"/>
          </w:tcPr>
          <w:p w14:paraId="59BC17DD" w14:textId="77777777" w:rsidR="007F529E" w:rsidRPr="00860424" w:rsidRDefault="007F529E" w:rsidP="00422A25">
            <w:pPr>
              <w:spacing w:line="360" w:lineRule="auto"/>
            </w:pPr>
            <w:r w:rsidRPr="00860424">
              <w:t xml:space="preserve">13.5 </w:t>
            </w:r>
            <w:r w:rsidRPr="00860424">
              <w:rPr>
                <w:rFonts w:cs="Times New Roman"/>
              </w:rPr>
              <w:t>±</w:t>
            </w:r>
            <w:r w:rsidRPr="00860424">
              <w:t>0.7</w:t>
            </w:r>
          </w:p>
        </w:tc>
        <w:tc>
          <w:tcPr>
            <w:tcW w:w="1370" w:type="dxa"/>
          </w:tcPr>
          <w:p w14:paraId="1FEC6B67" w14:textId="77777777" w:rsidR="007F529E" w:rsidRPr="00860424" w:rsidRDefault="007F529E" w:rsidP="00422A25">
            <w:pPr>
              <w:spacing w:line="360" w:lineRule="auto"/>
            </w:pPr>
            <w:proofErr w:type="spellStart"/>
            <w:r w:rsidRPr="00860424">
              <w:rPr>
                <w:i/>
              </w:rPr>
              <w:t>nd</w:t>
            </w:r>
            <w:proofErr w:type="spellEnd"/>
          </w:p>
        </w:tc>
      </w:tr>
      <w:tr w:rsidR="007F529E" w:rsidRPr="00860424" w14:paraId="026CB556" w14:textId="77777777" w:rsidTr="00422A25">
        <w:tc>
          <w:tcPr>
            <w:tcW w:w="1132" w:type="dxa"/>
            <w:vMerge/>
          </w:tcPr>
          <w:p w14:paraId="15BE7594" w14:textId="77777777" w:rsidR="007F529E" w:rsidRPr="00860424" w:rsidRDefault="007F529E" w:rsidP="00422A25">
            <w:pPr>
              <w:spacing w:line="360" w:lineRule="auto"/>
            </w:pPr>
          </w:p>
        </w:tc>
        <w:tc>
          <w:tcPr>
            <w:tcW w:w="586" w:type="dxa"/>
          </w:tcPr>
          <w:p w14:paraId="46B15CEC" w14:textId="77777777" w:rsidR="007F529E" w:rsidRPr="00860424" w:rsidRDefault="007F529E" w:rsidP="00422A25">
            <w:pPr>
              <w:spacing w:line="360" w:lineRule="auto"/>
            </w:pPr>
            <w:r w:rsidRPr="00860424">
              <w:t>-L</w:t>
            </w:r>
          </w:p>
        </w:tc>
        <w:tc>
          <w:tcPr>
            <w:tcW w:w="1376" w:type="dxa"/>
            <w:vMerge/>
          </w:tcPr>
          <w:p w14:paraId="1D469F61" w14:textId="77777777" w:rsidR="007F529E" w:rsidRPr="00860424" w:rsidRDefault="007F529E" w:rsidP="00422A25">
            <w:pPr>
              <w:spacing w:line="360" w:lineRule="auto"/>
              <w:rPr>
                <w:i/>
              </w:rPr>
            </w:pPr>
          </w:p>
        </w:tc>
        <w:tc>
          <w:tcPr>
            <w:tcW w:w="1279" w:type="dxa"/>
          </w:tcPr>
          <w:p w14:paraId="395D1751" w14:textId="77777777" w:rsidR="007F529E" w:rsidRPr="00860424" w:rsidRDefault="007F529E" w:rsidP="00422A25">
            <w:pPr>
              <w:spacing w:line="360" w:lineRule="auto"/>
            </w:pPr>
            <w:r w:rsidRPr="00860424">
              <w:t>16.4</w:t>
            </w:r>
            <w:r w:rsidRPr="00860424">
              <w:rPr>
                <w:rFonts w:cs="Times New Roman"/>
              </w:rPr>
              <w:t>±0.6</w:t>
            </w:r>
          </w:p>
        </w:tc>
        <w:tc>
          <w:tcPr>
            <w:tcW w:w="1279" w:type="dxa"/>
          </w:tcPr>
          <w:p w14:paraId="4354586A" w14:textId="77777777" w:rsidR="007F529E" w:rsidRPr="00860424" w:rsidRDefault="007F529E" w:rsidP="00422A25">
            <w:pPr>
              <w:spacing w:line="360" w:lineRule="auto"/>
            </w:pPr>
            <w:proofErr w:type="spellStart"/>
            <w:r w:rsidRPr="00860424">
              <w:rPr>
                <w:i/>
              </w:rPr>
              <w:t>nd</w:t>
            </w:r>
            <w:proofErr w:type="spellEnd"/>
          </w:p>
        </w:tc>
        <w:tc>
          <w:tcPr>
            <w:tcW w:w="1615" w:type="dxa"/>
          </w:tcPr>
          <w:p w14:paraId="15D0BA1F" w14:textId="77777777" w:rsidR="007F529E" w:rsidRPr="00860424" w:rsidRDefault="007F529E" w:rsidP="00422A25">
            <w:pPr>
              <w:spacing w:line="360" w:lineRule="auto"/>
            </w:pPr>
            <w:r w:rsidRPr="00860424">
              <w:t xml:space="preserve">14.8 </w:t>
            </w:r>
            <w:r w:rsidRPr="00860424">
              <w:rPr>
                <w:rFonts w:cs="Times New Roman"/>
              </w:rPr>
              <w:t>±</w:t>
            </w:r>
            <w:r w:rsidRPr="00860424">
              <w:t>0.7</w:t>
            </w:r>
          </w:p>
        </w:tc>
        <w:tc>
          <w:tcPr>
            <w:tcW w:w="1370" w:type="dxa"/>
          </w:tcPr>
          <w:p w14:paraId="0380E20D" w14:textId="77777777" w:rsidR="007F529E" w:rsidRPr="00860424" w:rsidRDefault="007F529E" w:rsidP="00422A25">
            <w:pPr>
              <w:spacing w:line="360" w:lineRule="auto"/>
            </w:pPr>
            <w:proofErr w:type="spellStart"/>
            <w:r w:rsidRPr="00860424">
              <w:rPr>
                <w:i/>
              </w:rPr>
              <w:t>nd</w:t>
            </w:r>
            <w:proofErr w:type="spellEnd"/>
          </w:p>
        </w:tc>
      </w:tr>
    </w:tbl>
    <w:p w14:paraId="04E418A1" w14:textId="77777777" w:rsidR="00804743" w:rsidRDefault="00804743" w:rsidP="00804743">
      <w:pPr>
        <w:widowControl w:val="0"/>
        <w:autoSpaceDE w:val="0"/>
        <w:autoSpaceDN w:val="0"/>
        <w:adjustRightInd w:val="0"/>
        <w:spacing w:line="360" w:lineRule="auto"/>
      </w:pPr>
    </w:p>
    <w:p w14:paraId="55C91C89" w14:textId="77777777" w:rsidR="00804743" w:rsidRDefault="00804743" w:rsidP="007F529E">
      <w:pPr>
        <w:widowControl w:val="0"/>
        <w:autoSpaceDE w:val="0"/>
        <w:autoSpaceDN w:val="0"/>
        <w:adjustRightInd w:val="0"/>
        <w:spacing w:line="360" w:lineRule="auto"/>
        <w:ind w:left="640" w:hanging="640"/>
        <w:sectPr w:rsidR="00804743" w:rsidSect="00D87662">
          <w:pgSz w:w="11906" w:h="16838"/>
          <w:pgMar w:top="1440" w:right="1440" w:bottom="1440" w:left="1440" w:header="708" w:footer="708" w:gutter="0"/>
          <w:lnNumType w:countBy="1" w:restart="continuous"/>
          <w:cols w:space="708"/>
          <w:docGrid w:linePitch="360"/>
        </w:sectPr>
      </w:pPr>
    </w:p>
    <w:p w14:paraId="077971DD" w14:textId="6F60206E" w:rsidR="007F529E" w:rsidRPr="007F529E" w:rsidRDefault="007F529E" w:rsidP="007F529E">
      <w:pPr>
        <w:widowControl w:val="0"/>
        <w:autoSpaceDE w:val="0"/>
        <w:autoSpaceDN w:val="0"/>
        <w:adjustRightInd w:val="0"/>
        <w:spacing w:line="360" w:lineRule="auto"/>
        <w:ind w:left="640" w:hanging="640"/>
      </w:pPr>
      <w:r w:rsidRPr="007F529E">
        <w:lastRenderedPageBreak/>
        <w:t>Table 5</w:t>
      </w:r>
    </w:p>
    <w:tbl>
      <w:tblPr>
        <w:tblStyle w:val="TableGrid"/>
        <w:tblW w:w="14029" w:type="dxa"/>
        <w:tblLook w:val="04A0" w:firstRow="1" w:lastRow="0" w:firstColumn="1" w:lastColumn="0" w:noHBand="0" w:noVBand="1"/>
      </w:tblPr>
      <w:tblGrid>
        <w:gridCol w:w="1322"/>
        <w:gridCol w:w="643"/>
        <w:gridCol w:w="697"/>
        <w:gridCol w:w="2176"/>
        <w:gridCol w:w="2266"/>
        <w:gridCol w:w="991"/>
        <w:gridCol w:w="5934"/>
      </w:tblGrid>
      <w:tr w:rsidR="007F529E" w:rsidRPr="00860424" w14:paraId="6B6FF749" w14:textId="77777777" w:rsidTr="00422A25">
        <w:trPr>
          <w:trHeight w:val="794"/>
        </w:trPr>
        <w:tc>
          <w:tcPr>
            <w:tcW w:w="1322" w:type="dxa"/>
          </w:tcPr>
          <w:p w14:paraId="730B486F" w14:textId="77777777" w:rsidR="007F529E" w:rsidRPr="00860424" w:rsidRDefault="007F529E" w:rsidP="00422A25">
            <w:pPr>
              <w:spacing w:line="360" w:lineRule="auto"/>
              <w:rPr>
                <w:b/>
                <w:iCs/>
              </w:rPr>
            </w:pPr>
            <w:r w:rsidRPr="00860424">
              <w:rPr>
                <w:b/>
                <w:iCs/>
              </w:rPr>
              <w:t>Referred to in text</w:t>
            </w:r>
          </w:p>
        </w:tc>
        <w:tc>
          <w:tcPr>
            <w:tcW w:w="643" w:type="dxa"/>
          </w:tcPr>
          <w:p w14:paraId="12E6BAF2" w14:textId="77777777" w:rsidR="007F529E" w:rsidRPr="00860424" w:rsidRDefault="007F529E" w:rsidP="00422A25">
            <w:pPr>
              <w:spacing w:line="360" w:lineRule="auto"/>
              <w:rPr>
                <w:b/>
                <w:iCs/>
              </w:rPr>
            </w:pPr>
            <w:r w:rsidRPr="00860424">
              <w:rPr>
                <w:b/>
                <w:iCs/>
              </w:rPr>
              <w:t>Plot</w:t>
            </w:r>
          </w:p>
        </w:tc>
        <w:tc>
          <w:tcPr>
            <w:tcW w:w="697" w:type="dxa"/>
          </w:tcPr>
          <w:p w14:paraId="389E89B1" w14:textId="77777777" w:rsidR="007F529E" w:rsidRPr="00860424" w:rsidRDefault="007F529E" w:rsidP="00422A25">
            <w:pPr>
              <w:spacing w:line="360" w:lineRule="auto"/>
              <w:rPr>
                <w:b/>
                <w:iCs/>
              </w:rPr>
            </w:pPr>
            <w:r w:rsidRPr="00860424">
              <w:rPr>
                <w:b/>
                <w:iCs/>
              </w:rPr>
              <w:t>Sub-plot</w:t>
            </w:r>
          </w:p>
        </w:tc>
        <w:tc>
          <w:tcPr>
            <w:tcW w:w="2176" w:type="dxa"/>
          </w:tcPr>
          <w:p w14:paraId="3515127C" w14:textId="77777777" w:rsidR="007F529E" w:rsidRPr="00FF3CBE" w:rsidRDefault="007F529E" w:rsidP="00422A25">
            <w:pPr>
              <w:spacing w:line="360" w:lineRule="auto"/>
              <w:rPr>
                <w:b/>
                <w:iCs/>
                <w:lang w:val="de-DE"/>
              </w:rPr>
            </w:pPr>
            <w:r w:rsidRPr="00FF3CBE">
              <w:rPr>
                <w:b/>
                <w:iCs/>
                <w:lang w:val="de-DE"/>
              </w:rPr>
              <w:t xml:space="preserve">Nitrogen fertiliser </w:t>
            </w:r>
          </w:p>
          <w:p w14:paraId="0472E7F5" w14:textId="77777777" w:rsidR="007F529E" w:rsidRPr="00FF3CBE" w:rsidRDefault="007F529E" w:rsidP="00422A25">
            <w:pPr>
              <w:spacing w:line="360" w:lineRule="auto"/>
              <w:rPr>
                <w:b/>
                <w:iCs/>
                <w:lang w:val="de-DE"/>
              </w:rPr>
            </w:pPr>
            <w:r w:rsidRPr="00FF3CBE">
              <w:rPr>
                <w:b/>
                <w:iCs/>
                <w:lang w:val="de-DE"/>
              </w:rPr>
              <w:t>(kg ha</w:t>
            </w:r>
            <w:r w:rsidRPr="00FF3CBE">
              <w:rPr>
                <w:b/>
                <w:iCs/>
                <w:vertAlign w:val="superscript"/>
                <w:lang w:val="de-DE"/>
              </w:rPr>
              <w:t>-1</w:t>
            </w:r>
            <w:r w:rsidRPr="00FF3CBE">
              <w:rPr>
                <w:b/>
                <w:iCs/>
                <w:lang w:val="de-DE"/>
              </w:rPr>
              <w:t xml:space="preserve"> yr</w:t>
            </w:r>
            <w:r w:rsidRPr="00FF3CBE">
              <w:rPr>
                <w:b/>
                <w:iCs/>
                <w:vertAlign w:val="superscript"/>
                <w:lang w:val="de-DE"/>
              </w:rPr>
              <w:t>-1</w:t>
            </w:r>
            <w:r w:rsidRPr="00FF3CBE">
              <w:rPr>
                <w:b/>
                <w:iCs/>
                <w:lang w:val="de-DE"/>
              </w:rPr>
              <w:t>)</w:t>
            </w:r>
          </w:p>
        </w:tc>
        <w:tc>
          <w:tcPr>
            <w:tcW w:w="2266" w:type="dxa"/>
          </w:tcPr>
          <w:p w14:paraId="47394B5D" w14:textId="77777777" w:rsidR="007F529E" w:rsidRPr="00860424" w:rsidRDefault="007F529E" w:rsidP="00422A25">
            <w:pPr>
              <w:spacing w:line="360" w:lineRule="auto"/>
              <w:rPr>
                <w:b/>
                <w:iCs/>
              </w:rPr>
            </w:pPr>
            <w:r w:rsidRPr="00860424">
              <w:rPr>
                <w:b/>
                <w:iCs/>
              </w:rPr>
              <w:t xml:space="preserve">Other fertilisers </w:t>
            </w:r>
          </w:p>
          <w:p w14:paraId="7C0D12D0" w14:textId="77777777" w:rsidR="007F529E" w:rsidRPr="00860424" w:rsidRDefault="007F529E" w:rsidP="00422A25">
            <w:pPr>
              <w:spacing w:line="360" w:lineRule="auto"/>
              <w:rPr>
                <w:b/>
                <w:iCs/>
              </w:rPr>
            </w:pPr>
            <w:r w:rsidRPr="00860424">
              <w:rPr>
                <w:b/>
                <w:iCs/>
              </w:rPr>
              <w:t>(kg ha</w:t>
            </w:r>
            <w:r w:rsidRPr="00860424">
              <w:rPr>
                <w:b/>
                <w:iCs/>
                <w:vertAlign w:val="superscript"/>
              </w:rPr>
              <w:t>-1</w:t>
            </w:r>
            <w:r w:rsidRPr="00860424">
              <w:rPr>
                <w:b/>
                <w:iCs/>
              </w:rPr>
              <w:t xml:space="preserve"> yr</w:t>
            </w:r>
            <w:r w:rsidRPr="00860424">
              <w:rPr>
                <w:b/>
                <w:iCs/>
                <w:vertAlign w:val="superscript"/>
              </w:rPr>
              <w:t>-1</w:t>
            </w:r>
            <w:r w:rsidRPr="00860424">
              <w:rPr>
                <w:b/>
                <w:iCs/>
              </w:rPr>
              <w:t>)</w:t>
            </w:r>
          </w:p>
        </w:tc>
        <w:tc>
          <w:tcPr>
            <w:tcW w:w="991" w:type="dxa"/>
          </w:tcPr>
          <w:p w14:paraId="1C97A236" w14:textId="77777777" w:rsidR="007F529E" w:rsidRPr="00860424" w:rsidRDefault="007F529E" w:rsidP="00422A25">
            <w:pPr>
              <w:spacing w:line="360" w:lineRule="auto"/>
              <w:rPr>
                <w:b/>
                <w:iCs/>
              </w:rPr>
            </w:pPr>
            <w:r w:rsidRPr="00860424">
              <w:rPr>
                <w:b/>
                <w:iCs/>
              </w:rPr>
              <w:t>Lime</w:t>
            </w:r>
          </w:p>
          <w:p w14:paraId="0036B3C8" w14:textId="77777777" w:rsidR="007F529E" w:rsidRPr="00860424" w:rsidRDefault="007F529E" w:rsidP="00422A25">
            <w:pPr>
              <w:spacing w:line="360" w:lineRule="auto"/>
              <w:rPr>
                <w:b/>
                <w:iCs/>
              </w:rPr>
            </w:pPr>
            <w:r w:rsidRPr="00860424">
              <w:rPr>
                <w:b/>
                <w:iCs/>
              </w:rPr>
              <w:t>(t ha</w:t>
            </w:r>
            <w:r w:rsidRPr="00860424">
              <w:rPr>
                <w:b/>
                <w:iCs/>
                <w:vertAlign w:val="superscript"/>
              </w:rPr>
              <w:t>-1</w:t>
            </w:r>
            <w:r w:rsidRPr="00860424">
              <w:rPr>
                <w:b/>
                <w:iCs/>
              </w:rPr>
              <w:t>)</w:t>
            </w:r>
          </w:p>
        </w:tc>
        <w:tc>
          <w:tcPr>
            <w:tcW w:w="5934" w:type="dxa"/>
          </w:tcPr>
          <w:p w14:paraId="4D9BC20B" w14:textId="77777777" w:rsidR="007F529E" w:rsidRPr="00860424" w:rsidRDefault="007F529E" w:rsidP="00422A25">
            <w:pPr>
              <w:spacing w:line="360" w:lineRule="auto"/>
              <w:rPr>
                <w:b/>
                <w:iCs/>
              </w:rPr>
            </w:pPr>
            <w:r>
              <w:rPr>
                <w:b/>
                <w:iCs/>
              </w:rPr>
              <w:t>Dominant plant species in 2000</w:t>
            </w:r>
            <w:r w:rsidRPr="004A335F">
              <w:rPr>
                <w:bCs/>
                <w:iCs/>
                <w:vertAlign w:val="superscript"/>
              </w:rPr>
              <w:t>a</w:t>
            </w:r>
          </w:p>
        </w:tc>
      </w:tr>
      <w:tr w:rsidR="007F529E" w:rsidRPr="00860424" w14:paraId="4F14A045" w14:textId="77777777" w:rsidTr="00422A25">
        <w:trPr>
          <w:trHeight w:val="854"/>
        </w:trPr>
        <w:tc>
          <w:tcPr>
            <w:tcW w:w="1322" w:type="dxa"/>
            <w:vAlign w:val="center"/>
          </w:tcPr>
          <w:p w14:paraId="416EAB33" w14:textId="77777777" w:rsidR="007F529E" w:rsidRPr="00860424" w:rsidRDefault="007F529E" w:rsidP="00422A25">
            <w:pPr>
              <w:spacing w:line="360" w:lineRule="auto"/>
              <w:rPr>
                <w:iCs/>
              </w:rPr>
            </w:pPr>
            <w:r w:rsidRPr="00860424">
              <w:rPr>
                <w:iCs/>
              </w:rPr>
              <w:t>-N+P+L</w:t>
            </w:r>
          </w:p>
        </w:tc>
        <w:tc>
          <w:tcPr>
            <w:tcW w:w="643" w:type="dxa"/>
            <w:vAlign w:val="center"/>
          </w:tcPr>
          <w:p w14:paraId="4DAA8AC9" w14:textId="77777777" w:rsidR="007F529E" w:rsidRPr="00860424" w:rsidRDefault="007F529E" w:rsidP="00422A25">
            <w:pPr>
              <w:spacing w:line="360" w:lineRule="auto"/>
              <w:rPr>
                <w:iCs/>
              </w:rPr>
            </w:pPr>
            <w:r w:rsidRPr="00860424">
              <w:rPr>
                <w:iCs/>
              </w:rPr>
              <w:t>7/2</w:t>
            </w:r>
          </w:p>
        </w:tc>
        <w:tc>
          <w:tcPr>
            <w:tcW w:w="697" w:type="dxa"/>
            <w:vAlign w:val="center"/>
          </w:tcPr>
          <w:p w14:paraId="229B10E5" w14:textId="77777777" w:rsidR="007F529E" w:rsidRPr="00860424" w:rsidRDefault="007F529E" w:rsidP="00422A25">
            <w:pPr>
              <w:spacing w:line="360" w:lineRule="auto"/>
              <w:rPr>
                <w:iCs/>
              </w:rPr>
            </w:pPr>
            <w:r w:rsidRPr="00860424">
              <w:rPr>
                <w:iCs/>
              </w:rPr>
              <w:t>a</w:t>
            </w:r>
          </w:p>
        </w:tc>
        <w:tc>
          <w:tcPr>
            <w:tcW w:w="2176" w:type="dxa"/>
            <w:vAlign w:val="center"/>
          </w:tcPr>
          <w:p w14:paraId="31E3ECCC" w14:textId="77777777" w:rsidR="007F529E" w:rsidRPr="00860424" w:rsidRDefault="007F529E" w:rsidP="00422A25">
            <w:pPr>
              <w:spacing w:line="360" w:lineRule="auto"/>
              <w:rPr>
                <w:iCs/>
              </w:rPr>
            </w:pPr>
            <w:r w:rsidRPr="00860424">
              <w:rPr>
                <w:iCs/>
              </w:rPr>
              <w:t>-</w:t>
            </w:r>
          </w:p>
        </w:tc>
        <w:tc>
          <w:tcPr>
            <w:tcW w:w="2266" w:type="dxa"/>
            <w:vMerge w:val="restart"/>
            <w:vAlign w:val="center"/>
          </w:tcPr>
          <w:p w14:paraId="10000C27" w14:textId="77777777" w:rsidR="007F529E" w:rsidRPr="00860424" w:rsidRDefault="007F529E" w:rsidP="00422A25">
            <w:pPr>
              <w:spacing w:line="360" w:lineRule="auto"/>
              <w:rPr>
                <w:iCs/>
              </w:rPr>
            </w:pPr>
            <w:r w:rsidRPr="00860424">
              <w:rPr>
                <w:iCs/>
              </w:rPr>
              <w:t>Triple superphosphate (35); potassium sulphate (225); sodium sulphate (15); magnesium sulphate (10)</w:t>
            </w:r>
          </w:p>
        </w:tc>
        <w:tc>
          <w:tcPr>
            <w:tcW w:w="991" w:type="dxa"/>
            <w:vAlign w:val="center"/>
          </w:tcPr>
          <w:p w14:paraId="6CDEF6ED" w14:textId="77777777" w:rsidR="007F529E" w:rsidRPr="00860424" w:rsidRDefault="007F529E" w:rsidP="00422A25">
            <w:pPr>
              <w:spacing w:line="360" w:lineRule="auto"/>
              <w:rPr>
                <w:iCs/>
              </w:rPr>
            </w:pPr>
            <w:r w:rsidRPr="00860424">
              <w:rPr>
                <w:iCs/>
              </w:rPr>
              <w:t>2.5</w:t>
            </w:r>
          </w:p>
        </w:tc>
        <w:tc>
          <w:tcPr>
            <w:tcW w:w="5934" w:type="dxa"/>
          </w:tcPr>
          <w:p w14:paraId="40B3DC3B" w14:textId="77777777" w:rsidR="007F529E" w:rsidRPr="00860424" w:rsidRDefault="007F529E" w:rsidP="00422A25">
            <w:pPr>
              <w:spacing w:line="360" w:lineRule="auto"/>
              <w:rPr>
                <w:iCs/>
              </w:rPr>
            </w:pPr>
            <w:proofErr w:type="spellStart"/>
            <w:r w:rsidRPr="00860424">
              <w:rPr>
                <w:i/>
                <w:iCs/>
              </w:rPr>
              <w:t>Poa</w:t>
            </w:r>
            <w:proofErr w:type="spellEnd"/>
            <w:r w:rsidRPr="00860424">
              <w:rPr>
                <w:i/>
                <w:iCs/>
              </w:rPr>
              <w:t xml:space="preserve"> </w:t>
            </w:r>
            <w:proofErr w:type="spellStart"/>
            <w:r w:rsidRPr="00860424">
              <w:rPr>
                <w:i/>
                <w:iCs/>
              </w:rPr>
              <w:t>trivialis</w:t>
            </w:r>
            <w:proofErr w:type="spellEnd"/>
            <w:r w:rsidRPr="00860424">
              <w:rPr>
                <w:iCs/>
              </w:rPr>
              <w:t xml:space="preserve"> (12.8%), </w:t>
            </w:r>
            <w:proofErr w:type="spellStart"/>
            <w:r w:rsidRPr="00860424">
              <w:rPr>
                <w:i/>
                <w:iCs/>
              </w:rPr>
              <w:t>Lathyrus</w:t>
            </w:r>
            <w:proofErr w:type="spellEnd"/>
            <w:r w:rsidRPr="00860424">
              <w:rPr>
                <w:i/>
                <w:iCs/>
              </w:rPr>
              <w:t xml:space="preserve"> pratensis</w:t>
            </w:r>
            <w:r w:rsidRPr="00860424">
              <w:rPr>
                <w:iCs/>
              </w:rPr>
              <w:t xml:space="preserve"> (15.2%), </w:t>
            </w:r>
            <w:proofErr w:type="spellStart"/>
            <w:r w:rsidRPr="00860424">
              <w:rPr>
                <w:i/>
                <w:iCs/>
              </w:rPr>
              <w:t>Trifolium</w:t>
            </w:r>
            <w:proofErr w:type="spellEnd"/>
            <w:r w:rsidRPr="00860424">
              <w:rPr>
                <w:i/>
                <w:iCs/>
              </w:rPr>
              <w:t xml:space="preserve"> </w:t>
            </w:r>
            <w:proofErr w:type="spellStart"/>
            <w:r w:rsidRPr="00860424">
              <w:rPr>
                <w:i/>
                <w:iCs/>
              </w:rPr>
              <w:t>pratense</w:t>
            </w:r>
            <w:proofErr w:type="spellEnd"/>
            <w:r w:rsidRPr="00860424">
              <w:rPr>
                <w:iCs/>
              </w:rPr>
              <w:t xml:space="preserve"> (10.5%); </w:t>
            </w:r>
            <w:proofErr w:type="spellStart"/>
            <w:r w:rsidRPr="00860424">
              <w:rPr>
                <w:iCs/>
              </w:rPr>
              <w:t>Sp</w:t>
            </w:r>
            <w:proofErr w:type="spellEnd"/>
            <w:r w:rsidRPr="00860424">
              <w:rPr>
                <w:iCs/>
              </w:rPr>
              <w:t xml:space="preserve"> = 23</w:t>
            </w:r>
          </w:p>
        </w:tc>
      </w:tr>
      <w:tr w:rsidR="007F529E" w:rsidRPr="00860424" w14:paraId="048EA55D" w14:textId="77777777" w:rsidTr="00422A25">
        <w:trPr>
          <w:trHeight w:val="794"/>
        </w:trPr>
        <w:tc>
          <w:tcPr>
            <w:tcW w:w="1322" w:type="dxa"/>
            <w:vAlign w:val="center"/>
          </w:tcPr>
          <w:p w14:paraId="655552ED" w14:textId="77777777" w:rsidR="007F529E" w:rsidRPr="00860424" w:rsidRDefault="007F529E" w:rsidP="00422A25">
            <w:pPr>
              <w:spacing w:line="360" w:lineRule="auto"/>
              <w:rPr>
                <w:iCs/>
              </w:rPr>
            </w:pPr>
            <w:r w:rsidRPr="00860424">
              <w:rPr>
                <w:iCs/>
              </w:rPr>
              <w:t>-N+P-L</w:t>
            </w:r>
          </w:p>
        </w:tc>
        <w:tc>
          <w:tcPr>
            <w:tcW w:w="643" w:type="dxa"/>
            <w:vAlign w:val="center"/>
          </w:tcPr>
          <w:p w14:paraId="155B4277" w14:textId="77777777" w:rsidR="007F529E" w:rsidRPr="00860424" w:rsidRDefault="007F529E" w:rsidP="00422A25">
            <w:pPr>
              <w:spacing w:line="360" w:lineRule="auto"/>
              <w:rPr>
                <w:iCs/>
              </w:rPr>
            </w:pPr>
            <w:r w:rsidRPr="00860424">
              <w:rPr>
                <w:iCs/>
              </w:rPr>
              <w:t>7/2</w:t>
            </w:r>
          </w:p>
        </w:tc>
        <w:tc>
          <w:tcPr>
            <w:tcW w:w="697" w:type="dxa"/>
            <w:vAlign w:val="center"/>
          </w:tcPr>
          <w:p w14:paraId="69118613" w14:textId="77777777" w:rsidR="007F529E" w:rsidRPr="00860424" w:rsidRDefault="007F529E" w:rsidP="00422A25">
            <w:pPr>
              <w:spacing w:line="360" w:lineRule="auto"/>
              <w:rPr>
                <w:iCs/>
              </w:rPr>
            </w:pPr>
            <w:r w:rsidRPr="00860424">
              <w:rPr>
                <w:iCs/>
              </w:rPr>
              <w:t>d</w:t>
            </w:r>
          </w:p>
        </w:tc>
        <w:tc>
          <w:tcPr>
            <w:tcW w:w="2176" w:type="dxa"/>
            <w:vAlign w:val="center"/>
          </w:tcPr>
          <w:p w14:paraId="6051859B" w14:textId="77777777" w:rsidR="007F529E" w:rsidRPr="00860424" w:rsidRDefault="007F529E" w:rsidP="00422A25">
            <w:pPr>
              <w:spacing w:line="360" w:lineRule="auto"/>
              <w:rPr>
                <w:iCs/>
              </w:rPr>
            </w:pPr>
            <w:r w:rsidRPr="00860424">
              <w:rPr>
                <w:iCs/>
              </w:rPr>
              <w:t>-</w:t>
            </w:r>
          </w:p>
        </w:tc>
        <w:tc>
          <w:tcPr>
            <w:tcW w:w="2266" w:type="dxa"/>
            <w:vMerge/>
            <w:vAlign w:val="center"/>
          </w:tcPr>
          <w:p w14:paraId="327F6B11" w14:textId="77777777" w:rsidR="007F529E" w:rsidRPr="00860424" w:rsidRDefault="007F529E" w:rsidP="00422A25">
            <w:pPr>
              <w:spacing w:line="360" w:lineRule="auto"/>
              <w:rPr>
                <w:iCs/>
              </w:rPr>
            </w:pPr>
          </w:p>
        </w:tc>
        <w:tc>
          <w:tcPr>
            <w:tcW w:w="991" w:type="dxa"/>
            <w:vAlign w:val="center"/>
          </w:tcPr>
          <w:p w14:paraId="5D3B4A42" w14:textId="77777777" w:rsidR="007F529E" w:rsidRPr="00860424" w:rsidRDefault="007F529E" w:rsidP="00422A25">
            <w:pPr>
              <w:spacing w:line="360" w:lineRule="auto"/>
              <w:rPr>
                <w:iCs/>
              </w:rPr>
            </w:pPr>
            <w:r w:rsidRPr="00860424">
              <w:rPr>
                <w:iCs/>
              </w:rPr>
              <w:t>-</w:t>
            </w:r>
          </w:p>
        </w:tc>
        <w:tc>
          <w:tcPr>
            <w:tcW w:w="5934" w:type="dxa"/>
          </w:tcPr>
          <w:p w14:paraId="469CB312" w14:textId="77777777" w:rsidR="007F529E" w:rsidRPr="00860424" w:rsidRDefault="007F529E" w:rsidP="00422A25">
            <w:pPr>
              <w:spacing w:line="360" w:lineRule="auto"/>
              <w:rPr>
                <w:iCs/>
              </w:rPr>
            </w:pPr>
            <w:r w:rsidRPr="00860424">
              <w:rPr>
                <w:i/>
                <w:iCs/>
              </w:rPr>
              <w:t xml:space="preserve">Festuca </w:t>
            </w:r>
            <w:proofErr w:type="spellStart"/>
            <w:r w:rsidRPr="00860424">
              <w:rPr>
                <w:i/>
                <w:iCs/>
              </w:rPr>
              <w:t>rubra</w:t>
            </w:r>
            <w:proofErr w:type="spellEnd"/>
            <w:r w:rsidRPr="00860424">
              <w:rPr>
                <w:iCs/>
              </w:rPr>
              <w:t xml:space="preserve"> (17.5%), </w:t>
            </w:r>
            <w:r w:rsidRPr="00860424">
              <w:rPr>
                <w:i/>
                <w:iCs/>
              </w:rPr>
              <w:t xml:space="preserve">Agrostis </w:t>
            </w:r>
            <w:proofErr w:type="spellStart"/>
            <w:r w:rsidRPr="00860424">
              <w:rPr>
                <w:i/>
                <w:iCs/>
              </w:rPr>
              <w:t>capillaris</w:t>
            </w:r>
            <w:proofErr w:type="spellEnd"/>
            <w:r w:rsidRPr="00860424">
              <w:rPr>
                <w:iCs/>
              </w:rPr>
              <w:t xml:space="preserve"> (48.3%); </w:t>
            </w:r>
            <w:proofErr w:type="spellStart"/>
            <w:r w:rsidRPr="00860424">
              <w:rPr>
                <w:iCs/>
              </w:rPr>
              <w:t>Sp</w:t>
            </w:r>
            <w:proofErr w:type="spellEnd"/>
            <w:r w:rsidRPr="00860424">
              <w:rPr>
                <w:iCs/>
              </w:rPr>
              <w:t xml:space="preserve"> = 21</w:t>
            </w:r>
          </w:p>
        </w:tc>
      </w:tr>
      <w:tr w:rsidR="007F529E" w:rsidRPr="00860424" w14:paraId="3345FED1" w14:textId="77777777" w:rsidTr="00422A25">
        <w:trPr>
          <w:trHeight w:val="794"/>
        </w:trPr>
        <w:tc>
          <w:tcPr>
            <w:tcW w:w="1322" w:type="dxa"/>
            <w:vAlign w:val="center"/>
          </w:tcPr>
          <w:p w14:paraId="6F6AA2DF" w14:textId="77777777" w:rsidR="007F529E" w:rsidRPr="00860424" w:rsidRDefault="007F529E" w:rsidP="00422A25">
            <w:pPr>
              <w:spacing w:line="360" w:lineRule="auto"/>
              <w:rPr>
                <w:iCs/>
              </w:rPr>
            </w:pPr>
            <w:r w:rsidRPr="00860424">
              <w:rPr>
                <w:iCs/>
              </w:rPr>
              <w:t>+N+P+L</w:t>
            </w:r>
          </w:p>
        </w:tc>
        <w:tc>
          <w:tcPr>
            <w:tcW w:w="643" w:type="dxa"/>
            <w:vAlign w:val="center"/>
          </w:tcPr>
          <w:p w14:paraId="68F726CA" w14:textId="77777777" w:rsidR="007F529E" w:rsidRPr="00860424" w:rsidRDefault="007F529E" w:rsidP="00422A25">
            <w:pPr>
              <w:spacing w:line="360" w:lineRule="auto"/>
              <w:rPr>
                <w:iCs/>
              </w:rPr>
            </w:pPr>
            <w:r w:rsidRPr="00860424">
              <w:rPr>
                <w:iCs/>
              </w:rPr>
              <w:t>11/1</w:t>
            </w:r>
          </w:p>
        </w:tc>
        <w:tc>
          <w:tcPr>
            <w:tcW w:w="697" w:type="dxa"/>
            <w:vAlign w:val="center"/>
          </w:tcPr>
          <w:p w14:paraId="6C98153B" w14:textId="77777777" w:rsidR="007F529E" w:rsidRPr="00860424" w:rsidRDefault="007F529E" w:rsidP="00422A25">
            <w:pPr>
              <w:spacing w:line="360" w:lineRule="auto"/>
              <w:rPr>
                <w:iCs/>
              </w:rPr>
            </w:pPr>
            <w:r w:rsidRPr="00860424">
              <w:rPr>
                <w:iCs/>
              </w:rPr>
              <w:t>a</w:t>
            </w:r>
          </w:p>
        </w:tc>
        <w:tc>
          <w:tcPr>
            <w:tcW w:w="2176" w:type="dxa"/>
            <w:vMerge w:val="restart"/>
            <w:vAlign w:val="center"/>
          </w:tcPr>
          <w:p w14:paraId="21737052" w14:textId="77777777" w:rsidR="007F529E" w:rsidRPr="00860424" w:rsidRDefault="007F529E" w:rsidP="00422A25">
            <w:pPr>
              <w:spacing w:line="360" w:lineRule="auto"/>
              <w:rPr>
                <w:iCs/>
              </w:rPr>
            </w:pPr>
            <w:r w:rsidRPr="00860424">
              <w:rPr>
                <w:iCs/>
              </w:rPr>
              <w:t>Ammonium sulphate (144)</w:t>
            </w:r>
          </w:p>
        </w:tc>
        <w:tc>
          <w:tcPr>
            <w:tcW w:w="2266" w:type="dxa"/>
            <w:vMerge/>
            <w:vAlign w:val="center"/>
          </w:tcPr>
          <w:p w14:paraId="64A8C53D" w14:textId="77777777" w:rsidR="007F529E" w:rsidRPr="00860424" w:rsidRDefault="007F529E" w:rsidP="00422A25">
            <w:pPr>
              <w:spacing w:line="360" w:lineRule="auto"/>
              <w:rPr>
                <w:iCs/>
              </w:rPr>
            </w:pPr>
          </w:p>
        </w:tc>
        <w:tc>
          <w:tcPr>
            <w:tcW w:w="991" w:type="dxa"/>
            <w:vAlign w:val="center"/>
          </w:tcPr>
          <w:p w14:paraId="39A3B1FE" w14:textId="77777777" w:rsidR="007F529E" w:rsidRPr="00860424" w:rsidRDefault="007F529E" w:rsidP="00422A25">
            <w:pPr>
              <w:spacing w:line="360" w:lineRule="auto"/>
              <w:rPr>
                <w:iCs/>
              </w:rPr>
            </w:pPr>
            <w:r w:rsidRPr="00860424">
              <w:rPr>
                <w:iCs/>
              </w:rPr>
              <w:t>3.5</w:t>
            </w:r>
          </w:p>
        </w:tc>
        <w:tc>
          <w:tcPr>
            <w:tcW w:w="5934" w:type="dxa"/>
          </w:tcPr>
          <w:p w14:paraId="57F02847" w14:textId="77777777" w:rsidR="007F529E" w:rsidRPr="00860424" w:rsidRDefault="007F529E" w:rsidP="00422A25">
            <w:pPr>
              <w:spacing w:line="360" w:lineRule="auto"/>
              <w:rPr>
                <w:iCs/>
              </w:rPr>
            </w:pPr>
            <w:proofErr w:type="spellStart"/>
            <w:r w:rsidRPr="00860424">
              <w:rPr>
                <w:i/>
                <w:iCs/>
              </w:rPr>
              <w:t>Poa</w:t>
            </w:r>
            <w:proofErr w:type="spellEnd"/>
            <w:r w:rsidRPr="00860424">
              <w:rPr>
                <w:i/>
                <w:iCs/>
              </w:rPr>
              <w:t xml:space="preserve"> </w:t>
            </w:r>
            <w:proofErr w:type="spellStart"/>
            <w:r w:rsidRPr="00860424">
              <w:rPr>
                <w:i/>
                <w:iCs/>
              </w:rPr>
              <w:t>trivialis</w:t>
            </w:r>
            <w:proofErr w:type="spellEnd"/>
            <w:r w:rsidRPr="00860424">
              <w:rPr>
                <w:iCs/>
              </w:rPr>
              <w:t xml:space="preserve"> (46.5%),</w:t>
            </w:r>
            <w:r w:rsidRPr="00860424">
              <w:rPr>
                <w:i/>
                <w:iCs/>
              </w:rPr>
              <w:t xml:space="preserve"> </w:t>
            </w:r>
            <w:proofErr w:type="spellStart"/>
            <w:r w:rsidRPr="00860424">
              <w:rPr>
                <w:i/>
                <w:iCs/>
              </w:rPr>
              <w:t>Holcus</w:t>
            </w:r>
            <w:proofErr w:type="spellEnd"/>
            <w:r w:rsidRPr="00860424">
              <w:rPr>
                <w:i/>
                <w:iCs/>
              </w:rPr>
              <w:t xml:space="preserve"> </w:t>
            </w:r>
            <w:proofErr w:type="spellStart"/>
            <w:r w:rsidRPr="00860424">
              <w:rPr>
                <w:i/>
                <w:iCs/>
              </w:rPr>
              <w:t>lanatus</w:t>
            </w:r>
            <w:proofErr w:type="spellEnd"/>
            <w:r w:rsidRPr="00860424">
              <w:rPr>
                <w:i/>
                <w:iCs/>
              </w:rPr>
              <w:t xml:space="preserve"> </w:t>
            </w:r>
            <w:r w:rsidRPr="00860424">
              <w:rPr>
                <w:iCs/>
              </w:rPr>
              <w:t xml:space="preserve">(15.6%), </w:t>
            </w:r>
            <w:proofErr w:type="spellStart"/>
            <w:r w:rsidRPr="00860424">
              <w:rPr>
                <w:i/>
                <w:iCs/>
              </w:rPr>
              <w:t>Arrhenatherum</w:t>
            </w:r>
            <w:proofErr w:type="spellEnd"/>
            <w:r w:rsidRPr="00860424">
              <w:rPr>
                <w:i/>
                <w:iCs/>
              </w:rPr>
              <w:t xml:space="preserve"> </w:t>
            </w:r>
            <w:proofErr w:type="spellStart"/>
            <w:r w:rsidRPr="00860424">
              <w:rPr>
                <w:i/>
                <w:iCs/>
              </w:rPr>
              <w:t>elatius</w:t>
            </w:r>
            <w:proofErr w:type="spellEnd"/>
            <w:r w:rsidRPr="00860424">
              <w:rPr>
                <w:iCs/>
              </w:rPr>
              <w:t xml:space="preserve"> (15.1%); </w:t>
            </w:r>
            <w:proofErr w:type="spellStart"/>
            <w:r w:rsidRPr="00860424">
              <w:rPr>
                <w:iCs/>
              </w:rPr>
              <w:t>Sp</w:t>
            </w:r>
            <w:proofErr w:type="spellEnd"/>
            <w:r w:rsidRPr="00860424">
              <w:rPr>
                <w:iCs/>
              </w:rPr>
              <w:t xml:space="preserve"> = 10</w:t>
            </w:r>
          </w:p>
        </w:tc>
      </w:tr>
      <w:tr w:rsidR="007F529E" w:rsidRPr="00860424" w14:paraId="36349F5F" w14:textId="77777777" w:rsidTr="00422A25">
        <w:trPr>
          <w:trHeight w:val="794"/>
        </w:trPr>
        <w:tc>
          <w:tcPr>
            <w:tcW w:w="1322" w:type="dxa"/>
            <w:vAlign w:val="center"/>
          </w:tcPr>
          <w:p w14:paraId="1F4D554B" w14:textId="77777777" w:rsidR="007F529E" w:rsidRPr="00860424" w:rsidRDefault="007F529E" w:rsidP="00422A25">
            <w:pPr>
              <w:spacing w:line="360" w:lineRule="auto"/>
              <w:rPr>
                <w:iCs/>
              </w:rPr>
            </w:pPr>
            <w:r w:rsidRPr="00860424">
              <w:rPr>
                <w:iCs/>
              </w:rPr>
              <w:t>+N+P-L</w:t>
            </w:r>
          </w:p>
        </w:tc>
        <w:tc>
          <w:tcPr>
            <w:tcW w:w="643" w:type="dxa"/>
            <w:vAlign w:val="center"/>
          </w:tcPr>
          <w:p w14:paraId="74CDEF04" w14:textId="77777777" w:rsidR="007F529E" w:rsidRPr="00860424" w:rsidRDefault="007F529E" w:rsidP="00422A25">
            <w:pPr>
              <w:spacing w:line="360" w:lineRule="auto"/>
              <w:rPr>
                <w:iCs/>
              </w:rPr>
            </w:pPr>
            <w:r w:rsidRPr="00860424">
              <w:rPr>
                <w:iCs/>
              </w:rPr>
              <w:t>11/1</w:t>
            </w:r>
          </w:p>
        </w:tc>
        <w:tc>
          <w:tcPr>
            <w:tcW w:w="697" w:type="dxa"/>
            <w:vAlign w:val="center"/>
          </w:tcPr>
          <w:p w14:paraId="1B576551" w14:textId="77777777" w:rsidR="007F529E" w:rsidRPr="00860424" w:rsidRDefault="007F529E" w:rsidP="00422A25">
            <w:pPr>
              <w:spacing w:line="360" w:lineRule="auto"/>
              <w:rPr>
                <w:iCs/>
              </w:rPr>
            </w:pPr>
            <w:r w:rsidRPr="00860424">
              <w:rPr>
                <w:iCs/>
              </w:rPr>
              <w:t>d</w:t>
            </w:r>
          </w:p>
        </w:tc>
        <w:tc>
          <w:tcPr>
            <w:tcW w:w="2176" w:type="dxa"/>
            <w:vMerge/>
            <w:vAlign w:val="center"/>
          </w:tcPr>
          <w:p w14:paraId="02D68775" w14:textId="77777777" w:rsidR="007F529E" w:rsidRPr="00860424" w:rsidRDefault="007F529E" w:rsidP="00422A25">
            <w:pPr>
              <w:spacing w:line="360" w:lineRule="auto"/>
              <w:rPr>
                <w:iCs/>
              </w:rPr>
            </w:pPr>
          </w:p>
        </w:tc>
        <w:tc>
          <w:tcPr>
            <w:tcW w:w="2266" w:type="dxa"/>
            <w:vMerge/>
            <w:vAlign w:val="center"/>
          </w:tcPr>
          <w:p w14:paraId="7B173B5D" w14:textId="77777777" w:rsidR="007F529E" w:rsidRPr="00860424" w:rsidRDefault="007F529E" w:rsidP="00422A25">
            <w:pPr>
              <w:spacing w:line="360" w:lineRule="auto"/>
              <w:rPr>
                <w:iCs/>
              </w:rPr>
            </w:pPr>
          </w:p>
        </w:tc>
        <w:tc>
          <w:tcPr>
            <w:tcW w:w="991" w:type="dxa"/>
            <w:vAlign w:val="center"/>
          </w:tcPr>
          <w:p w14:paraId="454D50E7" w14:textId="77777777" w:rsidR="007F529E" w:rsidRPr="00860424" w:rsidRDefault="007F529E" w:rsidP="00422A25">
            <w:pPr>
              <w:spacing w:line="360" w:lineRule="auto"/>
              <w:rPr>
                <w:iCs/>
              </w:rPr>
            </w:pPr>
            <w:r w:rsidRPr="00860424">
              <w:rPr>
                <w:iCs/>
              </w:rPr>
              <w:t>-</w:t>
            </w:r>
          </w:p>
        </w:tc>
        <w:tc>
          <w:tcPr>
            <w:tcW w:w="5934" w:type="dxa"/>
          </w:tcPr>
          <w:p w14:paraId="422590E6" w14:textId="77777777" w:rsidR="007F529E" w:rsidRPr="00860424" w:rsidRDefault="007F529E" w:rsidP="00422A25">
            <w:pPr>
              <w:spacing w:line="360" w:lineRule="auto"/>
              <w:rPr>
                <w:iCs/>
              </w:rPr>
            </w:pPr>
            <w:proofErr w:type="spellStart"/>
            <w:r w:rsidRPr="00860424">
              <w:rPr>
                <w:i/>
                <w:iCs/>
              </w:rPr>
              <w:t>Holcus</w:t>
            </w:r>
            <w:proofErr w:type="spellEnd"/>
            <w:r w:rsidRPr="00860424">
              <w:rPr>
                <w:i/>
                <w:iCs/>
              </w:rPr>
              <w:t xml:space="preserve"> </w:t>
            </w:r>
            <w:proofErr w:type="spellStart"/>
            <w:r w:rsidRPr="00860424">
              <w:rPr>
                <w:i/>
                <w:iCs/>
              </w:rPr>
              <w:t>lanatus</w:t>
            </w:r>
            <w:proofErr w:type="spellEnd"/>
            <w:r w:rsidRPr="00860424">
              <w:rPr>
                <w:iCs/>
              </w:rPr>
              <w:t xml:space="preserve"> (99.8%); </w:t>
            </w:r>
            <w:proofErr w:type="spellStart"/>
            <w:r w:rsidRPr="00860424">
              <w:rPr>
                <w:iCs/>
              </w:rPr>
              <w:t>Sp</w:t>
            </w:r>
            <w:proofErr w:type="spellEnd"/>
            <w:r w:rsidRPr="00860424">
              <w:rPr>
                <w:iCs/>
              </w:rPr>
              <w:t xml:space="preserve"> = 2</w:t>
            </w:r>
          </w:p>
        </w:tc>
      </w:tr>
      <w:tr w:rsidR="007F529E" w:rsidRPr="00860424" w14:paraId="2A72BEDB" w14:textId="77777777" w:rsidTr="00422A25">
        <w:trPr>
          <w:trHeight w:val="794"/>
        </w:trPr>
        <w:tc>
          <w:tcPr>
            <w:tcW w:w="1322" w:type="dxa"/>
            <w:vAlign w:val="center"/>
          </w:tcPr>
          <w:p w14:paraId="1BD2D4DC" w14:textId="77777777" w:rsidR="007F529E" w:rsidRPr="00860424" w:rsidRDefault="007F529E" w:rsidP="00422A25">
            <w:pPr>
              <w:spacing w:line="360" w:lineRule="auto"/>
              <w:rPr>
                <w:iCs/>
              </w:rPr>
            </w:pPr>
            <w:r w:rsidRPr="00860424">
              <w:rPr>
                <w:iCs/>
              </w:rPr>
              <w:t>-N-P+L</w:t>
            </w:r>
          </w:p>
        </w:tc>
        <w:tc>
          <w:tcPr>
            <w:tcW w:w="643" w:type="dxa"/>
            <w:vAlign w:val="center"/>
          </w:tcPr>
          <w:p w14:paraId="023CAB21" w14:textId="77777777" w:rsidR="007F529E" w:rsidRPr="00860424" w:rsidRDefault="007F529E" w:rsidP="00422A25">
            <w:pPr>
              <w:spacing w:line="360" w:lineRule="auto"/>
              <w:rPr>
                <w:iCs/>
              </w:rPr>
            </w:pPr>
            <w:r w:rsidRPr="00860424">
              <w:rPr>
                <w:iCs/>
              </w:rPr>
              <w:t>12</w:t>
            </w:r>
          </w:p>
        </w:tc>
        <w:tc>
          <w:tcPr>
            <w:tcW w:w="697" w:type="dxa"/>
            <w:vAlign w:val="center"/>
          </w:tcPr>
          <w:p w14:paraId="6C7DD519" w14:textId="77777777" w:rsidR="007F529E" w:rsidRPr="00860424" w:rsidRDefault="007F529E" w:rsidP="00422A25">
            <w:pPr>
              <w:spacing w:line="360" w:lineRule="auto"/>
              <w:rPr>
                <w:iCs/>
              </w:rPr>
            </w:pPr>
            <w:r w:rsidRPr="00860424">
              <w:rPr>
                <w:iCs/>
              </w:rPr>
              <w:t>a</w:t>
            </w:r>
          </w:p>
        </w:tc>
        <w:tc>
          <w:tcPr>
            <w:tcW w:w="2176" w:type="dxa"/>
            <w:vAlign w:val="center"/>
          </w:tcPr>
          <w:p w14:paraId="3264FE32" w14:textId="77777777" w:rsidR="007F529E" w:rsidRPr="00860424" w:rsidRDefault="007F529E" w:rsidP="00422A25">
            <w:pPr>
              <w:spacing w:line="360" w:lineRule="auto"/>
              <w:rPr>
                <w:iCs/>
              </w:rPr>
            </w:pPr>
            <w:r w:rsidRPr="00860424">
              <w:rPr>
                <w:iCs/>
              </w:rPr>
              <w:t>-</w:t>
            </w:r>
          </w:p>
        </w:tc>
        <w:tc>
          <w:tcPr>
            <w:tcW w:w="2266" w:type="dxa"/>
            <w:vAlign w:val="center"/>
          </w:tcPr>
          <w:p w14:paraId="6778941C" w14:textId="77777777" w:rsidR="007F529E" w:rsidRPr="00860424" w:rsidRDefault="007F529E" w:rsidP="00422A25">
            <w:pPr>
              <w:spacing w:line="360" w:lineRule="auto"/>
              <w:rPr>
                <w:iCs/>
              </w:rPr>
            </w:pPr>
            <w:r w:rsidRPr="00860424">
              <w:rPr>
                <w:iCs/>
              </w:rPr>
              <w:t>-</w:t>
            </w:r>
          </w:p>
        </w:tc>
        <w:tc>
          <w:tcPr>
            <w:tcW w:w="991" w:type="dxa"/>
            <w:vAlign w:val="center"/>
          </w:tcPr>
          <w:p w14:paraId="17D6EF1C" w14:textId="77777777" w:rsidR="007F529E" w:rsidRPr="00860424" w:rsidRDefault="007F529E" w:rsidP="00422A25">
            <w:pPr>
              <w:spacing w:line="360" w:lineRule="auto"/>
              <w:rPr>
                <w:iCs/>
              </w:rPr>
            </w:pPr>
            <w:r w:rsidRPr="00860424">
              <w:rPr>
                <w:iCs/>
              </w:rPr>
              <w:t>1.75</w:t>
            </w:r>
          </w:p>
        </w:tc>
        <w:tc>
          <w:tcPr>
            <w:tcW w:w="5934" w:type="dxa"/>
          </w:tcPr>
          <w:p w14:paraId="2B9FBF18" w14:textId="77777777" w:rsidR="007F529E" w:rsidRPr="00860424" w:rsidRDefault="007F529E" w:rsidP="00422A25">
            <w:pPr>
              <w:spacing w:line="360" w:lineRule="auto"/>
              <w:rPr>
                <w:iCs/>
              </w:rPr>
            </w:pPr>
            <w:proofErr w:type="spellStart"/>
            <w:r w:rsidRPr="00860424">
              <w:rPr>
                <w:i/>
                <w:iCs/>
              </w:rPr>
              <w:t>Plantago</w:t>
            </w:r>
            <w:proofErr w:type="spellEnd"/>
            <w:r w:rsidRPr="00860424">
              <w:rPr>
                <w:i/>
                <w:iCs/>
              </w:rPr>
              <w:t xml:space="preserve"> lanceolate</w:t>
            </w:r>
            <w:r w:rsidRPr="00860424">
              <w:rPr>
                <w:iCs/>
              </w:rPr>
              <w:t xml:space="preserve"> (11.4%), </w:t>
            </w:r>
            <w:proofErr w:type="spellStart"/>
            <w:r w:rsidRPr="00860424">
              <w:rPr>
                <w:i/>
                <w:iCs/>
              </w:rPr>
              <w:t>Leontodon</w:t>
            </w:r>
            <w:proofErr w:type="spellEnd"/>
            <w:r w:rsidRPr="00860424">
              <w:rPr>
                <w:i/>
                <w:iCs/>
              </w:rPr>
              <w:t xml:space="preserve"> </w:t>
            </w:r>
            <w:proofErr w:type="spellStart"/>
            <w:r w:rsidRPr="00860424">
              <w:rPr>
                <w:i/>
                <w:iCs/>
              </w:rPr>
              <w:t>hispidus</w:t>
            </w:r>
            <w:proofErr w:type="spellEnd"/>
            <w:r w:rsidRPr="00860424">
              <w:rPr>
                <w:iCs/>
              </w:rPr>
              <w:t xml:space="preserve"> (17.1%), </w:t>
            </w:r>
            <w:proofErr w:type="spellStart"/>
            <w:r w:rsidRPr="00860424">
              <w:rPr>
                <w:i/>
                <w:iCs/>
              </w:rPr>
              <w:t>Briza</w:t>
            </w:r>
            <w:proofErr w:type="spellEnd"/>
            <w:r w:rsidRPr="00860424">
              <w:rPr>
                <w:i/>
                <w:iCs/>
              </w:rPr>
              <w:t xml:space="preserve"> media</w:t>
            </w:r>
            <w:r w:rsidRPr="00860424">
              <w:rPr>
                <w:iCs/>
              </w:rPr>
              <w:t xml:space="preserve"> (14.6%), </w:t>
            </w:r>
            <w:r w:rsidRPr="00860424">
              <w:rPr>
                <w:i/>
                <w:iCs/>
              </w:rPr>
              <w:t xml:space="preserve">Lotus </w:t>
            </w:r>
            <w:proofErr w:type="spellStart"/>
            <w:r w:rsidRPr="00860424">
              <w:rPr>
                <w:i/>
                <w:iCs/>
              </w:rPr>
              <w:t>corniculatus</w:t>
            </w:r>
            <w:proofErr w:type="spellEnd"/>
            <w:r w:rsidRPr="00860424">
              <w:rPr>
                <w:iCs/>
              </w:rPr>
              <w:t xml:space="preserve"> (10.1%); </w:t>
            </w:r>
            <w:proofErr w:type="spellStart"/>
            <w:r w:rsidRPr="00860424">
              <w:rPr>
                <w:iCs/>
              </w:rPr>
              <w:t>Sp</w:t>
            </w:r>
            <w:proofErr w:type="spellEnd"/>
            <w:r w:rsidRPr="00860424">
              <w:rPr>
                <w:iCs/>
              </w:rPr>
              <w:t xml:space="preserve"> = 30</w:t>
            </w:r>
          </w:p>
        </w:tc>
      </w:tr>
      <w:tr w:rsidR="007F529E" w:rsidRPr="00860424" w14:paraId="3E36BE9E" w14:textId="77777777" w:rsidTr="00422A25">
        <w:trPr>
          <w:trHeight w:val="794"/>
        </w:trPr>
        <w:tc>
          <w:tcPr>
            <w:tcW w:w="1322" w:type="dxa"/>
            <w:vAlign w:val="center"/>
          </w:tcPr>
          <w:p w14:paraId="0F10A7CF" w14:textId="77777777" w:rsidR="007F529E" w:rsidRPr="00860424" w:rsidRDefault="007F529E" w:rsidP="00422A25">
            <w:pPr>
              <w:spacing w:line="360" w:lineRule="auto"/>
              <w:rPr>
                <w:iCs/>
              </w:rPr>
            </w:pPr>
            <w:r w:rsidRPr="00860424">
              <w:rPr>
                <w:iCs/>
              </w:rPr>
              <w:t>-N-P-L</w:t>
            </w:r>
          </w:p>
        </w:tc>
        <w:tc>
          <w:tcPr>
            <w:tcW w:w="643" w:type="dxa"/>
            <w:vAlign w:val="center"/>
          </w:tcPr>
          <w:p w14:paraId="0D027849" w14:textId="77777777" w:rsidR="007F529E" w:rsidRPr="00860424" w:rsidRDefault="007F529E" w:rsidP="00422A25">
            <w:pPr>
              <w:spacing w:line="360" w:lineRule="auto"/>
              <w:rPr>
                <w:iCs/>
              </w:rPr>
            </w:pPr>
            <w:r w:rsidRPr="00860424">
              <w:rPr>
                <w:iCs/>
              </w:rPr>
              <w:t>12</w:t>
            </w:r>
          </w:p>
        </w:tc>
        <w:tc>
          <w:tcPr>
            <w:tcW w:w="697" w:type="dxa"/>
            <w:vAlign w:val="center"/>
          </w:tcPr>
          <w:p w14:paraId="32CD31F5" w14:textId="77777777" w:rsidR="007F529E" w:rsidRPr="00860424" w:rsidRDefault="007F529E" w:rsidP="00422A25">
            <w:pPr>
              <w:spacing w:line="360" w:lineRule="auto"/>
              <w:rPr>
                <w:iCs/>
              </w:rPr>
            </w:pPr>
            <w:r w:rsidRPr="00860424">
              <w:rPr>
                <w:iCs/>
              </w:rPr>
              <w:t>d</w:t>
            </w:r>
          </w:p>
        </w:tc>
        <w:tc>
          <w:tcPr>
            <w:tcW w:w="2176" w:type="dxa"/>
            <w:vAlign w:val="center"/>
          </w:tcPr>
          <w:p w14:paraId="050248A4" w14:textId="77777777" w:rsidR="007F529E" w:rsidRPr="00860424" w:rsidRDefault="007F529E" w:rsidP="00422A25">
            <w:pPr>
              <w:spacing w:line="360" w:lineRule="auto"/>
              <w:rPr>
                <w:iCs/>
              </w:rPr>
            </w:pPr>
            <w:r w:rsidRPr="00860424">
              <w:rPr>
                <w:iCs/>
              </w:rPr>
              <w:t>-</w:t>
            </w:r>
          </w:p>
        </w:tc>
        <w:tc>
          <w:tcPr>
            <w:tcW w:w="2266" w:type="dxa"/>
            <w:vAlign w:val="center"/>
          </w:tcPr>
          <w:p w14:paraId="43A97DBD" w14:textId="77777777" w:rsidR="007F529E" w:rsidRPr="00860424" w:rsidRDefault="007F529E" w:rsidP="00422A25">
            <w:pPr>
              <w:spacing w:line="360" w:lineRule="auto"/>
              <w:rPr>
                <w:iCs/>
              </w:rPr>
            </w:pPr>
            <w:r w:rsidRPr="00860424">
              <w:rPr>
                <w:iCs/>
              </w:rPr>
              <w:t>-</w:t>
            </w:r>
          </w:p>
        </w:tc>
        <w:tc>
          <w:tcPr>
            <w:tcW w:w="991" w:type="dxa"/>
            <w:vAlign w:val="center"/>
          </w:tcPr>
          <w:p w14:paraId="5849A469" w14:textId="77777777" w:rsidR="007F529E" w:rsidRPr="00860424" w:rsidRDefault="007F529E" w:rsidP="00422A25">
            <w:pPr>
              <w:spacing w:line="360" w:lineRule="auto"/>
              <w:rPr>
                <w:iCs/>
              </w:rPr>
            </w:pPr>
            <w:r w:rsidRPr="00860424">
              <w:rPr>
                <w:iCs/>
              </w:rPr>
              <w:t>-</w:t>
            </w:r>
          </w:p>
        </w:tc>
        <w:tc>
          <w:tcPr>
            <w:tcW w:w="5934" w:type="dxa"/>
          </w:tcPr>
          <w:p w14:paraId="1C352770" w14:textId="77777777" w:rsidR="007F529E" w:rsidRPr="00860424" w:rsidRDefault="007F529E" w:rsidP="00422A25">
            <w:pPr>
              <w:spacing w:line="360" w:lineRule="auto"/>
              <w:rPr>
                <w:iCs/>
              </w:rPr>
            </w:pPr>
            <w:r w:rsidRPr="00860424">
              <w:rPr>
                <w:i/>
                <w:iCs/>
              </w:rPr>
              <w:t xml:space="preserve">Festuca </w:t>
            </w:r>
            <w:proofErr w:type="spellStart"/>
            <w:r w:rsidRPr="00860424">
              <w:rPr>
                <w:i/>
                <w:iCs/>
              </w:rPr>
              <w:t>rubra</w:t>
            </w:r>
            <w:proofErr w:type="spellEnd"/>
            <w:r w:rsidRPr="00860424">
              <w:rPr>
                <w:iCs/>
              </w:rPr>
              <w:t xml:space="preserve"> (22.0%), </w:t>
            </w:r>
            <w:r w:rsidRPr="00860424">
              <w:rPr>
                <w:i/>
                <w:iCs/>
              </w:rPr>
              <w:t xml:space="preserve">Agrostis </w:t>
            </w:r>
            <w:proofErr w:type="spellStart"/>
            <w:r w:rsidRPr="00860424">
              <w:rPr>
                <w:i/>
                <w:iCs/>
              </w:rPr>
              <w:t>capillaris</w:t>
            </w:r>
            <w:proofErr w:type="spellEnd"/>
            <w:r w:rsidRPr="00860424">
              <w:rPr>
                <w:i/>
                <w:iCs/>
              </w:rPr>
              <w:t xml:space="preserve"> </w:t>
            </w:r>
            <w:r w:rsidRPr="00860424">
              <w:rPr>
                <w:iCs/>
              </w:rPr>
              <w:t xml:space="preserve">(31.9%), </w:t>
            </w:r>
            <w:proofErr w:type="spellStart"/>
            <w:r w:rsidRPr="00860424">
              <w:rPr>
                <w:i/>
                <w:iCs/>
              </w:rPr>
              <w:t>Leontodon</w:t>
            </w:r>
            <w:proofErr w:type="spellEnd"/>
            <w:r w:rsidRPr="00860424">
              <w:rPr>
                <w:i/>
                <w:iCs/>
              </w:rPr>
              <w:t xml:space="preserve"> </w:t>
            </w:r>
            <w:proofErr w:type="spellStart"/>
            <w:r w:rsidRPr="00860424">
              <w:rPr>
                <w:i/>
                <w:iCs/>
              </w:rPr>
              <w:t>hispidus</w:t>
            </w:r>
            <w:proofErr w:type="spellEnd"/>
            <w:r w:rsidRPr="00860424">
              <w:rPr>
                <w:iCs/>
              </w:rPr>
              <w:t xml:space="preserve"> (16.0%); </w:t>
            </w:r>
            <w:proofErr w:type="spellStart"/>
            <w:r w:rsidRPr="00860424">
              <w:rPr>
                <w:iCs/>
              </w:rPr>
              <w:t>Sp</w:t>
            </w:r>
            <w:proofErr w:type="spellEnd"/>
            <w:r w:rsidRPr="00860424">
              <w:rPr>
                <w:iCs/>
              </w:rPr>
              <w:t xml:space="preserve"> = 22</w:t>
            </w:r>
          </w:p>
        </w:tc>
      </w:tr>
    </w:tbl>
    <w:p w14:paraId="5D0DDF55" w14:textId="14FAB5F9" w:rsidR="007F529E" w:rsidRPr="007F529E" w:rsidRDefault="007F529E" w:rsidP="006807C1">
      <w:pPr>
        <w:spacing w:line="360" w:lineRule="auto"/>
        <w:rPr>
          <w:b/>
          <w:bCs/>
        </w:rPr>
      </w:pPr>
      <w:proofErr w:type="spellStart"/>
      <w:r w:rsidRPr="00045057">
        <w:rPr>
          <w:iCs/>
          <w:vertAlign w:val="superscript"/>
        </w:rPr>
        <w:t>a</w:t>
      </w:r>
      <w:proofErr w:type="spellEnd"/>
      <w:r>
        <w:rPr>
          <w:iCs/>
          <w:vertAlign w:val="superscript"/>
        </w:rPr>
        <w:t xml:space="preserve"> </w:t>
      </w:r>
      <w:r>
        <w:rPr>
          <w:iCs/>
        </w:rPr>
        <w:t xml:space="preserve">This is the most recent data available for our selected treatments. A more recent survey of the “d” subplots showed that the dominant species in the d subplots in 2010-2012 are very similar as they were in 1991-2000 (Table 5 in </w:t>
      </w:r>
      <w:r>
        <w:rPr>
          <w:iCs/>
        </w:rPr>
        <w:fldChar w:fldCharType="begin" w:fldLock="1"/>
      </w:r>
      <w:r>
        <w:rPr>
          <w:iCs/>
        </w:rPr>
        <w:instrText>ADDIN CSL_CITATION {"citationItems":[{"id":"ITEM-1","itemData":{"author":[{"dropping-particle":"","family":"Rothamsted Long-term Experiments","given":"","non-dropping-particle":"","parse-names":false,"suffix":""}],"id":"ITEM-1","issued":{"date-parts":[["2018"]]},"number-of-pages":"1-58","title":"Rothamsted research: guide to the classical and other long-term experiments, datasets and sample archive","type":"report"},"uris":["http://www.mendeley.com/documents/?uuid=279bd744-6e00-4c4f-b8cd-4dde92a3f5d6"]}],"mendeley":{"formattedCitation":"&lt;sup&gt;13&lt;/sup&gt;","manualFormatting":"Rothamsted Long-term Experiments (2018)","plainTextFormattedCitation":"13","previouslyFormattedCitation":"&lt;sup&gt;13&lt;/sup&gt;"},"properties":{"noteIndex":0},"schema":"https://github.com/citation-style-language/schema/raw/master/csl-citation.json"}</w:instrText>
      </w:r>
      <w:r>
        <w:rPr>
          <w:iCs/>
        </w:rPr>
        <w:fldChar w:fldCharType="separate"/>
      </w:r>
      <w:r w:rsidRPr="00045057">
        <w:rPr>
          <w:iCs/>
          <w:noProof/>
        </w:rPr>
        <w:t xml:space="preserve">Rothamsted Long-term Experiments </w:t>
      </w:r>
      <w:r>
        <w:rPr>
          <w:iCs/>
          <w:noProof/>
        </w:rPr>
        <w:t>(</w:t>
      </w:r>
      <w:r w:rsidRPr="00045057">
        <w:rPr>
          <w:iCs/>
          <w:noProof/>
        </w:rPr>
        <w:t>2018)</w:t>
      </w:r>
      <w:r>
        <w:rPr>
          <w:iCs/>
        </w:rPr>
        <w:fldChar w:fldCharType="end"/>
      </w:r>
      <w:r>
        <w:rPr>
          <w:iCs/>
        </w:rPr>
        <w:t>)</w:t>
      </w:r>
      <w:r w:rsidR="006807C1">
        <w:rPr>
          <w:iCs/>
        </w:rPr>
        <w:t>.</w:t>
      </w:r>
      <w:bookmarkEnd w:id="0"/>
    </w:p>
    <w:sectPr w:rsidR="007F529E" w:rsidRPr="007F529E" w:rsidSect="00804743">
      <w:pgSz w:w="16838" w:h="11906" w:orient="landscape"/>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FC681" w14:textId="77777777" w:rsidR="00583CAD" w:rsidRDefault="00583CAD" w:rsidP="00CB121A">
      <w:pPr>
        <w:spacing w:after="0" w:line="240" w:lineRule="auto"/>
      </w:pPr>
      <w:r>
        <w:separator/>
      </w:r>
    </w:p>
  </w:endnote>
  <w:endnote w:type="continuationSeparator" w:id="0">
    <w:p w14:paraId="5D896B0D" w14:textId="77777777" w:rsidR="00583CAD" w:rsidRDefault="00583CAD" w:rsidP="00CB1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917758"/>
      <w:docPartObj>
        <w:docPartGallery w:val="Page Numbers (Bottom of Page)"/>
        <w:docPartUnique/>
      </w:docPartObj>
    </w:sdtPr>
    <w:sdtEndPr>
      <w:rPr>
        <w:noProof/>
      </w:rPr>
    </w:sdtEndPr>
    <w:sdtContent>
      <w:p w14:paraId="73675056" w14:textId="4E740818" w:rsidR="005006FC" w:rsidRDefault="005006FC">
        <w:pPr>
          <w:pStyle w:val="Footer"/>
          <w:jc w:val="right"/>
        </w:pPr>
        <w:r>
          <w:fldChar w:fldCharType="begin"/>
        </w:r>
        <w:r>
          <w:instrText xml:space="preserve"> PAGE   \* MERGEFORMAT </w:instrText>
        </w:r>
        <w:r>
          <w:fldChar w:fldCharType="separate"/>
        </w:r>
        <w:r>
          <w:rPr>
            <w:noProof/>
          </w:rPr>
          <w:t>24</w:t>
        </w:r>
        <w:r>
          <w:rPr>
            <w:noProof/>
          </w:rPr>
          <w:fldChar w:fldCharType="end"/>
        </w:r>
      </w:p>
    </w:sdtContent>
  </w:sdt>
  <w:p w14:paraId="5D81DD9A" w14:textId="77777777" w:rsidR="005006FC" w:rsidRDefault="00500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5B2DB" w14:textId="77777777" w:rsidR="00583CAD" w:rsidRDefault="00583CAD" w:rsidP="00CB121A">
      <w:pPr>
        <w:spacing w:after="0" w:line="240" w:lineRule="auto"/>
      </w:pPr>
      <w:r>
        <w:separator/>
      </w:r>
    </w:p>
  </w:footnote>
  <w:footnote w:type="continuationSeparator" w:id="0">
    <w:p w14:paraId="50D79E8E" w14:textId="77777777" w:rsidR="00583CAD" w:rsidRDefault="00583CAD" w:rsidP="00CB1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2433A"/>
    <w:multiLevelType w:val="hybridMultilevel"/>
    <w:tmpl w:val="A34409EE"/>
    <w:lvl w:ilvl="0" w:tplc="B3D0CE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1FC0A4A"/>
    <w:multiLevelType w:val="hybridMultilevel"/>
    <w:tmpl w:val="AF443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606A05"/>
    <w:multiLevelType w:val="hybridMultilevel"/>
    <w:tmpl w:val="D5B2C732"/>
    <w:lvl w:ilvl="0" w:tplc="391661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EF87884"/>
    <w:multiLevelType w:val="hybridMultilevel"/>
    <w:tmpl w:val="EDBCD8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33086B"/>
    <w:multiLevelType w:val="hybridMultilevel"/>
    <w:tmpl w:val="365AAB22"/>
    <w:lvl w:ilvl="0" w:tplc="F17249D8">
      <w:start w:val="2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CA7207"/>
    <w:multiLevelType w:val="hybridMultilevel"/>
    <w:tmpl w:val="685E8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DC1A9A"/>
    <w:multiLevelType w:val="hybridMultilevel"/>
    <w:tmpl w:val="19DC6C54"/>
    <w:lvl w:ilvl="0" w:tplc="B1CC5D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DA04176"/>
    <w:multiLevelType w:val="hybridMultilevel"/>
    <w:tmpl w:val="32DA41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5B6720"/>
    <w:multiLevelType w:val="hybridMultilevel"/>
    <w:tmpl w:val="260AB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4821BF"/>
    <w:multiLevelType w:val="hybridMultilevel"/>
    <w:tmpl w:val="4AB09C74"/>
    <w:lvl w:ilvl="0" w:tplc="140A33D8">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6"/>
  </w:num>
  <w:num w:numId="7">
    <w:abstractNumId w:val="7"/>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M3NTM2MrO0NDY0NTZT0lEKTi0uzszPAykwM64FANZyqo0tAAAA"/>
    <w:docVar w:name="EN.InstantFormat" w:val="&lt;ENInstantFormat&gt;&lt;Enabled&gt;1&lt;/Enabled&gt;&lt;ScanUnformatted&gt;1&lt;/ScanUnformatted&gt;&lt;ScanChanges&gt;1&lt;/ScanChanges&gt;&lt;Suspended&gt;0&lt;/Suspended&gt;&lt;/ENInstantFormat&gt;"/>
    <w:docVar w:name="EN.Layout" w:val="&lt;ENLayout&gt;&lt;Style&gt;Soil Biology Biochemistr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p5tpwd9t7vdr0je05eevsvtft9xfpsxtf0pa&quot;&gt;LibraryVerena&lt;record-ids&gt;&lt;item&gt;6&lt;/item&gt;&lt;item&gt;27&lt;/item&gt;&lt;item&gt;32&lt;/item&gt;&lt;item&gt;77&lt;/item&gt;&lt;item&gt;107&lt;/item&gt;&lt;item&gt;134&lt;/item&gt;&lt;item&gt;206&lt;/item&gt;&lt;item&gt;221&lt;/item&gt;&lt;item&gt;261&lt;/item&gt;&lt;item&gt;404&lt;/item&gt;&lt;item&gt;421&lt;/item&gt;&lt;item&gt;533&lt;/item&gt;&lt;item&gt;541&lt;/item&gt;&lt;item&gt;599&lt;/item&gt;&lt;item&gt;628&lt;/item&gt;&lt;item&gt;630&lt;/item&gt;&lt;item&gt;637&lt;/item&gt;&lt;item&gt;717&lt;/item&gt;&lt;item&gt;1136&lt;/item&gt;&lt;item&gt;1185&lt;/item&gt;&lt;item&gt;1230&lt;/item&gt;&lt;item&gt;1374&lt;/item&gt;&lt;item&gt;1470&lt;/item&gt;&lt;item&gt;1488&lt;/item&gt;&lt;item&gt;1490&lt;/item&gt;&lt;item&gt;1497&lt;/item&gt;&lt;item&gt;1511&lt;/item&gt;&lt;item&gt;2215&lt;/item&gt;&lt;item&gt;2245&lt;/item&gt;&lt;item&gt;2248&lt;/item&gt;&lt;item&gt;2343&lt;/item&gt;&lt;item&gt;2344&lt;/item&gt;&lt;item&gt;2352&lt;/item&gt;&lt;item&gt;2422&lt;/item&gt;&lt;item&gt;2468&lt;/item&gt;&lt;item&gt;2496&lt;/item&gt;&lt;item&gt;2556&lt;/item&gt;&lt;item&gt;2561&lt;/item&gt;&lt;item&gt;2601&lt;/item&gt;&lt;item&gt;2609&lt;/item&gt;&lt;item&gt;2630&lt;/item&gt;&lt;item&gt;2631&lt;/item&gt;&lt;item&gt;2632&lt;/item&gt;&lt;item&gt;2633&lt;/item&gt;&lt;item&gt;2634&lt;/item&gt;&lt;item&gt;2635&lt;/item&gt;&lt;item&gt;2637&lt;/item&gt;&lt;item&gt;2638&lt;/item&gt;&lt;item&gt;2639&lt;/item&gt;&lt;item&gt;2641&lt;/item&gt;&lt;item&gt;2642&lt;/item&gt;&lt;item&gt;2643&lt;/item&gt;&lt;item&gt;2644&lt;/item&gt;&lt;item&gt;2658&lt;/item&gt;&lt;item&gt;2659&lt;/item&gt;&lt;/record-ids&gt;&lt;/item&gt;&lt;/Libraries&gt;"/>
  </w:docVars>
  <w:rsids>
    <w:rsidRoot w:val="00280B2C"/>
    <w:rsid w:val="0000085F"/>
    <w:rsid w:val="00000FBA"/>
    <w:rsid w:val="00001A27"/>
    <w:rsid w:val="00003218"/>
    <w:rsid w:val="00006973"/>
    <w:rsid w:val="00010FB3"/>
    <w:rsid w:val="00013176"/>
    <w:rsid w:val="0001710D"/>
    <w:rsid w:val="00020755"/>
    <w:rsid w:val="000218AC"/>
    <w:rsid w:val="00022A25"/>
    <w:rsid w:val="000243A6"/>
    <w:rsid w:val="00024F9E"/>
    <w:rsid w:val="000251C0"/>
    <w:rsid w:val="0002798F"/>
    <w:rsid w:val="000335ED"/>
    <w:rsid w:val="00033850"/>
    <w:rsid w:val="000341C8"/>
    <w:rsid w:val="00035263"/>
    <w:rsid w:val="00036EEA"/>
    <w:rsid w:val="00037F98"/>
    <w:rsid w:val="00041866"/>
    <w:rsid w:val="00043F5E"/>
    <w:rsid w:val="00045057"/>
    <w:rsid w:val="000472FB"/>
    <w:rsid w:val="00050A5E"/>
    <w:rsid w:val="00051D58"/>
    <w:rsid w:val="00052DD7"/>
    <w:rsid w:val="000532B9"/>
    <w:rsid w:val="00055537"/>
    <w:rsid w:val="00055C8D"/>
    <w:rsid w:val="00056696"/>
    <w:rsid w:val="00056A80"/>
    <w:rsid w:val="00060C6B"/>
    <w:rsid w:val="0006345C"/>
    <w:rsid w:val="0006407D"/>
    <w:rsid w:val="00065F30"/>
    <w:rsid w:val="00066066"/>
    <w:rsid w:val="000667BE"/>
    <w:rsid w:val="00067AB1"/>
    <w:rsid w:val="000719B7"/>
    <w:rsid w:val="000731F7"/>
    <w:rsid w:val="00074B0A"/>
    <w:rsid w:val="00076D58"/>
    <w:rsid w:val="000771B5"/>
    <w:rsid w:val="00077599"/>
    <w:rsid w:val="00081664"/>
    <w:rsid w:val="00081A7B"/>
    <w:rsid w:val="00083A49"/>
    <w:rsid w:val="000847CF"/>
    <w:rsid w:val="0008733B"/>
    <w:rsid w:val="00087521"/>
    <w:rsid w:val="00090F8A"/>
    <w:rsid w:val="00091A62"/>
    <w:rsid w:val="00093804"/>
    <w:rsid w:val="00094619"/>
    <w:rsid w:val="0009558B"/>
    <w:rsid w:val="00095635"/>
    <w:rsid w:val="000958F2"/>
    <w:rsid w:val="0009764F"/>
    <w:rsid w:val="000A0CC4"/>
    <w:rsid w:val="000A1B5B"/>
    <w:rsid w:val="000A1E50"/>
    <w:rsid w:val="000A2024"/>
    <w:rsid w:val="000A2268"/>
    <w:rsid w:val="000A369C"/>
    <w:rsid w:val="000A4322"/>
    <w:rsid w:val="000A510B"/>
    <w:rsid w:val="000A51CE"/>
    <w:rsid w:val="000A582C"/>
    <w:rsid w:val="000A5EF8"/>
    <w:rsid w:val="000A63F0"/>
    <w:rsid w:val="000A6EC6"/>
    <w:rsid w:val="000A7442"/>
    <w:rsid w:val="000B5F08"/>
    <w:rsid w:val="000B6168"/>
    <w:rsid w:val="000B7E28"/>
    <w:rsid w:val="000C0C65"/>
    <w:rsid w:val="000C31D7"/>
    <w:rsid w:val="000C47EB"/>
    <w:rsid w:val="000C521F"/>
    <w:rsid w:val="000C7F40"/>
    <w:rsid w:val="000D0EE3"/>
    <w:rsid w:val="000D282B"/>
    <w:rsid w:val="000D3A53"/>
    <w:rsid w:val="000D49C3"/>
    <w:rsid w:val="000D5EF6"/>
    <w:rsid w:val="000D786C"/>
    <w:rsid w:val="000E000C"/>
    <w:rsid w:val="000E1EF9"/>
    <w:rsid w:val="000E2656"/>
    <w:rsid w:val="000E38BA"/>
    <w:rsid w:val="000E6C58"/>
    <w:rsid w:val="000F0E72"/>
    <w:rsid w:val="000F21CA"/>
    <w:rsid w:val="000F38EF"/>
    <w:rsid w:val="000F6C7F"/>
    <w:rsid w:val="001017BA"/>
    <w:rsid w:val="00104E0E"/>
    <w:rsid w:val="0010679B"/>
    <w:rsid w:val="001107FC"/>
    <w:rsid w:val="001120F5"/>
    <w:rsid w:val="00112A21"/>
    <w:rsid w:val="0011556A"/>
    <w:rsid w:val="00117F58"/>
    <w:rsid w:val="001211D5"/>
    <w:rsid w:val="00121572"/>
    <w:rsid w:val="00122C3B"/>
    <w:rsid w:val="001233BF"/>
    <w:rsid w:val="0012483C"/>
    <w:rsid w:val="00124F93"/>
    <w:rsid w:val="00127665"/>
    <w:rsid w:val="00130836"/>
    <w:rsid w:val="001314FC"/>
    <w:rsid w:val="00131739"/>
    <w:rsid w:val="00132AA3"/>
    <w:rsid w:val="00133F16"/>
    <w:rsid w:val="00134AFE"/>
    <w:rsid w:val="0013649C"/>
    <w:rsid w:val="00137652"/>
    <w:rsid w:val="00147228"/>
    <w:rsid w:val="00147ACC"/>
    <w:rsid w:val="00150B3D"/>
    <w:rsid w:val="001518FA"/>
    <w:rsid w:val="00152F9E"/>
    <w:rsid w:val="001536F6"/>
    <w:rsid w:val="00154BAF"/>
    <w:rsid w:val="00156D38"/>
    <w:rsid w:val="00156E2F"/>
    <w:rsid w:val="0016036F"/>
    <w:rsid w:val="00161070"/>
    <w:rsid w:val="001617FA"/>
    <w:rsid w:val="00161B51"/>
    <w:rsid w:val="001642AA"/>
    <w:rsid w:val="001757E7"/>
    <w:rsid w:val="00176147"/>
    <w:rsid w:val="001774BB"/>
    <w:rsid w:val="001805AF"/>
    <w:rsid w:val="001815E2"/>
    <w:rsid w:val="00181A1A"/>
    <w:rsid w:val="001829B7"/>
    <w:rsid w:val="00182BF7"/>
    <w:rsid w:val="0018413F"/>
    <w:rsid w:val="00184EF3"/>
    <w:rsid w:val="00192996"/>
    <w:rsid w:val="00193377"/>
    <w:rsid w:val="0019545D"/>
    <w:rsid w:val="001965E5"/>
    <w:rsid w:val="0019722C"/>
    <w:rsid w:val="001A0AF4"/>
    <w:rsid w:val="001A16DC"/>
    <w:rsid w:val="001A1922"/>
    <w:rsid w:val="001A3502"/>
    <w:rsid w:val="001A3F53"/>
    <w:rsid w:val="001A6926"/>
    <w:rsid w:val="001A6A89"/>
    <w:rsid w:val="001B1A55"/>
    <w:rsid w:val="001B1E6E"/>
    <w:rsid w:val="001B53C8"/>
    <w:rsid w:val="001B5A43"/>
    <w:rsid w:val="001B5E53"/>
    <w:rsid w:val="001B6350"/>
    <w:rsid w:val="001C0627"/>
    <w:rsid w:val="001C0D49"/>
    <w:rsid w:val="001C16C4"/>
    <w:rsid w:val="001C6282"/>
    <w:rsid w:val="001C63A7"/>
    <w:rsid w:val="001D0F9A"/>
    <w:rsid w:val="001D2A36"/>
    <w:rsid w:val="001D38AB"/>
    <w:rsid w:val="001D441C"/>
    <w:rsid w:val="001D5D97"/>
    <w:rsid w:val="001D6426"/>
    <w:rsid w:val="001D6CB6"/>
    <w:rsid w:val="001E0278"/>
    <w:rsid w:val="001E0453"/>
    <w:rsid w:val="001E6BA9"/>
    <w:rsid w:val="001E72A3"/>
    <w:rsid w:val="001E739F"/>
    <w:rsid w:val="001F2C8C"/>
    <w:rsid w:val="001F390D"/>
    <w:rsid w:val="001F424B"/>
    <w:rsid w:val="001F4CF0"/>
    <w:rsid w:val="001F5652"/>
    <w:rsid w:val="001F6353"/>
    <w:rsid w:val="001F6752"/>
    <w:rsid w:val="00201998"/>
    <w:rsid w:val="002019FD"/>
    <w:rsid w:val="00202345"/>
    <w:rsid w:val="00204060"/>
    <w:rsid w:val="0020455D"/>
    <w:rsid w:val="002048BC"/>
    <w:rsid w:val="002052E5"/>
    <w:rsid w:val="0020684A"/>
    <w:rsid w:val="0021236E"/>
    <w:rsid w:val="0021423B"/>
    <w:rsid w:val="00215C81"/>
    <w:rsid w:val="00215CE8"/>
    <w:rsid w:val="00216C1C"/>
    <w:rsid w:val="00221E41"/>
    <w:rsid w:val="002244DC"/>
    <w:rsid w:val="00225126"/>
    <w:rsid w:val="00225A9D"/>
    <w:rsid w:val="00225B8F"/>
    <w:rsid w:val="00230A16"/>
    <w:rsid w:val="00230F5D"/>
    <w:rsid w:val="00232FBA"/>
    <w:rsid w:val="00233606"/>
    <w:rsid w:val="00233AB5"/>
    <w:rsid w:val="00233E54"/>
    <w:rsid w:val="00235412"/>
    <w:rsid w:val="00236E65"/>
    <w:rsid w:val="0023728B"/>
    <w:rsid w:val="0023729B"/>
    <w:rsid w:val="002373B0"/>
    <w:rsid w:val="0023772C"/>
    <w:rsid w:val="00241C60"/>
    <w:rsid w:val="002424A0"/>
    <w:rsid w:val="00243C7F"/>
    <w:rsid w:val="00244C66"/>
    <w:rsid w:val="00250342"/>
    <w:rsid w:val="0025054A"/>
    <w:rsid w:val="00253081"/>
    <w:rsid w:val="00253351"/>
    <w:rsid w:val="00253ACE"/>
    <w:rsid w:val="00254861"/>
    <w:rsid w:val="00254BC5"/>
    <w:rsid w:val="00254C03"/>
    <w:rsid w:val="00256093"/>
    <w:rsid w:val="00256D66"/>
    <w:rsid w:val="00263389"/>
    <w:rsid w:val="002648BD"/>
    <w:rsid w:val="0026533F"/>
    <w:rsid w:val="00266B1E"/>
    <w:rsid w:val="00272B2B"/>
    <w:rsid w:val="00273DE7"/>
    <w:rsid w:val="00274560"/>
    <w:rsid w:val="00275159"/>
    <w:rsid w:val="00275C85"/>
    <w:rsid w:val="00276385"/>
    <w:rsid w:val="00276516"/>
    <w:rsid w:val="00280B2C"/>
    <w:rsid w:val="00281392"/>
    <w:rsid w:val="00283153"/>
    <w:rsid w:val="0028476C"/>
    <w:rsid w:val="00284862"/>
    <w:rsid w:val="00290434"/>
    <w:rsid w:val="00294039"/>
    <w:rsid w:val="0029544A"/>
    <w:rsid w:val="00295797"/>
    <w:rsid w:val="00295B35"/>
    <w:rsid w:val="002A36EB"/>
    <w:rsid w:val="002A4250"/>
    <w:rsid w:val="002A522D"/>
    <w:rsid w:val="002B1B78"/>
    <w:rsid w:val="002B421C"/>
    <w:rsid w:val="002B4251"/>
    <w:rsid w:val="002B4E99"/>
    <w:rsid w:val="002C455C"/>
    <w:rsid w:val="002C4A93"/>
    <w:rsid w:val="002C6298"/>
    <w:rsid w:val="002C6D88"/>
    <w:rsid w:val="002C6DA3"/>
    <w:rsid w:val="002C7BF7"/>
    <w:rsid w:val="002D1AB2"/>
    <w:rsid w:val="002D1ADD"/>
    <w:rsid w:val="002D21B8"/>
    <w:rsid w:val="002D36E8"/>
    <w:rsid w:val="002D3F42"/>
    <w:rsid w:val="002D3F73"/>
    <w:rsid w:val="002D7843"/>
    <w:rsid w:val="002E0A14"/>
    <w:rsid w:val="002E2406"/>
    <w:rsid w:val="002E35FB"/>
    <w:rsid w:val="002E4DEE"/>
    <w:rsid w:val="002E5A59"/>
    <w:rsid w:val="002E7316"/>
    <w:rsid w:val="002E769F"/>
    <w:rsid w:val="002F026C"/>
    <w:rsid w:val="002F1562"/>
    <w:rsid w:val="002F1675"/>
    <w:rsid w:val="002F180F"/>
    <w:rsid w:val="002F36D9"/>
    <w:rsid w:val="002F41F7"/>
    <w:rsid w:val="002F450B"/>
    <w:rsid w:val="002F4ABF"/>
    <w:rsid w:val="002F517B"/>
    <w:rsid w:val="002F5F5C"/>
    <w:rsid w:val="002F63A0"/>
    <w:rsid w:val="002F76AB"/>
    <w:rsid w:val="00301CFA"/>
    <w:rsid w:val="00301EBD"/>
    <w:rsid w:val="00302BC2"/>
    <w:rsid w:val="00302C28"/>
    <w:rsid w:val="00302C30"/>
    <w:rsid w:val="003033DD"/>
    <w:rsid w:val="003053A0"/>
    <w:rsid w:val="003053BE"/>
    <w:rsid w:val="00305ECF"/>
    <w:rsid w:val="00306441"/>
    <w:rsid w:val="00307D3C"/>
    <w:rsid w:val="00311CDA"/>
    <w:rsid w:val="00313945"/>
    <w:rsid w:val="00313E8A"/>
    <w:rsid w:val="00314F49"/>
    <w:rsid w:val="003176E1"/>
    <w:rsid w:val="00317E9D"/>
    <w:rsid w:val="00320A9A"/>
    <w:rsid w:val="00321326"/>
    <w:rsid w:val="00321630"/>
    <w:rsid w:val="003226BD"/>
    <w:rsid w:val="003240DF"/>
    <w:rsid w:val="00324760"/>
    <w:rsid w:val="0032553A"/>
    <w:rsid w:val="0032666D"/>
    <w:rsid w:val="00327A4F"/>
    <w:rsid w:val="00330184"/>
    <w:rsid w:val="00330ADA"/>
    <w:rsid w:val="00331593"/>
    <w:rsid w:val="0033179B"/>
    <w:rsid w:val="00331CA9"/>
    <w:rsid w:val="00331CB4"/>
    <w:rsid w:val="0033273A"/>
    <w:rsid w:val="00333774"/>
    <w:rsid w:val="00334CE0"/>
    <w:rsid w:val="00334DCB"/>
    <w:rsid w:val="00336989"/>
    <w:rsid w:val="00340A4B"/>
    <w:rsid w:val="00340AF0"/>
    <w:rsid w:val="003415F0"/>
    <w:rsid w:val="00342C73"/>
    <w:rsid w:val="00344953"/>
    <w:rsid w:val="0034528B"/>
    <w:rsid w:val="003459B1"/>
    <w:rsid w:val="00347BFD"/>
    <w:rsid w:val="00351D5A"/>
    <w:rsid w:val="00353645"/>
    <w:rsid w:val="00355178"/>
    <w:rsid w:val="003564B8"/>
    <w:rsid w:val="00356F39"/>
    <w:rsid w:val="0035725E"/>
    <w:rsid w:val="00357FF5"/>
    <w:rsid w:val="00360130"/>
    <w:rsid w:val="0036083C"/>
    <w:rsid w:val="003614B7"/>
    <w:rsid w:val="00363DA7"/>
    <w:rsid w:val="00364190"/>
    <w:rsid w:val="00366810"/>
    <w:rsid w:val="00371EC5"/>
    <w:rsid w:val="00372C0E"/>
    <w:rsid w:val="00375AD6"/>
    <w:rsid w:val="00375E93"/>
    <w:rsid w:val="00376C6B"/>
    <w:rsid w:val="003815DA"/>
    <w:rsid w:val="00383D4E"/>
    <w:rsid w:val="003849E3"/>
    <w:rsid w:val="0038635D"/>
    <w:rsid w:val="003865D0"/>
    <w:rsid w:val="00386651"/>
    <w:rsid w:val="003879D4"/>
    <w:rsid w:val="00387CD6"/>
    <w:rsid w:val="003923FE"/>
    <w:rsid w:val="00393F8E"/>
    <w:rsid w:val="00393FE9"/>
    <w:rsid w:val="00396025"/>
    <w:rsid w:val="00396623"/>
    <w:rsid w:val="003A0485"/>
    <w:rsid w:val="003A22CC"/>
    <w:rsid w:val="003A3BAF"/>
    <w:rsid w:val="003A5040"/>
    <w:rsid w:val="003A5FAC"/>
    <w:rsid w:val="003A68BF"/>
    <w:rsid w:val="003A7FEB"/>
    <w:rsid w:val="003B10FF"/>
    <w:rsid w:val="003B1D5A"/>
    <w:rsid w:val="003B23D5"/>
    <w:rsid w:val="003B30BA"/>
    <w:rsid w:val="003B3BCB"/>
    <w:rsid w:val="003B490B"/>
    <w:rsid w:val="003B6B95"/>
    <w:rsid w:val="003B6FB0"/>
    <w:rsid w:val="003B77AB"/>
    <w:rsid w:val="003C04CC"/>
    <w:rsid w:val="003C05FB"/>
    <w:rsid w:val="003C1710"/>
    <w:rsid w:val="003C4F64"/>
    <w:rsid w:val="003D16AD"/>
    <w:rsid w:val="003D1845"/>
    <w:rsid w:val="003D270B"/>
    <w:rsid w:val="003D2832"/>
    <w:rsid w:val="003E05E5"/>
    <w:rsid w:val="003E1334"/>
    <w:rsid w:val="003E44C4"/>
    <w:rsid w:val="003E4563"/>
    <w:rsid w:val="003F0C79"/>
    <w:rsid w:val="003F20BF"/>
    <w:rsid w:val="003F3A89"/>
    <w:rsid w:val="003F6D18"/>
    <w:rsid w:val="003F744D"/>
    <w:rsid w:val="00402626"/>
    <w:rsid w:val="00404270"/>
    <w:rsid w:val="00410E7F"/>
    <w:rsid w:val="00412902"/>
    <w:rsid w:val="00414242"/>
    <w:rsid w:val="004146B5"/>
    <w:rsid w:val="00416599"/>
    <w:rsid w:val="00416C49"/>
    <w:rsid w:val="0041712C"/>
    <w:rsid w:val="004172EA"/>
    <w:rsid w:val="004175DE"/>
    <w:rsid w:val="00420AD2"/>
    <w:rsid w:val="00420D86"/>
    <w:rsid w:val="00421081"/>
    <w:rsid w:val="00421416"/>
    <w:rsid w:val="00422553"/>
    <w:rsid w:val="00422A25"/>
    <w:rsid w:val="0042347A"/>
    <w:rsid w:val="00423508"/>
    <w:rsid w:val="00423882"/>
    <w:rsid w:val="004250B2"/>
    <w:rsid w:val="00425A7A"/>
    <w:rsid w:val="0042788F"/>
    <w:rsid w:val="00427F52"/>
    <w:rsid w:val="00427F8E"/>
    <w:rsid w:val="00431453"/>
    <w:rsid w:val="00431B83"/>
    <w:rsid w:val="00434658"/>
    <w:rsid w:val="004355F6"/>
    <w:rsid w:val="004356DB"/>
    <w:rsid w:val="00437421"/>
    <w:rsid w:val="0043768C"/>
    <w:rsid w:val="00440DE1"/>
    <w:rsid w:val="004444BB"/>
    <w:rsid w:val="00447551"/>
    <w:rsid w:val="00451AAE"/>
    <w:rsid w:val="00452C2C"/>
    <w:rsid w:val="00455F61"/>
    <w:rsid w:val="00456192"/>
    <w:rsid w:val="00456951"/>
    <w:rsid w:val="00461052"/>
    <w:rsid w:val="004618AD"/>
    <w:rsid w:val="00462A96"/>
    <w:rsid w:val="0046705E"/>
    <w:rsid w:val="004700A2"/>
    <w:rsid w:val="00474ED7"/>
    <w:rsid w:val="00476D63"/>
    <w:rsid w:val="00477169"/>
    <w:rsid w:val="0048042C"/>
    <w:rsid w:val="00480F58"/>
    <w:rsid w:val="0048217D"/>
    <w:rsid w:val="00483FA6"/>
    <w:rsid w:val="00484269"/>
    <w:rsid w:val="00484EA5"/>
    <w:rsid w:val="00486D97"/>
    <w:rsid w:val="004872B3"/>
    <w:rsid w:val="004875CB"/>
    <w:rsid w:val="00491E60"/>
    <w:rsid w:val="0049216D"/>
    <w:rsid w:val="00492F52"/>
    <w:rsid w:val="004931DD"/>
    <w:rsid w:val="004947E0"/>
    <w:rsid w:val="00497809"/>
    <w:rsid w:val="004A0F79"/>
    <w:rsid w:val="004A1306"/>
    <w:rsid w:val="004A1F75"/>
    <w:rsid w:val="004A335F"/>
    <w:rsid w:val="004A3527"/>
    <w:rsid w:val="004A6827"/>
    <w:rsid w:val="004A7B11"/>
    <w:rsid w:val="004B5825"/>
    <w:rsid w:val="004B608F"/>
    <w:rsid w:val="004B7014"/>
    <w:rsid w:val="004C0943"/>
    <w:rsid w:val="004C2281"/>
    <w:rsid w:val="004C27EB"/>
    <w:rsid w:val="004C4BC0"/>
    <w:rsid w:val="004C60D2"/>
    <w:rsid w:val="004C6AF8"/>
    <w:rsid w:val="004D06F1"/>
    <w:rsid w:val="004D09B3"/>
    <w:rsid w:val="004D0A56"/>
    <w:rsid w:val="004D19C5"/>
    <w:rsid w:val="004D3D82"/>
    <w:rsid w:val="004D4657"/>
    <w:rsid w:val="004D514A"/>
    <w:rsid w:val="004D60C4"/>
    <w:rsid w:val="004D653E"/>
    <w:rsid w:val="004D7340"/>
    <w:rsid w:val="004E0A8E"/>
    <w:rsid w:val="004E0DC6"/>
    <w:rsid w:val="004E21B6"/>
    <w:rsid w:val="004E2CC1"/>
    <w:rsid w:val="004E38B7"/>
    <w:rsid w:val="004E62DD"/>
    <w:rsid w:val="004F09E0"/>
    <w:rsid w:val="004F18DA"/>
    <w:rsid w:val="004F477D"/>
    <w:rsid w:val="004F5758"/>
    <w:rsid w:val="004F62E0"/>
    <w:rsid w:val="004F7715"/>
    <w:rsid w:val="004F7DED"/>
    <w:rsid w:val="005006FC"/>
    <w:rsid w:val="00502417"/>
    <w:rsid w:val="005040E6"/>
    <w:rsid w:val="005042B9"/>
    <w:rsid w:val="00504825"/>
    <w:rsid w:val="00506438"/>
    <w:rsid w:val="0050718F"/>
    <w:rsid w:val="0050776B"/>
    <w:rsid w:val="00510D1F"/>
    <w:rsid w:val="00510E5F"/>
    <w:rsid w:val="0051179E"/>
    <w:rsid w:val="00511DB4"/>
    <w:rsid w:val="0051360D"/>
    <w:rsid w:val="00513C9C"/>
    <w:rsid w:val="00513FFB"/>
    <w:rsid w:val="00514DF6"/>
    <w:rsid w:val="00514FE3"/>
    <w:rsid w:val="005154EE"/>
    <w:rsid w:val="0051555D"/>
    <w:rsid w:val="005171E4"/>
    <w:rsid w:val="00520863"/>
    <w:rsid w:val="005220E9"/>
    <w:rsid w:val="005224D9"/>
    <w:rsid w:val="00523030"/>
    <w:rsid w:val="0052305C"/>
    <w:rsid w:val="0052421D"/>
    <w:rsid w:val="005320FA"/>
    <w:rsid w:val="00533E12"/>
    <w:rsid w:val="00536613"/>
    <w:rsid w:val="00536789"/>
    <w:rsid w:val="00536C50"/>
    <w:rsid w:val="00540D66"/>
    <w:rsid w:val="00543B55"/>
    <w:rsid w:val="00543F76"/>
    <w:rsid w:val="00544362"/>
    <w:rsid w:val="00546ABF"/>
    <w:rsid w:val="0054735B"/>
    <w:rsid w:val="00547AF8"/>
    <w:rsid w:val="00550846"/>
    <w:rsid w:val="00550AE1"/>
    <w:rsid w:val="005520A9"/>
    <w:rsid w:val="00552D49"/>
    <w:rsid w:val="00555774"/>
    <w:rsid w:val="00555F59"/>
    <w:rsid w:val="00556B35"/>
    <w:rsid w:val="0055741D"/>
    <w:rsid w:val="00562D20"/>
    <w:rsid w:val="00563157"/>
    <w:rsid w:val="00563D64"/>
    <w:rsid w:val="00564353"/>
    <w:rsid w:val="0056495C"/>
    <w:rsid w:val="00565F8C"/>
    <w:rsid w:val="00570785"/>
    <w:rsid w:val="00576978"/>
    <w:rsid w:val="00577769"/>
    <w:rsid w:val="005800AD"/>
    <w:rsid w:val="00580748"/>
    <w:rsid w:val="00580859"/>
    <w:rsid w:val="005815B1"/>
    <w:rsid w:val="00583CAD"/>
    <w:rsid w:val="0058456D"/>
    <w:rsid w:val="00584FB7"/>
    <w:rsid w:val="0058594F"/>
    <w:rsid w:val="00587141"/>
    <w:rsid w:val="00587959"/>
    <w:rsid w:val="00587A3D"/>
    <w:rsid w:val="00590277"/>
    <w:rsid w:val="00591ECA"/>
    <w:rsid w:val="00595507"/>
    <w:rsid w:val="00596A82"/>
    <w:rsid w:val="00596E9A"/>
    <w:rsid w:val="005A1564"/>
    <w:rsid w:val="005A2622"/>
    <w:rsid w:val="005A2B8A"/>
    <w:rsid w:val="005A3801"/>
    <w:rsid w:val="005A3878"/>
    <w:rsid w:val="005A48C6"/>
    <w:rsid w:val="005A6194"/>
    <w:rsid w:val="005A6784"/>
    <w:rsid w:val="005A7E4F"/>
    <w:rsid w:val="005B0A93"/>
    <w:rsid w:val="005B2444"/>
    <w:rsid w:val="005B25D8"/>
    <w:rsid w:val="005B3E7D"/>
    <w:rsid w:val="005B5A33"/>
    <w:rsid w:val="005B70B8"/>
    <w:rsid w:val="005B7A3E"/>
    <w:rsid w:val="005C1510"/>
    <w:rsid w:val="005C23D7"/>
    <w:rsid w:val="005C25CB"/>
    <w:rsid w:val="005C3BD9"/>
    <w:rsid w:val="005C5A91"/>
    <w:rsid w:val="005C7549"/>
    <w:rsid w:val="005D13C3"/>
    <w:rsid w:val="005D2B96"/>
    <w:rsid w:val="005D3C4A"/>
    <w:rsid w:val="005D4031"/>
    <w:rsid w:val="005D5EDF"/>
    <w:rsid w:val="005D7F28"/>
    <w:rsid w:val="005E02A9"/>
    <w:rsid w:val="005E3DDB"/>
    <w:rsid w:val="005E4D8F"/>
    <w:rsid w:val="005E6F7A"/>
    <w:rsid w:val="005E70C6"/>
    <w:rsid w:val="005F15DA"/>
    <w:rsid w:val="005F2434"/>
    <w:rsid w:val="005F2581"/>
    <w:rsid w:val="005F353F"/>
    <w:rsid w:val="005F4381"/>
    <w:rsid w:val="005F6042"/>
    <w:rsid w:val="005F6BFB"/>
    <w:rsid w:val="005F7460"/>
    <w:rsid w:val="00600549"/>
    <w:rsid w:val="00600B31"/>
    <w:rsid w:val="0060263D"/>
    <w:rsid w:val="0060279E"/>
    <w:rsid w:val="00604324"/>
    <w:rsid w:val="00605413"/>
    <w:rsid w:val="006057CC"/>
    <w:rsid w:val="00606BBB"/>
    <w:rsid w:val="0060759A"/>
    <w:rsid w:val="00607DC4"/>
    <w:rsid w:val="0061123C"/>
    <w:rsid w:val="006117A0"/>
    <w:rsid w:val="00611E7C"/>
    <w:rsid w:val="00612594"/>
    <w:rsid w:val="00612B9A"/>
    <w:rsid w:val="00615257"/>
    <w:rsid w:val="0061539C"/>
    <w:rsid w:val="00616BEA"/>
    <w:rsid w:val="006217F7"/>
    <w:rsid w:val="00622485"/>
    <w:rsid w:val="0062271A"/>
    <w:rsid w:val="0062271C"/>
    <w:rsid w:val="00624AF6"/>
    <w:rsid w:val="0062623C"/>
    <w:rsid w:val="00627A40"/>
    <w:rsid w:val="00627D2F"/>
    <w:rsid w:val="00630315"/>
    <w:rsid w:val="00630DAB"/>
    <w:rsid w:val="00630E2E"/>
    <w:rsid w:val="00632650"/>
    <w:rsid w:val="00632830"/>
    <w:rsid w:val="00634AA5"/>
    <w:rsid w:val="00635051"/>
    <w:rsid w:val="0063697C"/>
    <w:rsid w:val="0063739A"/>
    <w:rsid w:val="00642AD2"/>
    <w:rsid w:val="006439A8"/>
    <w:rsid w:val="006439C0"/>
    <w:rsid w:val="0064534E"/>
    <w:rsid w:val="006455AE"/>
    <w:rsid w:val="00645BAF"/>
    <w:rsid w:val="00646D17"/>
    <w:rsid w:val="00646F40"/>
    <w:rsid w:val="00647888"/>
    <w:rsid w:val="00650333"/>
    <w:rsid w:val="006514A8"/>
    <w:rsid w:val="00651E78"/>
    <w:rsid w:val="00653901"/>
    <w:rsid w:val="00654E1A"/>
    <w:rsid w:val="006565E1"/>
    <w:rsid w:val="0065684C"/>
    <w:rsid w:val="00657148"/>
    <w:rsid w:val="00660EB3"/>
    <w:rsid w:val="006614B8"/>
    <w:rsid w:val="00662071"/>
    <w:rsid w:val="006644CE"/>
    <w:rsid w:val="00664FA1"/>
    <w:rsid w:val="00666E50"/>
    <w:rsid w:val="006670F6"/>
    <w:rsid w:val="00667D65"/>
    <w:rsid w:val="00667ECC"/>
    <w:rsid w:val="00673347"/>
    <w:rsid w:val="006740EA"/>
    <w:rsid w:val="00675B71"/>
    <w:rsid w:val="006807C1"/>
    <w:rsid w:val="0068085D"/>
    <w:rsid w:val="00683604"/>
    <w:rsid w:val="0068469C"/>
    <w:rsid w:val="00690B9E"/>
    <w:rsid w:val="0069118B"/>
    <w:rsid w:val="00691290"/>
    <w:rsid w:val="00691A82"/>
    <w:rsid w:val="00692087"/>
    <w:rsid w:val="0069386C"/>
    <w:rsid w:val="00693B5F"/>
    <w:rsid w:val="00694153"/>
    <w:rsid w:val="006953A6"/>
    <w:rsid w:val="006959E5"/>
    <w:rsid w:val="00697953"/>
    <w:rsid w:val="006A00C8"/>
    <w:rsid w:val="006A08D0"/>
    <w:rsid w:val="006A0A70"/>
    <w:rsid w:val="006A0B0B"/>
    <w:rsid w:val="006A2544"/>
    <w:rsid w:val="006A78BD"/>
    <w:rsid w:val="006B092E"/>
    <w:rsid w:val="006B1E05"/>
    <w:rsid w:val="006B1F64"/>
    <w:rsid w:val="006B386A"/>
    <w:rsid w:val="006B4F7C"/>
    <w:rsid w:val="006B5BA6"/>
    <w:rsid w:val="006B5BBF"/>
    <w:rsid w:val="006B5FDC"/>
    <w:rsid w:val="006B77DD"/>
    <w:rsid w:val="006C15F3"/>
    <w:rsid w:val="006C2A4E"/>
    <w:rsid w:val="006C3217"/>
    <w:rsid w:val="006C3D10"/>
    <w:rsid w:val="006C58DE"/>
    <w:rsid w:val="006C5BB8"/>
    <w:rsid w:val="006C5D61"/>
    <w:rsid w:val="006C6EB4"/>
    <w:rsid w:val="006D4805"/>
    <w:rsid w:val="006D6FD9"/>
    <w:rsid w:val="006D7B2B"/>
    <w:rsid w:val="006E095B"/>
    <w:rsid w:val="006F0BED"/>
    <w:rsid w:val="006F3D93"/>
    <w:rsid w:val="006F4F54"/>
    <w:rsid w:val="006F54A4"/>
    <w:rsid w:val="006F7E48"/>
    <w:rsid w:val="00700580"/>
    <w:rsid w:val="00702AF9"/>
    <w:rsid w:val="0070396A"/>
    <w:rsid w:val="007050A6"/>
    <w:rsid w:val="00705680"/>
    <w:rsid w:val="00707C02"/>
    <w:rsid w:val="00712BA7"/>
    <w:rsid w:val="007134B5"/>
    <w:rsid w:val="00713B4E"/>
    <w:rsid w:val="00714C2B"/>
    <w:rsid w:val="00717816"/>
    <w:rsid w:val="00721592"/>
    <w:rsid w:val="007233F6"/>
    <w:rsid w:val="00725B59"/>
    <w:rsid w:val="00725EEC"/>
    <w:rsid w:val="00726055"/>
    <w:rsid w:val="007270DD"/>
    <w:rsid w:val="00730166"/>
    <w:rsid w:val="00732CCF"/>
    <w:rsid w:val="00733A8D"/>
    <w:rsid w:val="007344F1"/>
    <w:rsid w:val="00734BDF"/>
    <w:rsid w:val="007353CD"/>
    <w:rsid w:val="00736661"/>
    <w:rsid w:val="0073689C"/>
    <w:rsid w:val="00740B4E"/>
    <w:rsid w:val="00740EF1"/>
    <w:rsid w:val="00741C1A"/>
    <w:rsid w:val="00741CF1"/>
    <w:rsid w:val="0074243A"/>
    <w:rsid w:val="00743528"/>
    <w:rsid w:val="007435D4"/>
    <w:rsid w:val="007443B7"/>
    <w:rsid w:val="00746FD9"/>
    <w:rsid w:val="00751A0D"/>
    <w:rsid w:val="0075400A"/>
    <w:rsid w:val="00754546"/>
    <w:rsid w:val="00755154"/>
    <w:rsid w:val="00755923"/>
    <w:rsid w:val="007605A2"/>
    <w:rsid w:val="00761750"/>
    <w:rsid w:val="00765102"/>
    <w:rsid w:val="00765237"/>
    <w:rsid w:val="0076596F"/>
    <w:rsid w:val="00765FCA"/>
    <w:rsid w:val="00766123"/>
    <w:rsid w:val="007674D2"/>
    <w:rsid w:val="007719D8"/>
    <w:rsid w:val="007729D5"/>
    <w:rsid w:val="00774240"/>
    <w:rsid w:val="00774941"/>
    <w:rsid w:val="007751E1"/>
    <w:rsid w:val="00775F71"/>
    <w:rsid w:val="0077768A"/>
    <w:rsid w:val="00780128"/>
    <w:rsid w:val="00780FB4"/>
    <w:rsid w:val="0078223D"/>
    <w:rsid w:val="00783926"/>
    <w:rsid w:val="00786F1F"/>
    <w:rsid w:val="00786F56"/>
    <w:rsid w:val="00787EB8"/>
    <w:rsid w:val="00790084"/>
    <w:rsid w:val="00791397"/>
    <w:rsid w:val="00791466"/>
    <w:rsid w:val="00791C69"/>
    <w:rsid w:val="007936DA"/>
    <w:rsid w:val="00793A47"/>
    <w:rsid w:val="00793CFB"/>
    <w:rsid w:val="00794BDA"/>
    <w:rsid w:val="00796515"/>
    <w:rsid w:val="007966FC"/>
    <w:rsid w:val="00796EDC"/>
    <w:rsid w:val="00797ABF"/>
    <w:rsid w:val="007A1DDC"/>
    <w:rsid w:val="007A2E7B"/>
    <w:rsid w:val="007A2EE3"/>
    <w:rsid w:val="007A2F5B"/>
    <w:rsid w:val="007A3F57"/>
    <w:rsid w:val="007A6786"/>
    <w:rsid w:val="007B0971"/>
    <w:rsid w:val="007B3A87"/>
    <w:rsid w:val="007B6A8A"/>
    <w:rsid w:val="007B6BF4"/>
    <w:rsid w:val="007C1F91"/>
    <w:rsid w:val="007C27A0"/>
    <w:rsid w:val="007C2A32"/>
    <w:rsid w:val="007C2ECE"/>
    <w:rsid w:val="007C4025"/>
    <w:rsid w:val="007C4118"/>
    <w:rsid w:val="007C4238"/>
    <w:rsid w:val="007C4B1A"/>
    <w:rsid w:val="007D1C2C"/>
    <w:rsid w:val="007D429F"/>
    <w:rsid w:val="007D5719"/>
    <w:rsid w:val="007D5FFD"/>
    <w:rsid w:val="007D68F3"/>
    <w:rsid w:val="007E1C93"/>
    <w:rsid w:val="007E2000"/>
    <w:rsid w:val="007E4C2F"/>
    <w:rsid w:val="007E57FE"/>
    <w:rsid w:val="007E6D22"/>
    <w:rsid w:val="007F14E0"/>
    <w:rsid w:val="007F529E"/>
    <w:rsid w:val="007F6A51"/>
    <w:rsid w:val="007F71C6"/>
    <w:rsid w:val="008001C8"/>
    <w:rsid w:val="0080309F"/>
    <w:rsid w:val="00803425"/>
    <w:rsid w:val="00804311"/>
    <w:rsid w:val="00804743"/>
    <w:rsid w:val="00804C86"/>
    <w:rsid w:val="008103D1"/>
    <w:rsid w:val="00810FBA"/>
    <w:rsid w:val="00811515"/>
    <w:rsid w:val="00812557"/>
    <w:rsid w:val="008146F6"/>
    <w:rsid w:val="008148A5"/>
    <w:rsid w:val="0081561C"/>
    <w:rsid w:val="00824F0C"/>
    <w:rsid w:val="0082545D"/>
    <w:rsid w:val="00825B19"/>
    <w:rsid w:val="00826937"/>
    <w:rsid w:val="00830AE8"/>
    <w:rsid w:val="00831219"/>
    <w:rsid w:val="00831935"/>
    <w:rsid w:val="0083358D"/>
    <w:rsid w:val="00833CA3"/>
    <w:rsid w:val="00835938"/>
    <w:rsid w:val="0083777A"/>
    <w:rsid w:val="008423CE"/>
    <w:rsid w:val="00842A9D"/>
    <w:rsid w:val="0084418B"/>
    <w:rsid w:val="00845E92"/>
    <w:rsid w:val="00846F5B"/>
    <w:rsid w:val="0084751B"/>
    <w:rsid w:val="008476FE"/>
    <w:rsid w:val="008510BE"/>
    <w:rsid w:val="00851EA2"/>
    <w:rsid w:val="00853821"/>
    <w:rsid w:val="00853B44"/>
    <w:rsid w:val="008568C5"/>
    <w:rsid w:val="00856CDA"/>
    <w:rsid w:val="008602D6"/>
    <w:rsid w:val="00860424"/>
    <w:rsid w:val="00861EC3"/>
    <w:rsid w:val="00862B20"/>
    <w:rsid w:val="0086470B"/>
    <w:rsid w:val="00865310"/>
    <w:rsid w:val="00866520"/>
    <w:rsid w:val="00867841"/>
    <w:rsid w:val="0087036E"/>
    <w:rsid w:val="00870B89"/>
    <w:rsid w:val="008716D8"/>
    <w:rsid w:val="0087645E"/>
    <w:rsid w:val="00877576"/>
    <w:rsid w:val="0088019F"/>
    <w:rsid w:val="00881B31"/>
    <w:rsid w:val="00883819"/>
    <w:rsid w:val="008851BB"/>
    <w:rsid w:val="00886D43"/>
    <w:rsid w:val="00886FC2"/>
    <w:rsid w:val="00887731"/>
    <w:rsid w:val="00887830"/>
    <w:rsid w:val="0088792A"/>
    <w:rsid w:val="00890957"/>
    <w:rsid w:val="00894056"/>
    <w:rsid w:val="008945C2"/>
    <w:rsid w:val="008A146D"/>
    <w:rsid w:val="008A20C3"/>
    <w:rsid w:val="008A21FE"/>
    <w:rsid w:val="008A54E3"/>
    <w:rsid w:val="008A6483"/>
    <w:rsid w:val="008A6BF5"/>
    <w:rsid w:val="008A7324"/>
    <w:rsid w:val="008A76E9"/>
    <w:rsid w:val="008B300D"/>
    <w:rsid w:val="008B3AAB"/>
    <w:rsid w:val="008B6EDC"/>
    <w:rsid w:val="008B766F"/>
    <w:rsid w:val="008B7A0F"/>
    <w:rsid w:val="008C0DD7"/>
    <w:rsid w:val="008C56CD"/>
    <w:rsid w:val="008C5775"/>
    <w:rsid w:val="008C64C3"/>
    <w:rsid w:val="008C7658"/>
    <w:rsid w:val="008D0847"/>
    <w:rsid w:val="008D1DD5"/>
    <w:rsid w:val="008D2899"/>
    <w:rsid w:val="008D3B9C"/>
    <w:rsid w:val="008D3D08"/>
    <w:rsid w:val="008D5868"/>
    <w:rsid w:val="008D6614"/>
    <w:rsid w:val="008D7437"/>
    <w:rsid w:val="008E07ED"/>
    <w:rsid w:val="008E3BA0"/>
    <w:rsid w:val="008E7648"/>
    <w:rsid w:val="008F1F8C"/>
    <w:rsid w:val="008F2AA5"/>
    <w:rsid w:val="008F413C"/>
    <w:rsid w:val="008F6ACF"/>
    <w:rsid w:val="008F75DD"/>
    <w:rsid w:val="00900647"/>
    <w:rsid w:val="00901758"/>
    <w:rsid w:val="00901D32"/>
    <w:rsid w:val="00902896"/>
    <w:rsid w:val="00902EFA"/>
    <w:rsid w:val="00902F37"/>
    <w:rsid w:val="00902F3C"/>
    <w:rsid w:val="009054DD"/>
    <w:rsid w:val="00905F49"/>
    <w:rsid w:val="00906307"/>
    <w:rsid w:val="009104F3"/>
    <w:rsid w:val="009125EB"/>
    <w:rsid w:val="00914029"/>
    <w:rsid w:val="009170C3"/>
    <w:rsid w:val="00917F01"/>
    <w:rsid w:val="00921761"/>
    <w:rsid w:val="0092374C"/>
    <w:rsid w:val="009239D3"/>
    <w:rsid w:val="00930767"/>
    <w:rsid w:val="0093126B"/>
    <w:rsid w:val="00931433"/>
    <w:rsid w:val="009316FD"/>
    <w:rsid w:val="0093211A"/>
    <w:rsid w:val="0093340C"/>
    <w:rsid w:val="009348B6"/>
    <w:rsid w:val="00935FF4"/>
    <w:rsid w:val="009366FB"/>
    <w:rsid w:val="00936A11"/>
    <w:rsid w:val="00937E50"/>
    <w:rsid w:val="00940A07"/>
    <w:rsid w:val="00941444"/>
    <w:rsid w:val="00941AFC"/>
    <w:rsid w:val="009424EF"/>
    <w:rsid w:val="0094252D"/>
    <w:rsid w:val="00943282"/>
    <w:rsid w:val="009447EA"/>
    <w:rsid w:val="00945818"/>
    <w:rsid w:val="009471AE"/>
    <w:rsid w:val="0095125E"/>
    <w:rsid w:val="00953478"/>
    <w:rsid w:val="00953843"/>
    <w:rsid w:val="00960D16"/>
    <w:rsid w:val="0096336B"/>
    <w:rsid w:val="00963A53"/>
    <w:rsid w:val="00965AEA"/>
    <w:rsid w:val="00965C78"/>
    <w:rsid w:val="00965FCE"/>
    <w:rsid w:val="00966041"/>
    <w:rsid w:val="0097076C"/>
    <w:rsid w:val="009723F5"/>
    <w:rsid w:val="009756B7"/>
    <w:rsid w:val="00975DF7"/>
    <w:rsid w:val="00977A0C"/>
    <w:rsid w:val="00980876"/>
    <w:rsid w:val="0098228B"/>
    <w:rsid w:val="0098282D"/>
    <w:rsid w:val="00987BCD"/>
    <w:rsid w:val="009901C6"/>
    <w:rsid w:val="009916A3"/>
    <w:rsid w:val="00991C9E"/>
    <w:rsid w:val="0099501A"/>
    <w:rsid w:val="00995154"/>
    <w:rsid w:val="0099700B"/>
    <w:rsid w:val="00997E15"/>
    <w:rsid w:val="009A0F87"/>
    <w:rsid w:val="009A277B"/>
    <w:rsid w:val="009A27C8"/>
    <w:rsid w:val="009A33CA"/>
    <w:rsid w:val="009A4560"/>
    <w:rsid w:val="009A4A17"/>
    <w:rsid w:val="009A4B72"/>
    <w:rsid w:val="009A67BC"/>
    <w:rsid w:val="009B3359"/>
    <w:rsid w:val="009B45E5"/>
    <w:rsid w:val="009B49B5"/>
    <w:rsid w:val="009B5110"/>
    <w:rsid w:val="009B6232"/>
    <w:rsid w:val="009B791C"/>
    <w:rsid w:val="009C1B6E"/>
    <w:rsid w:val="009C3EE7"/>
    <w:rsid w:val="009D1972"/>
    <w:rsid w:val="009D2123"/>
    <w:rsid w:val="009D3DB1"/>
    <w:rsid w:val="009D3EA6"/>
    <w:rsid w:val="009D4786"/>
    <w:rsid w:val="009D4C26"/>
    <w:rsid w:val="009D52FD"/>
    <w:rsid w:val="009D572D"/>
    <w:rsid w:val="009D7230"/>
    <w:rsid w:val="009D7E97"/>
    <w:rsid w:val="009D7F22"/>
    <w:rsid w:val="009E154E"/>
    <w:rsid w:val="009E2E26"/>
    <w:rsid w:val="009E30B0"/>
    <w:rsid w:val="009E389E"/>
    <w:rsid w:val="009E3930"/>
    <w:rsid w:val="009F2224"/>
    <w:rsid w:val="009F30FA"/>
    <w:rsid w:val="009F45F0"/>
    <w:rsid w:val="009F697C"/>
    <w:rsid w:val="009F6B34"/>
    <w:rsid w:val="009F7D76"/>
    <w:rsid w:val="00A0004A"/>
    <w:rsid w:val="00A0175E"/>
    <w:rsid w:val="00A03C05"/>
    <w:rsid w:val="00A06A50"/>
    <w:rsid w:val="00A06D62"/>
    <w:rsid w:val="00A07B36"/>
    <w:rsid w:val="00A10695"/>
    <w:rsid w:val="00A14374"/>
    <w:rsid w:val="00A145AA"/>
    <w:rsid w:val="00A20599"/>
    <w:rsid w:val="00A22A6F"/>
    <w:rsid w:val="00A24D8B"/>
    <w:rsid w:val="00A26B5C"/>
    <w:rsid w:val="00A3006B"/>
    <w:rsid w:val="00A30490"/>
    <w:rsid w:val="00A32348"/>
    <w:rsid w:val="00A32A89"/>
    <w:rsid w:val="00A330DC"/>
    <w:rsid w:val="00A33B9F"/>
    <w:rsid w:val="00A3438E"/>
    <w:rsid w:val="00A34C48"/>
    <w:rsid w:val="00A35DDE"/>
    <w:rsid w:val="00A362EC"/>
    <w:rsid w:val="00A372B2"/>
    <w:rsid w:val="00A37B45"/>
    <w:rsid w:val="00A42357"/>
    <w:rsid w:val="00A42E3F"/>
    <w:rsid w:val="00A4517C"/>
    <w:rsid w:val="00A4624F"/>
    <w:rsid w:val="00A50462"/>
    <w:rsid w:val="00A51161"/>
    <w:rsid w:val="00A51F53"/>
    <w:rsid w:val="00A5312F"/>
    <w:rsid w:val="00A53B15"/>
    <w:rsid w:val="00A57E12"/>
    <w:rsid w:val="00A60DEB"/>
    <w:rsid w:val="00A6113E"/>
    <w:rsid w:val="00A61369"/>
    <w:rsid w:val="00A61896"/>
    <w:rsid w:val="00A633D4"/>
    <w:rsid w:val="00A669EC"/>
    <w:rsid w:val="00A674CA"/>
    <w:rsid w:val="00A67CDD"/>
    <w:rsid w:val="00A70430"/>
    <w:rsid w:val="00A70AD0"/>
    <w:rsid w:val="00A73C19"/>
    <w:rsid w:val="00A75462"/>
    <w:rsid w:val="00A770C4"/>
    <w:rsid w:val="00A777A9"/>
    <w:rsid w:val="00A8072C"/>
    <w:rsid w:val="00A8077D"/>
    <w:rsid w:val="00A80CAE"/>
    <w:rsid w:val="00A81248"/>
    <w:rsid w:val="00A813BC"/>
    <w:rsid w:val="00A81563"/>
    <w:rsid w:val="00A830F4"/>
    <w:rsid w:val="00A834D5"/>
    <w:rsid w:val="00A839F9"/>
    <w:rsid w:val="00A84239"/>
    <w:rsid w:val="00A84DC1"/>
    <w:rsid w:val="00A86B1C"/>
    <w:rsid w:val="00A90B25"/>
    <w:rsid w:val="00A92EAB"/>
    <w:rsid w:val="00A93EF2"/>
    <w:rsid w:val="00A95680"/>
    <w:rsid w:val="00A96F97"/>
    <w:rsid w:val="00AA30A2"/>
    <w:rsid w:val="00AA6FB7"/>
    <w:rsid w:val="00AB0730"/>
    <w:rsid w:val="00AB1098"/>
    <w:rsid w:val="00AB10C8"/>
    <w:rsid w:val="00AB19E3"/>
    <w:rsid w:val="00AB4421"/>
    <w:rsid w:val="00AB48BD"/>
    <w:rsid w:val="00AB58F7"/>
    <w:rsid w:val="00AB7B19"/>
    <w:rsid w:val="00AC2D3A"/>
    <w:rsid w:val="00AC4496"/>
    <w:rsid w:val="00AC4A8B"/>
    <w:rsid w:val="00AC7BAF"/>
    <w:rsid w:val="00AD084F"/>
    <w:rsid w:val="00AD0A5C"/>
    <w:rsid w:val="00AD2D14"/>
    <w:rsid w:val="00AD337B"/>
    <w:rsid w:val="00AD3952"/>
    <w:rsid w:val="00AD6813"/>
    <w:rsid w:val="00AD6A48"/>
    <w:rsid w:val="00AD7731"/>
    <w:rsid w:val="00AE0518"/>
    <w:rsid w:val="00AE0C34"/>
    <w:rsid w:val="00AE2FE7"/>
    <w:rsid w:val="00AE7845"/>
    <w:rsid w:val="00AE7F87"/>
    <w:rsid w:val="00AF01DA"/>
    <w:rsid w:val="00AF1335"/>
    <w:rsid w:val="00AF2E03"/>
    <w:rsid w:val="00AF39CD"/>
    <w:rsid w:val="00AF3AE8"/>
    <w:rsid w:val="00AF3E37"/>
    <w:rsid w:val="00AF50B4"/>
    <w:rsid w:val="00AF6D9F"/>
    <w:rsid w:val="00B01202"/>
    <w:rsid w:val="00B03580"/>
    <w:rsid w:val="00B049BC"/>
    <w:rsid w:val="00B05CCE"/>
    <w:rsid w:val="00B06BBF"/>
    <w:rsid w:val="00B07AC5"/>
    <w:rsid w:val="00B1049F"/>
    <w:rsid w:val="00B10573"/>
    <w:rsid w:val="00B13A42"/>
    <w:rsid w:val="00B13DED"/>
    <w:rsid w:val="00B14F91"/>
    <w:rsid w:val="00B154F5"/>
    <w:rsid w:val="00B16611"/>
    <w:rsid w:val="00B166D2"/>
    <w:rsid w:val="00B2409E"/>
    <w:rsid w:val="00B24B80"/>
    <w:rsid w:val="00B27D40"/>
    <w:rsid w:val="00B27E35"/>
    <w:rsid w:val="00B35418"/>
    <w:rsid w:val="00B35DA3"/>
    <w:rsid w:val="00B364F3"/>
    <w:rsid w:val="00B36AC7"/>
    <w:rsid w:val="00B37C5C"/>
    <w:rsid w:val="00B406B5"/>
    <w:rsid w:val="00B40C8E"/>
    <w:rsid w:val="00B41A9A"/>
    <w:rsid w:val="00B41FA8"/>
    <w:rsid w:val="00B42A15"/>
    <w:rsid w:val="00B432EC"/>
    <w:rsid w:val="00B45C48"/>
    <w:rsid w:val="00B465B2"/>
    <w:rsid w:val="00B50595"/>
    <w:rsid w:val="00B530E6"/>
    <w:rsid w:val="00B53D74"/>
    <w:rsid w:val="00B5590E"/>
    <w:rsid w:val="00B565C0"/>
    <w:rsid w:val="00B5747B"/>
    <w:rsid w:val="00B6066B"/>
    <w:rsid w:val="00B626F9"/>
    <w:rsid w:val="00B64E9A"/>
    <w:rsid w:val="00B669A0"/>
    <w:rsid w:val="00B71368"/>
    <w:rsid w:val="00B71C38"/>
    <w:rsid w:val="00B73837"/>
    <w:rsid w:val="00B74A21"/>
    <w:rsid w:val="00B74D69"/>
    <w:rsid w:val="00B752B0"/>
    <w:rsid w:val="00B771BB"/>
    <w:rsid w:val="00B779CD"/>
    <w:rsid w:val="00B8187C"/>
    <w:rsid w:val="00B8246D"/>
    <w:rsid w:val="00B82741"/>
    <w:rsid w:val="00B834BB"/>
    <w:rsid w:val="00B83EFB"/>
    <w:rsid w:val="00B84F83"/>
    <w:rsid w:val="00B854AE"/>
    <w:rsid w:val="00B85598"/>
    <w:rsid w:val="00B85CAF"/>
    <w:rsid w:val="00B85FD2"/>
    <w:rsid w:val="00B86FC7"/>
    <w:rsid w:val="00BA3BC9"/>
    <w:rsid w:val="00BA3D44"/>
    <w:rsid w:val="00BA49D9"/>
    <w:rsid w:val="00BA5E13"/>
    <w:rsid w:val="00BA5EB0"/>
    <w:rsid w:val="00BA702E"/>
    <w:rsid w:val="00BB2BBB"/>
    <w:rsid w:val="00BB3637"/>
    <w:rsid w:val="00BB3CCE"/>
    <w:rsid w:val="00BB415C"/>
    <w:rsid w:val="00BB643E"/>
    <w:rsid w:val="00BB710C"/>
    <w:rsid w:val="00BB77FE"/>
    <w:rsid w:val="00BC100F"/>
    <w:rsid w:val="00BC1092"/>
    <w:rsid w:val="00BC1642"/>
    <w:rsid w:val="00BC1DAA"/>
    <w:rsid w:val="00BC200F"/>
    <w:rsid w:val="00BC410A"/>
    <w:rsid w:val="00BC46B0"/>
    <w:rsid w:val="00BC5432"/>
    <w:rsid w:val="00BC7C99"/>
    <w:rsid w:val="00BD092D"/>
    <w:rsid w:val="00BD2911"/>
    <w:rsid w:val="00BD2CF1"/>
    <w:rsid w:val="00BD4208"/>
    <w:rsid w:val="00BD4A4E"/>
    <w:rsid w:val="00BD7D1B"/>
    <w:rsid w:val="00BE0FCF"/>
    <w:rsid w:val="00BE1C64"/>
    <w:rsid w:val="00BE2C1A"/>
    <w:rsid w:val="00BF1A53"/>
    <w:rsid w:val="00BF3239"/>
    <w:rsid w:val="00BF70D6"/>
    <w:rsid w:val="00BF7387"/>
    <w:rsid w:val="00C008E5"/>
    <w:rsid w:val="00C00F90"/>
    <w:rsid w:val="00C023A3"/>
    <w:rsid w:val="00C02C58"/>
    <w:rsid w:val="00C0504E"/>
    <w:rsid w:val="00C06008"/>
    <w:rsid w:val="00C108D8"/>
    <w:rsid w:val="00C11CBD"/>
    <w:rsid w:val="00C12E0E"/>
    <w:rsid w:val="00C12FA3"/>
    <w:rsid w:val="00C173C0"/>
    <w:rsid w:val="00C17446"/>
    <w:rsid w:val="00C20246"/>
    <w:rsid w:val="00C2178A"/>
    <w:rsid w:val="00C21BE6"/>
    <w:rsid w:val="00C2247F"/>
    <w:rsid w:val="00C25495"/>
    <w:rsid w:val="00C254A1"/>
    <w:rsid w:val="00C25EB9"/>
    <w:rsid w:val="00C27534"/>
    <w:rsid w:val="00C32A08"/>
    <w:rsid w:val="00C3337E"/>
    <w:rsid w:val="00C364FC"/>
    <w:rsid w:val="00C37EDA"/>
    <w:rsid w:val="00C405AB"/>
    <w:rsid w:val="00C4065B"/>
    <w:rsid w:val="00C428CC"/>
    <w:rsid w:val="00C42E2B"/>
    <w:rsid w:val="00C43CA3"/>
    <w:rsid w:val="00C449FB"/>
    <w:rsid w:val="00C452B1"/>
    <w:rsid w:val="00C4606E"/>
    <w:rsid w:val="00C4785E"/>
    <w:rsid w:val="00C5043C"/>
    <w:rsid w:val="00C510DF"/>
    <w:rsid w:val="00C5218C"/>
    <w:rsid w:val="00C53A1E"/>
    <w:rsid w:val="00C5519E"/>
    <w:rsid w:val="00C556D3"/>
    <w:rsid w:val="00C570C9"/>
    <w:rsid w:val="00C57250"/>
    <w:rsid w:val="00C5786B"/>
    <w:rsid w:val="00C628C9"/>
    <w:rsid w:val="00C632E1"/>
    <w:rsid w:val="00C70701"/>
    <w:rsid w:val="00C7091C"/>
    <w:rsid w:val="00C71C24"/>
    <w:rsid w:val="00C72369"/>
    <w:rsid w:val="00C74757"/>
    <w:rsid w:val="00C74F2B"/>
    <w:rsid w:val="00C8009A"/>
    <w:rsid w:val="00C83D6A"/>
    <w:rsid w:val="00C84F22"/>
    <w:rsid w:val="00C87FD3"/>
    <w:rsid w:val="00C90560"/>
    <w:rsid w:val="00C933BD"/>
    <w:rsid w:val="00C936A2"/>
    <w:rsid w:val="00C93FAE"/>
    <w:rsid w:val="00CA0384"/>
    <w:rsid w:val="00CA039F"/>
    <w:rsid w:val="00CA0E83"/>
    <w:rsid w:val="00CA1E6E"/>
    <w:rsid w:val="00CA3058"/>
    <w:rsid w:val="00CA33C1"/>
    <w:rsid w:val="00CA3C83"/>
    <w:rsid w:val="00CA3EEC"/>
    <w:rsid w:val="00CA3F9C"/>
    <w:rsid w:val="00CA482A"/>
    <w:rsid w:val="00CA54D3"/>
    <w:rsid w:val="00CA728E"/>
    <w:rsid w:val="00CB0064"/>
    <w:rsid w:val="00CB069F"/>
    <w:rsid w:val="00CB121A"/>
    <w:rsid w:val="00CB2700"/>
    <w:rsid w:val="00CB2E09"/>
    <w:rsid w:val="00CB41E2"/>
    <w:rsid w:val="00CB44EE"/>
    <w:rsid w:val="00CB5801"/>
    <w:rsid w:val="00CB5B20"/>
    <w:rsid w:val="00CB61E1"/>
    <w:rsid w:val="00CB6D3C"/>
    <w:rsid w:val="00CB7646"/>
    <w:rsid w:val="00CB7A95"/>
    <w:rsid w:val="00CB7D04"/>
    <w:rsid w:val="00CC09A6"/>
    <w:rsid w:val="00CC6116"/>
    <w:rsid w:val="00CC625D"/>
    <w:rsid w:val="00CC65B6"/>
    <w:rsid w:val="00CC6930"/>
    <w:rsid w:val="00CC7145"/>
    <w:rsid w:val="00CD08DD"/>
    <w:rsid w:val="00CD0F10"/>
    <w:rsid w:val="00CD1833"/>
    <w:rsid w:val="00CD32E3"/>
    <w:rsid w:val="00CD3584"/>
    <w:rsid w:val="00CD49DB"/>
    <w:rsid w:val="00CD4F71"/>
    <w:rsid w:val="00CD574E"/>
    <w:rsid w:val="00CD763B"/>
    <w:rsid w:val="00CE1260"/>
    <w:rsid w:val="00CE22D1"/>
    <w:rsid w:val="00CE2E1C"/>
    <w:rsid w:val="00CE3731"/>
    <w:rsid w:val="00CE374E"/>
    <w:rsid w:val="00CE3B01"/>
    <w:rsid w:val="00CE4EEF"/>
    <w:rsid w:val="00CE7CF3"/>
    <w:rsid w:val="00CE7DA7"/>
    <w:rsid w:val="00CF1E4E"/>
    <w:rsid w:val="00CF2A92"/>
    <w:rsid w:val="00CF2BC3"/>
    <w:rsid w:val="00CF2F27"/>
    <w:rsid w:val="00CF4575"/>
    <w:rsid w:val="00CF4576"/>
    <w:rsid w:val="00CF4651"/>
    <w:rsid w:val="00CF549B"/>
    <w:rsid w:val="00CF5DF0"/>
    <w:rsid w:val="00CF7EA8"/>
    <w:rsid w:val="00D00AF6"/>
    <w:rsid w:val="00D027C7"/>
    <w:rsid w:val="00D06BF0"/>
    <w:rsid w:val="00D116B8"/>
    <w:rsid w:val="00D12FA4"/>
    <w:rsid w:val="00D150FF"/>
    <w:rsid w:val="00D154D2"/>
    <w:rsid w:val="00D160C6"/>
    <w:rsid w:val="00D17A84"/>
    <w:rsid w:val="00D22C26"/>
    <w:rsid w:val="00D25654"/>
    <w:rsid w:val="00D25938"/>
    <w:rsid w:val="00D259E2"/>
    <w:rsid w:val="00D26845"/>
    <w:rsid w:val="00D276EA"/>
    <w:rsid w:val="00D27C2E"/>
    <w:rsid w:val="00D310FA"/>
    <w:rsid w:val="00D3311D"/>
    <w:rsid w:val="00D34BE5"/>
    <w:rsid w:val="00D36C3E"/>
    <w:rsid w:val="00D405F8"/>
    <w:rsid w:val="00D408D7"/>
    <w:rsid w:val="00D425C8"/>
    <w:rsid w:val="00D42A2F"/>
    <w:rsid w:val="00D44EEA"/>
    <w:rsid w:val="00D46B7A"/>
    <w:rsid w:val="00D47309"/>
    <w:rsid w:val="00D47417"/>
    <w:rsid w:val="00D5098C"/>
    <w:rsid w:val="00D51546"/>
    <w:rsid w:val="00D526D8"/>
    <w:rsid w:val="00D5492E"/>
    <w:rsid w:val="00D54E9D"/>
    <w:rsid w:val="00D55BB9"/>
    <w:rsid w:val="00D611F6"/>
    <w:rsid w:val="00D63A30"/>
    <w:rsid w:val="00D643EC"/>
    <w:rsid w:val="00D65E3D"/>
    <w:rsid w:val="00D65F83"/>
    <w:rsid w:val="00D678B3"/>
    <w:rsid w:val="00D679EA"/>
    <w:rsid w:val="00D704AD"/>
    <w:rsid w:val="00D71701"/>
    <w:rsid w:val="00D7349B"/>
    <w:rsid w:val="00D75454"/>
    <w:rsid w:val="00D76C2E"/>
    <w:rsid w:val="00D840DC"/>
    <w:rsid w:val="00D85B83"/>
    <w:rsid w:val="00D86290"/>
    <w:rsid w:val="00D86813"/>
    <w:rsid w:val="00D87662"/>
    <w:rsid w:val="00D87843"/>
    <w:rsid w:val="00D90F73"/>
    <w:rsid w:val="00D92E72"/>
    <w:rsid w:val="00D95105"/>
    <w:rsid w:val="00D96417"/>
    <w:rsid w:val="00D96654"/>
    <w:rsid w:val="00DA0FD5"/>
    <w:rsid w:val="00DA2EA6"/>
    <w:rsid w:val="00DA2FBC"/>
    <w:rsid w:val="00DA3869"/>
    <w:rsid w:val="00DA3F4B"/>
    <w:rsid w:val="00DA5DAA"/>
    <w:rsid w:val="00DA6625"/>
    <w:rsid w:val="00DB0607"/>
    <w:rsid w:val="00DB1E43"/>
    <w:rsid w:val="00DB2C8D"/>
    <w:rsid w:val="00DB405B"/>
    <w:rsid w:val="00DB4C5C"/>
    <w:rsid w:val="00DB4EC0"/>
    <w:rsid w:val="00DB6592"/>
    <w:rsid w:val="00DB66DF"/>
    <w:rsid w:val="00DB7B58"/>
    <w:rsid w:val="00DC0666"/>
    <w:rsid w:val="00DC2179"/>
    <w:rsid w:val="00DC23F6"/>
    <w:rsid w:val="00DC4BC2"/>
    <w:rsid w:val="00DC5A6A"/>
    <w:rsid w:val="00DC7036"/>
    <w:rsid w:val="00DC718E"/>
    <w:rsid w:val="00DD0BE5"/>
    <w:rsid w:val="00DD17F6"/>
    <w:rsid w:val="00DD20AB"/>
    <w:rsid w:val="00DD258D"/>
    <w:rsid w:val="00DD69A9"/>
    <w:rsid w:val="00DD735A"/>
    <w:rsid w:val="00DE16A0"/>
    <w:rsid w:val="00DE17D0"/>
    <w:rsid w:val="00DE3863"/>
    <w:rsid w:val="00DE3CC3"/>
    <w:rsid w:val="00DE57E8"/>
    <w:rsid w:val="00DE5FCE"/>
    <w:rsid w:val="00DE7A46"/>
    <w:rsid w:val="00DF2317"/>
    <w:rsid w:val="00DF3013"/>
    <w:rsid w:val="00DF3026"/>
    <w:rsid w:val="00DF3824"/>
    <w:rsid w:val="00DF6B00"/>
    <w:rsid w:val="00DF7362"/>
    <w:rsid w:val="00E00618"/>
    <w:rsid w:val="00E02FC1"/>
    <w:rsid w:val="00E05CAE"/>
    <w:rsid w:val="00E07CB0"/>
    <w:rsid w:val="00E1234A"/>
    <w:rsid w:val="00E138FB"/>
    <w:rsid w:val="00E14320"/>
    <w:rsid w:val="00E15550"/>
    <w:rsid w:val="00E17FC8"/>
    <w:rsid w:val="00E20066"/>
    <w:rsid w:val="00E201AC"/>
    <w:rsid w:val="00E21667"/>
    <w:rsid w:val="00E21ADA"/>
    <w:rsid w:val="00E22C05"/>
    <w:rsid w:val="00E23C3B"/>
    <w:rsid w:val="00E23FFF"/>
    <w:rsid w:val="00E24E31"/>
    <w:rsid w:val="00E25CAE"/>
    <w:rsid w:val="00E26CBF"/>
    <w:rsid w:val="00E27714"/>
    <w:rsid w:val="00E27A38"/>
    <w:rsid w:val="00E27C41"/>
    <w:rsid w:val="00E30F8D"/>
    <w:rsid w:val="00E35400"/>
    <w:rsid w:val="00E35F82"/>
    <w:rsid w:val="00E36DB4"/>
    <w:rsid w:val="00E36DFD"/>
    <w:rsid w:val="00E372BC"/>
    <w:rsid w:val="00E4063B"/>
    <w:rsid w:val="00E40AD6"/>
    <w:rsid w:val="00E41804"/>
    <w:rsid w:val="00E44CC3"/>
    <w:rsid w:val="00E4561E"/>
    <w:rsid w:val="00E503E2"/>
    <w:rsid w:val="00E5163A"/>
    <w:rsid w:val="00E523A8"/>
    <w:rsid w:val="00E55426"/>
    <w:rsid w:val="00E5718C"/>
    <w:rsid w:val="00E57640"/>
    <w:rsid w:val="00E60C68"/>
    <w:rsid w:val="00E61245"/>
    <w:rsid w:val="00E627AF"/>
    <w:rsid w:val="00E630D5"/>
    <w:rsid w:val="00E63A26"/>
    <w:rsid w:val="00E64E21"/>
    <w:rsid w:val="00E64FB1"/>
    <w:rsid w:val="00E65372"/>
    <w:rsid w:val="00E6582E"/>
    <w:rsid w:val="00E6584E"/>
    <w:rsid w:val="00E65B28"/>
    <w:rsid w:val="00E65E9B"/>
    <w:rsid w:val="00E67021"/>
    <w:rsid w:val="00E67E6A"/>
    <w:rsid w:val="00E7110E"/>
    <w:rsid w:val="00E721CC"/>
    <w:rsid w:val="00E73F03"/>
    <w:rsid w:val="00E77491"/>
    <w:rsid w:val="00E779D8"/>
    <w:rsid w:val="00E77CAA"/>
    <w:rsid w:val="00E800CF"/>
    <w:rsid w:val="00E80106"/>
    <w:rsid w:val="00E8045F"/>
    <w:rsid w:val="00E831FC"/>
    <w:rsid w:val="00E853B3"/>
    <w:rsid w:val="00E858D7"/>
    <w:rsid w:val="00E925F6"/>
    <w:rsid w:val="00E939AA"/>
    <w:rsid w:val="00E93F55"/>
    <w:rsid w:val="00E93FA4"/>
    <w:rsid w:val="00E95B93"/>
    <w:rsid w:val="00E95CF7"/>
    <w:rsid w:val="00E95E28"/>
    <w:rsid w:val="00E96379"/>
    <w:rsid w:val="00E9703D"/>
    <w:rsid w:val="00EA30D8"/>
    <w:rsid w:val="00EA34E9"/>
    <w:rsid w:val="00EA6412"/>
    <w:rsid w:val="00EA6416"/>
    <w:rsid w:val="00EA6CAD"/>
    <w:rsid w:val="00EA6CEA"/>
    <w:rsid w:val="00EA7354"/>
    <w:rsid w:val="00EB3642"/>
    <w:rsid w:val="00EB4CA1"/>
    <w:rsid w:val="00EB4F6F"/>
    <w:rsid w:val="00EB6C47"/>
    <w:rsid w:val="00EC0BF8"/>
    <w:rsid w:val="00EC150D"/>
    <w:rsid w:val="00EC29D4"/>
    <w:rsid w:val="00EC3901"/>
    <w:rsid w:val="00EC4046"/>
    <w:rsid w:val="00EC5C31"/>
    <w:rsid w:val="00ED389F"/>
    <w:rsid w:val="00ED4431"/>
    <w:rsid w:val="00ED5F4B"/>
    <w:rsid w:val="00ED7D56"/>
    <w:rsid w:val="00EE0D07"/>
    <w:rsid w:val="00EE12A3"/>
    <w:rsid w:val="00EE1F2B"/>
    <w:rsid w:val="00EE2A69"/>
    <w:rsid w:val="00EE3701"/>
    <w:rsid w:val="00EE4E56"/>
    <w:rsid w:val="00EE59F1"/>
    <w:rsid w:val="00EE5ED2"/>
    <w:rsid w:val="00EE66A8"/>
    <w:rsid w:val="00EE6949"/>
    <w:rsid w:val="00EF1004"/>
    <w:rsid w:val="00EF1B9F"/>
    <w:rsid w:val="00EF43F6"/>
    <w:rsid w:val="00EF7DAA"/>
    <w:rsid w:val="00F003EB"/>
    <w:rsid w:val="00F009B6"/>
    <w:rsid w:val="00F01116"/>
    <w:rsid w:val="00F01D9B"/>
    <w:rsid w:val="00F02DD6"/>
    <w:rsid w:val="00F03DF1"/>
    <w:rsid w:val="00F069BF"/>
    <w:rsid w:val="00F07C01"/>
    <w:rsid w:val="00F10EE4"/>
    <w:rsid w:val="00F11E0D"/>
    <w:rsid w:val="00F12F0C"/>
    <w:rsid w:val="00F14CDF"/>
    <w:rsid w:val="00F1714E"/>
    <w:rsid w:val="00F20D82"/>
    <w:rsid w:val="00F20F2D"/>
    <w:rsid w:val="00F25ED4"/>
    <w:rsid w:val="00F27DD6"/>
    <w:rsid w:val="00F30A7F"/>
    <w:rsid w:val="00F33135"/>
    <w:rsid w:val="00F35D29"/>
    <w:rsid w:val="00F35FBA"/>
    <w:rsid w:val="00F3663D"/>
    <w:rsid w:val="00F37D41"/>
    <w:rsid w:val="00F415D4"/>
    <w:rsid w:val="00F43EE5"/>
    <w:rsid w:val="00F4416F"/>
    <w:rsid w:val="00F464A8"/>
    <w:rsid w:val="00F473EE"/>
    <w:rsid w:val="00F478ED"/>
    <w:rsid w:val="00F47FC7"/>
    <w:rsid w:val="00F507A2"/>
    <w:rsid w:val="00F5491A"/>
    <w:rsid w:val="00F56395"/>
    <w:rsid w:val="00F56961"/>
    <w:rsid w:val="00F60B5B"/>
    <w:rsid w:val="00F615BD"/>
    <w:rsid w:val="00F62525"/>
    <w:rsid w:val="00F627B3"/>
    <w:rsid w:val="00F63ED7"/>
    <w:rsid w:val="00F65C24"/>
    <w:rsid w:val="00F65E80"/>
    <w:rsid w:val="00F67164"/>
    <w:rsid w:val="00F72F65"/>
    <w:rsid w:val="00F74EC1"/>
    <w:rsid w:val="00F77529"/>
    <w:rsid w:val="00F8088C"/>
    <w:rsid w:val="00F80ACD"/>
    <w:rsid w:val="00F827B5"/>
    <w:rsid w:val="00F856E3"/>
    <w:rsid w:val="00F85DBB"/>
    <w:rsid w:val="00F874D2"/>
    <w:rsid w:val="00F87E1A"/>
    <w:rsid w:val="00F922AB"/>
    <w:rsid w:val="00F92784"/>
    <w:rsid w:val="00F93A14"/>
    <w:rsid w:val="00F93CCB"/>
    <w:rsid w:val="00F94155"/>
    <w:rsid w:val="00F94A78"/>
    <w:rsid w:val="00F95D8B"/>
    <w:rsid w:val="00FA01A9"/>
    <w:rsid w:val="00FA195E"/>
    <w:rsid w:val="00FA1DBC"/>
    <w:rsid w:val="00FA572A"/>
    <w:rsid w:val="00FA6441"/>
    <w:rsid w:val="00FA65CB"/>
    <w:rsid w:val="00FA72B4"/>
    <w:rsid w:val="00FB09BC"/>
    <w:rsid w:val="00FB28B1"/>
    <w:rsid w:val="00FB3F45"/>
    <w:rsid w:val="00FB4B67"/>
    <w:rsid w:val="00FB4CE4"/>
    <w:rsid w:val="00FB54E1"/>
    <w:rsid w:val="00FB5CA0"/>
    <w:rsid w:val="00FC24C5"/>
    <w:rsid w:val="00FC6E71"/>
    <w:rsid w:val="00FD0624"/>
    <w:rsid w:val="00FD2EC5"/>
    <w:rsid w:val="00FD31FA"/>
    <w:rsid w:val="00FD3605"/>
    <w:rsid w:val="00FD413D"/>
    <w:rsid w:val="00FD4734"/>
    <w:rsid w:val="00FD4F26"/>
    <w:rsid w:val="00FD7A9B"/>
    <w:rsid w:val="00FE13F0"/>
    <w:rsid w:val="00FE2A29"/>
    <w:rsid w:val="00FE5159"/>
    <w:rsid w:val="00FE68EB"/>
    <w:rsid w:val="00FF1173"/>
    <w:rsid w:val="00FF340C"/>
    <w:rsid w:val="00FF3CBE"/>
    <w:rsid w:val="00FF7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1FD8E2"/>
  <w15:docId w15:val="{5DF9B3AE-DF18-41ED-A2CB-600B03D7C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7662"/>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
    <w:name w:val="Medium List 1"/>
    <w:basedOn w:val="TableNormal"/>
    <w:uiPriority w:val="65"/>
    <w:rsid w:val="003E456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Grid1">
    <w:name w:val="Medium Grid 1"/>
    <w:basedOn w:val="TableNormal"/>
    <w:uiPriority w:val="67"/>
    <w:rsid w:val="003E45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
    <w:name w:val="Colorful Grid"/>
    <w:basedOn w:val="TableNormal"/>
    <w:uiPriority w:val="73"/>
    <w:rsid w:val="003E456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3">
    <w:name w:val="Medium Grid 3"/>
    <w:basedOn w:val="TableNormal"/>
    <w:uiPriority w:val="69"/>
    <w:rsid w:val="003E456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BalloonText">
    <w:name w:val="Balloon Text"/>
    <w:basedOn w:val="Normal"/>
    <w:link w:val="BalloonTextChar"/>
    <w:uiPriority w:val="99"/>
    <w:semiHidden/>
    <w:unhideWhenUsed/>
    <w:rsid w:val="00DA3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869"/>
    <w:rPr>
      <w:rFonts w:ascii="Tahoma" w:hAnsi="Tahoma" w:cs="Tahoma"/>
      <w:sz w:val="16"/>
      <w:szCs w:val="16"/>
    </w:rPr>
  </w:style>
  <w:style w:type="paragraph" w:customStyle="1" w:styleId="EndNoteBibliographyTitle">
    <w:name w:val="EndNote Bibliography Title"/>
    <w:basedOn w:val="Normal"/>
    <w:link w:val="EndNoteBibliographyTitleChar"/>
    <w:rsid w:val="00336989"/>
    <w:pPr>
      <w:spacing w:after="0"/>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336989"/>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336989"/>
    <w:rPr>
      <w:rFonts w:cs="Times New Roman"/>
      <w:noProof/>
      <w:lang w:val="en-US"/>
    </w:rPr>
  </w:style>
  <w:style w:type="character" w:customStyle="1" w:styleId="EndNoteBibliographyChar">
    <w:name w:val="EndNote Bibliography Char"/>
    <w:basedOn w:val="DefaultParagraphFont"/>
    <w:link w:val="EndNoteBibliography"/>
    <w:rsid w:val="00336989"/>
    <w:rPr>
      <w:rFonts w:ascii="Times New Roman" w:hAnsi="Times New Roman" w:cs="Times New Roman"/>
      <w:noProof/>
      <w:sz w:val="24"/>
      <w:lang w:val="en-US"/>
    </w:rPr>
  </w:style>
  <w:style w:type="paragraph" w:styleId="Caption">
    <w:name w:val="caption"/>
    <w:basedOn w:val="Normal"/>
    <w:next w:val="Normal"/>
    <w:uiPriority w:val="35"/>
    <w:unhideWhenUsed/>
    <w:qFormat/>
    <w:rsid w:val="00A37B45"/>
    <w:rPr>
      <w:bCs/>
      <w:szCs w:val="18"/>
    </w:rPr>
  </w:style>
  <w:style w:type="character" w:styleId="SubtleEmphasis">
    <w:name w:val="Subtle Emphasis"/>
    <w:basedOn w:val="DefaultParagraphFont"/>
    <w:uiPriority w:val="19"/>
    <w:qFormat/>
    <w:rsid w:val="00333774"/>
    <w:rPr>
      <w:i/>
      <w:iCs/>
      <w:color w:val="808080" w:themeColor="text1" w:themeTint="7F"/>
    </w:rPr>
  </w:style>
  <w:style w:type="paragraph" w:styleId="Header">
    <w:name w:val="header"/>
    <w:basedOn w:val="Normal"/>
    <w:link w:val="HeaderChar"/>
    <w:uiPriority w:val="99"/>
    <w:unhideWhenUsed/>
    <w:rsid w:val="00CB12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21A"/>
  </w:style>
  <w:style w:type="paragraph" w:styleId="Footer">
    <w:name w:val="footer"/>
    <w:basedOn w:val="Normal"/>
    <w:link w:val="FooterChar"/>
    <w:uiPriority w:val="99"/>
    <w:unhideWhenUsed/>
    <w:rsid w:val="00CB12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21A"/>
  </w:style>
  <w:style w:type="table" w:customStyle="1" w:styleId="PlainTable51">
    <w:name w:val="Plain Table 51"/>
    <w:basedOn w:val="TableNormal"/>
    <w:uiPriority w:val="45"/>
    <w:rsid w:val="00D22C2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D22C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83358D"/>
    <w:rPr>
      <w:color w:val="0000FF" w:themeColor="hyperlink"/>
      <w:u w:val="single"/>
    </w:rPr>
  </w:style>
  <w:style w:type="table" w:customStyle="1" w:styleId="PlainTable31">
    <w:name w:val="Plain Table 31"/>
    <w:basedOn w:val="TableNormal"/>
    <w:uiPriority w:val="43"/>
    <w:rsid w:val="00266B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CE3731"/>
    <w:pPr>
      <w:ind w:left="720"/>
      <w:contextualSpacing/>
    </w:pPr>
  </w:style>
  <w:style w:type="character" w:styleId="LineNumber">
    <w:name w:val="line number"/>
    <w:basedOn w:val="DefaultParagraphFont"/>
    <w:uiPriority w:val="99"/>
    <w:semiHidden/>
    <w:unhideWhenUsed/>
    <w:rsid w:val="00D87662"/>
  </w:style>
  <w:style w:type="character" w:styleId="CommentReference">
    <w:name w:val="annotation reference"/>
    <w:basedOn w:val="DefaultParagraphFont"/>
    <w:uiPriority w:val="99"/>
    <w:semiHidden/>
    <w:unhideWhenUsed/>
    <w:rsid w:val="0023728B"/>
    <w:rPr>
      <w:sz w:val="16"/>
      <w:szCs w:val="16"/>
    </w:rPr>
  </w:style>
  <w:style w:type="paragraph" w:styleId="CommentText">
    <w:name w:val="annotation text"/>
    <w:basedOn w:val="Normal"/>
    <w:link w:val="CommentTextChar"/>
    <w:uiPriority w:val="99"/>
    <w:semiHidden/>
    <w:unhideWhenUsed/>
    <w:rsid w:val="0023728B"/>
    <w:pPr>
      <w:spacing w:line="240" w:lineRule="auto"/>
    </w:pPr>
    <w:rPr>
      <w:sz w:val="20"/>
      <w:szCs w:val="20"/>
    </w:rPr>
  </w:style>
  <w:style w:type="character" w:customStyle="1" w:styleId="CommentTextChar">
    <w:name w:val="Comment Text Char"/>
    <w:basedOn w:val="DefaultParagraphFont"/>
    <w:link w:val="CommentText"/>
    <w:uiPriority w:val="99"/>
    <w:semiHidden/>
    <w:rsid w:val="0023728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3728B"/>
    <w:rPr>
      <w:b/>
      <w:bCs/>
    </w:rPr>
  </w:style>
  <w:style w:type="character" w:customStyle="1" w:styleId="CommentSubjectChar">
    <w:name w:val="Comment Subject Char"/>
    <w:basedOn w:val="CommentTextChar"/>
    <w:link w:val="CommentSubject"/>
    <w:uiPriority w:val="99"/>
    <w:semiHidden/>
    <w:rsid w:val="0023728B"/>
    <w:rPr>
      <w:rFonts w:ascii="Times New Roman" w:hAnsi="Times New Roman"/>
      <w:b/>
      <w:bCs/>
      <w:sz w:val="20"/>
      <w:szCs w:val="20"/>
    </w:rPr>
  </w:style>
  <w:style w:type="character" w:styleId="Emphasis">
    <w:name w:val="Emphasis"/>
    <w:basedOn w:val="DefaultParagraphFont"/>
    <w:uiPriority w:val="20"/>
    <w:qFormat/>
    <w:rsid w:val="00550846"/>
    <w:rPr>
      <w:i/>
      <w:iCs/>
    </w:rPr>
  </w:style>
  <w:style w:type="table" w:customStyle="1" w:styleId="TableGrid1">
    <w:name w:val="Table Grid1"/>
    <w:basedOn w:val="TableNormal"/>
    <w:next w:val="TableGrid"/>
    <w:uiPriority w:val="59"/>
    <w:rsid w:val="0027651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23030"/>
    <w:pPr>
      <w:spacing w:after="0" w:line="240" w:lineRule="auto"/>
    </w:pPr>
    <w:rPr>
      <w:rFonts w:ascii="Times New Roman" w:hAnsi="Times New Roman"/>
      <w:sz w:val="24"/>
    </w:rPr>
  </w:style>
  <w:style w:type="character" w:styleId="PlaceholderText">
    <w:name w:val="Placeholder Text"/>
    <w:basedOn w:val="DefaultParagraphFont"/>
    <w:uiPriority w:val="99"/>
    <w:semiHidden/>
    <w:rsid w:val="00EE3701"/>
    <w:rPr>
      <w:color w:val="808080"/>
    </w:rPr>
  </w:style>
  <w:style w:type="character" w:customStyle="1" w:styleId="Mention1">
    <w:name w:val="Mention1"/>
    <w:basedOn w:val="DefaultParagraphFont"/>
    <w:uiPriority w:val="99"/>
    <w:semiHidden/>
    <w:unhideWhenUsed/>
    <w:rsid w:val="00F827B5"/>
    <w:rPr>
      <w:color w:val="2B579A"/>
      <w:shd w:val="clear" w:color="auto" w:fill="E6E6E6"/>
    </w:rPr>
  </w:style>
  <w:style w:type="character" w:customStyle="1" w:styleId="UnresolvedMention1">
    <w:name w:val="Unresolved Mention1"/>
    <w:basedOn w:val="DefaultParagraphFont"/>
    <w:uiPriority w:val="99"/>
    <w:semiHidden/>
    <w:unhideWhenUsed/>
    <w:rsid w:val="00725B59"/>
    <w:rPr>
      <w:color w:val="808080"/>
      <w:shd w:val="clear" w:color="auto" w:fill="E6E6E6"/>
    </w:rPr>
  </w:style>
  <w:style w:type="character" w:styleId="FollowedHyperlink">
    <w:name w:val="FollowedHyperlink"/>
    <w:basedOn w:val="DefaultParagraphFont"/>
    <w:uiPriority w:val="99"/>
    <w:semiHidden/>
    <w:unhideWhenUsed/>
    <w:rsid w:val="0028476C"/>
    <w:rPr>
      <w:color w:val="800080" w:themeColor="followedHyperlink"/>
      <w:u w:val="single"/>
    </w:rPr>
  </w:style>
  <w:style w:type="paragraph" w:styleId="NormalWeb">
    <w:name w:val="Normal (Web)"/>
    <w:basedOn w:val="Normal"/>
    <w:uiPriority w:val="99"/>
    <w:unhideWhenUsed/>
    <w:rsid w:val="00CF7EA8"/>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717550">
      <w:bodyDiv w:val="1"/>
      <w:marLeft w:val="0"/>
      <w:marRight w:val="0"/>
      <w:marTop w:val="0"/>
      <w:marBottom w:val="0"/>
      <w:divBdr>
        <w:top w:val="none" w:sz="0" w:space="0" w:color="auto"/>
        <w:left w:val="none" w:sz="0" w:space="0" w:color="auto"/>
        <w:bottom w:val="none" w:sz="0" w:space="0" w:color="auto"/>
        <w:right w:val="none" w:sz="0" w:space="0" w:color="auto"/>
      </w:divBdr>
    </w:div>
    <w:div w:id="529495507">
      <w:bodyDiv w:val="1"/>
      <w:marLeft w:val="0"/>
      <w:marRight w:val="0"/>
      <w:marTop w:val="0"/>
      <w:marBottom w:val="0"/>
      <w:divBdr>
        <w:top w:val="none" w:sz="0" w:space="0" w:color="auto"/>
        <w:left w:val="none" w:sz="0" w:space="0" w:color="auto"/>
        <w:bottom w:val="none" w:sz="0" w:space="0" w:color="auto"/>
        <w:right w:val="none" w:sz="0" w:space="0" w:color="auto"/>
      </w:divBdr>
      <w:divsChild>
        <w:div w:id="1689679671">
          <w:marLeft w:val="0"/>
          <w:marRight w:val="0"/>
          <w:marTop w:val="0"/>
          <w:marBottom w:val="0"/>
          <w:divBdr>
            <w:top w:val="none" w:sz="0" w:space="0" w:color="auto"/>
            <w:left w:val="none" w:sz="0" w:space="0" w:color="auto"/>
            <w:bottom w:val="none" w:sz="0" w:space="0" w:color="auto"/>
            <w:right w:val="none" w:sz="0" w:space="0" w:color="auto"/>
          </w:divBdr>
          <w:divsChild>
            <w:div w:id="429082978">
              <w:marLeft w:val="0"/>
              <w:marRight w:val="0"/>
              <w:marTop w:val="0"/>
              <w:marBottom w:val="0"/>
              <w:divBdr>
                <w:top w:val="none" w:sz="0" w:space="0" w:color="auto"/>
                <w:left w:val="none" w:sz="0" w:space="0" w:color="auto"/>
                <w:bottom w:val="none" w:sz="0" w:space="0" w:color="auto"/>
                <w:right w:val="none" w:sz="0" w:space="0" w:color="auto"/>
              </w:divBdr>
              <w:divsChild>
                <w:div w:id="192618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460867">
      <w:bodyDiv w:val="1"/>
      <w:marLeft w:val="0"/>
      <w:marRight w:val="0"/>
      <w:marTop w:val="0"/>
      <w:marBottom w:val="0"/>
      <w:divBdr>
        <w:top w:val="none" w:sz="0" w:space="0" w:color="auto"/>
        <w:left w:val="none" w:sz="0" w:space="0" w:color="auto"/>
        <w:bottom w:val="none" w:sz="0" w:space="0" w:color="auto"/>
        <w:right w:val="none" w:sz="0" w:space="0" w:color="auto"/>
      </w:divBdr>
    </w:div>
    <w:div w:id="664088364">
      <w:bodyDiv w:val="1"/>
      <w:marLeft w:val="0"/>
      <w:marRight w:val="0"/>
      <w:marTop w:val="0"/>
      <w:marBottom w:val="0"/>
      <w:divBdr>
        <w:top w:val="none" w:sz="0" w:space="0" w:color="auto"/>
        <w:left w:val="none" w:sz="0" w:space="0" w:color="auto"/>
        <w:bottom w:val="none" w:sz="0" w:space="0" w:color="auto"/>
        <w:right w:val="none" w:sz="0" w:space="0" w:color="auto"/>
      </w:divBdr>
      <w:divsChild>
        <w:div w:id="448017015">
          <w:marLeft w:val="0"/>
          <w:marRight w:val="0"/>
          <w:marTop w:val="0"/>
          <w:marBottom w:val="0"/>
          <w:divBdr>
            <w:top w:val="none" w:sz="0" w:space="0" w:color="auto"/>
            <w:left w:val="none" w:sz="0" w:space="0" w:color="auto"/>
            <w:bottom w:val="none" w:sz="0" w:space="0" w:color="auto"/>
            <w:right w:val="none" w:sz="0" w:space="0" w:color="auto"/>
          </w:divBdr>
          <w:divsChild>
            <w:div w:id="1298485971">
              <w:marLeft w:val="0"/>
              <w:marRight w:val="0"/>
              <w:marTop w:val="0"/>
              <w:marBottom w:val="0"/>
              <w:divBdr>
                <w:top w:val="none" w:sz="0" w:space="0" w:color="auto"/>
                <w:left w:val="none" w:sz="0" w:space="0" w:color="auto"/>
                <w:bottom w:val="none" w:sz="0" w:space="0" w:color="auto"/>
                <w:right w:val="none" w:sz="0" w:space="0" w:color="auto"/>
              </w:divBdr>
              <w:divsChild>
                <w:div w:id="1507817906">
                  <w:marLeft w:val="0"/>
                  <w:marRight w:val="0"/>
                  <w:marTop w:val="181"/>
                  <w:marBottom w:val="181"/>
                  <w:divBdr>
                    <w:top w:val="none" w:sz="0" w:space="0" w:color="auto"/>
                    <w:left w:val="none" w:sz="0" w:space="0" w:color="auto"/>
                    <w:bottom w:val="none" w:sz="0" w:space="0" w:color="auto"/>
                    <w:right w:val="none" w:sz="0" w:space="0" w:color="auto"/>
                  </w:divBdr>
                  <w:divsChild>
                    <w:div w:id="1036277625">
                      <w:marLeft w:val="0"/>
                      <w:marRight w:val="0"/>
                      <w:marTop w:val="0"/>
                      <w:marBottom w:val="0"/>
                      <w:divBdr>
                        <w:top w:val="none" w:sz="0" w:space="0" w:color="auto"/>
                        <w:left w:val="none" w:sz="0" w:space="0" w:color="auto"/>
                        <w:bottom w:val="none" w:sz="0" w:space="0" w:color="auto"/>
                        <w:right w:val="none" w:sz="0" w:space="0" w:color="auto"/>
                      </w:divBdr>
                      <w:divsChild>
                        <w:div w:id="1671568510">
                          <w:marLeft w:val="0"/>
                          <w:marRight w:val="0"/>
                          <w:marTop w:val="0"/>
                          <w:marBottom w:val="0"/>
                          <w:divBdr>
                            <w:top w:val="none" w:sz="0" w:space="0" w:color="auto"/>
                            <w:left w:val="none" w:sz="0" w:space="0" w:color="auto"/>
                            <w:bottom w:val="none" w:sz="0" w:space="0" w:color="auto"/>
                            <w:right w:val="none" w:sz="0" w:space="0" w:color="auto"/>
                          </w:divBdr>
                        </w:div>
                        <w:div w:id="407191702">
                          <w:marLeft w:val="0"/>
                          <w:marRight w:val="0"/>
                          <w:marTop w:val="0"/>
                          <w:marBottom w:val="0"/>
                          <w:divBdr>
                            <w:top w:val="none" w:sz="0" w:space="0" w:color="auto"/>
                            <w:left w:val="none" w:sz="0" w:space="0" w:color="auto"/>
                            <w:bottom w:val="none" w:sz="0" w:space="0" w:color="auto"/>
                            <w:right w:val="none" w:sz="0" w:space="0" w:color="auto"/>
                          </w:divBdr>
                        </w:div>
                        <w:div w:id="11906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159030">
      <w:bodyDiv w:val="1"/>
      <w:marLeft w:val="0"/>
      <w:marRight w:val="0"/>
      <w:marTop w:val="0"/>
      <w:marBottom w:val="0"/>
      <w:divBdr>
        <w:top w:val="none" w:sz="0" w:space="0" w:color="auto"/>
        <w:left w:val="none" w:sz="0" w:space="0" w:color="auto"/>
        <w:bottom w:val="none" w:sz="0" w:space="0" w:color="auto"/>
        <w:right w:val="none" w:sz="0" w:space="0" w:color="auto"/>
      </w:divBdr>
    </w:div>
    <w:div w:id="908075458">
      <w:bodyDiv w:val="1"/>
      <w:marLeft w:val="0"/>
      <w:marRight w:val="0"/>
      <w:marTop w:val="0"/>
      <w:marBottom w:val="0"/>
      <w:divBdr>
        <w:top w:val="none" w:sz="0" w:space="0" w:color="auto"/>
        <w:left w:val="none" w:sz="0" w:space="0" w:color="auto"/>
        <w:bottom w:val="none" w:sz="0" w:space="0" w:color="auto"/>
        <w:right w:val="none" w:sz="0" w:space="0" w:color="auto"/>
      </w:divBdr>
    </w:div>
    <w:div w:id="1146510350">
      <w:bodyDiv w:val="1"/>
      <w:marLeft w:val="0"/>
      <w:marRight w:val="0"/>
      <w:marTop w:val="0"/>
      <w:marBottom w:val="0"/>
      <w:divBdr>
        <w:top w:val="none" w:sz="0" w:space="0" w:color="auto"/>
        <w:left w:val="none" w:sz="0" w:space="0" w:color="auto"/>
        <w:bottom w:val="none" w:sz="0" w:space="0" w:color="auto"/>
        <w:right w:val="none" w:sz="0" w:space="0" w:color="auto"/>
      </w:divBdr>
    </w:div>
    <w:div w:id="1204172950">
      <w:bodyDiv w:val="1"/>
      <w:marLeft w:val="0"/>
      <w:marRight w:val="0"/>
      <w:marTop w:val="0"/>
      <w:marBottom w:val="0"/>
      <w:divBdr>
        <w:top w:val="none" w:sz="0" w:space="0" w:color="auto"/>
        <w:left w:val="none" w:sz="0" w:space="0" w:color="auto"/>
        <w:bottom w:val="none" w:sz="0" w:space="0" w:color="auto"/>
        <w:right w:val="none" w:sz="0" w:space="0" w:color="auto"/>
      </w:divBdr>
    </w:div>
    <w:div w:id="1361323314">
      <w:bodyDiv w:val="1"/>
      <w:marLeft w:val="0"/>
      <w:marRight w:val="0"/>
      <w:marTop w:val="0"/>
      <w:marBottom w:val="0"/>
      <w:divBdr>
        <w:top w:val="none" w:sz="0" w:space="0" w:color="auto"/>
        <w:left w:val="none" w:sz="0" w:space="0" w:color="auto"/>
        <w:bottom w:val="none" w:sz="0" w:space="0" w:color="auto"/>
        <w:right w:val="none" w:sz="0" w:space="0" w:color="auto"/>
      </w:divBdr>
    </w:div>
    <w:div w:id="1579896758">
      <w:bodyDiv w:val="1"/>
      <w:marLeft w:val="0"/>
      <w:marRight w:val="0"/>
      <w:marTop w:val="0"/>
      <w:marBottom w:val="0"/>
      <w:divBdr>
        <w:top w:val="none" w:sz="0" w:space="0" w:color="auto"/>
        <w:left w:val="none" w:sz="0" w:space="0" w:color="auto"/>
        <w:bottom w:val="none" w:sz="0" w:space="0" w:color="auto"/>
        <w:right w:val="none" w:sz="0" w:space="0" w:color="auto"/>
      </w:divBdr>
    </w:div>
    <w:div w:id="1674643541">
      <w:bodyDiv w:val="1"/>
      <w:marLeft w:val="0"/>
      <w:marRight w:val="0"/>
      <w:marTop w:val="0"/>
      <w:marBottom w:val="0"/>
      <w:divBdr>
        <w:top w:val="none" w:sz="0" w:space="0" w:color="auto"/>
        <w:left w:val="none" w:sz="0" w:space="0" w:color="auto"/>
        <w:bottom w:val="none" w:sz="0" w:space="0" w:color="auto"/>
        <w:right w:val="none" w:sz="0" w:space="0" w:color="auto"/>
      </w:divBdr>
    </w:div>
    <w:div w:id="1871802355">
      <w:bodyDiv w:val="1"/>
      <w:marLeft w:val="0"/>
      <w:marRight w:val="0"/>
      <w:marTop w:val="0"/>
      <w:marBottom w:val="0"/>
      <w:divBdr>
        <w:top w:val="none" w:sz="0" w:space="0" w:color="auto"/>
        <w:left w:val="none" w:sz="0" w:space="0" w:color="auto"/>
        <w:bottom w:val="none" w:sz="0" w:space="0" w:color="auto"/>
        <w:right w:val="none" w:sz="0" w:space="0" w:color="auto"/>
      </w:divBdr>
    </w:div>
    <w:div w:id="201838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nger\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7E98B-20FF-4905-A992-C9B97893A1D9}">
  <ds:schemaRefs>
    <ds:schemaRef ds:uri="urn:schemas-microsoft-com.VSTO2008Demos.ControlsStorage"/>
  </ds:schemaRefs>
</ds:datastoreItem>
</file>

<file path=customXml/itemProps2.xml><?xml version="1.0" encoding="utf-8"?>
<ds:datastoreItem xmlns:ds="http://schemas.openxmlformats.org/officeDocument/2006/customXml" ds:itemID="{FE21676F-A2E4-4272-9E68-48A2DE4A9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0</TotalTime>
  <Pages>27</Pages>
  <Words>8652</Words>
  <Characters>207499</Characters>
  <Application>Microsoft Office Word</Application>
  <DocSecurity>4</DocSecurity>
  <Lines>1729</Lines>
  <Paragraphs>431</Paragraphs>
  <ScaleCrop>false</ScaleCrop>
  <HeadingPairs>
    <vt:vector size="2" baseType="variant">
      <vt:variant>
        <vt:lpstr>Title</vt:lpstr>
      </vt:variant>
      <vt:variant>
        <vt:i4>1</vt:i4>
      </vt:variant>
    </vt:vector>
  </HeadingPairs>
  <TitlesOfParts>
    <vt:vector size="1" baseType="lpstr">
      <vt:lpstr/>
    </vt:vector>
  </TitlesOfParts>
  <Company>Rothamsted Research</Company>
  <LinksUpToDate>false</LinksUpToDate>
  <CharactersWithSpaces>215720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Verena Pfahler</dc:creator>
  <cp:lastModifiedBy>Steve Granger</cp:lastModifiedBy>
  <cp:revision>2</cp:revision>
  <cp:lastPrinted>2019-06-06T05:51:00Z</cp:lastPrinted>
  <dcterms:created xsi:type="dcterms:W3CDTF">2020-01-21T16:32:00Z</dcterms:created>
  <dcterms:modified xsi:type="dcterms:W3CDTF">2020-01-21T16:32:00Z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http://www.zotero.org/styles/plant-and-soil</vt:lpwstr>
  </property>
  <property fmtid="{D5CDD505-2E9C-101B-9397-08002B2CF9AE}" pid="17" name="Mendeley Recent Style Name 7_1">
    <vt:lpwstr>Plant and Soil</vt:lpwstr>
  </property>
  <property fmtid="{D5CDD505-2E9C-101B-9397-08002B2CF9AE}" pid="18" name="Mendeley Recent Style Id 8_1">
    <vt:lpwstr>http://www.zotero.org/styles/rapid-communications-in-mass-spectrometry</vt:lpwstr>
  </property>
  <property fmtid="{D5CDD505-2E9C-101B-9397-08002B2CF9AE}" pid="19" name="Mendeley Recent Style Name 8_1">
    <vt:lpwstr>Rapid Communications in Mass Spectrometry</vt:lpwstr>
  </property>
  <property fmtid="{D5CDD505-2E9C-101B-9397-08002B2CF9AE}" pid="20" name="Mendeley Recent Style Id 9_1">
    <vt:lpwstr>http://www.zotero.org/styles/scientific-reports</vt:lpwstr>
  </property>
  <property fmtid="{D5CDD505-2E9C-101B-9397-08002B2CF9AE}" pid="21" name="Mendeley Recent Style Name 9_1">
    <vt:lpwstr>Scientific Reports</vt:lpwstr>
  </property>
  <property fmtid="{D5CDD505-2E9C-101B-9397-08002B2CF9AE}" pid="22" name="Mendeley Document_1">
    <vt:lpwstr>True</vt:lpwstr>
  </property>
  <property fmtid="{D5CDD505-2E9C-101B-9397-08002B2CF9AE}" pid="23" name="Mendeley Unique User Id_1">
    <vt:lpwstr>887c605e-5dff-3b2a-a2f5-7b4813f2092e</vt:lpwstr>
  </property>
  <property fmtid="{D5CDD505-2E9C-101B-9397-08002B2CF9AE}" pid="24" name="Mendeley Citation Style_1">
    <vt:lpwstr>http://www.zotero.org/styles/scientific-reports</vt:lpwstr>
  </property>
</Properties>
</file>