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B163B" w14:textId="4FBD30C3" w:rsidR="009568B0" w:rsidRDefault="00DE0C9A">
      <w:pPr>
        <w:rPr>
          <w:b/>
          <w:bCs/>
        </w:rPr>
      </w:pPr>
      <w:r>
        <w:rPr>
          <w:b/>
          <w:bCs/>
        </w:rPr>
        <w:t xml:space="preserve">Supplementary </w:t>
      </w:r>
      <w:r w:rsidR="00E11B6D">
        <w:rPr>
          <w:b/>
          <w:bCs/>
        </w:rPr>
        <w:t>information</w:t>
      </w:r>
    </w:p>
    <w:p w14:paraId="7C70C719" w14:textId="3BC3B813" w:rsidR="009568B0" w:rsidRDefault="00DE0C9A">
      <w:pPr>
        <w:rPr>
          <w:b/>
          <w:bCs/>
        </w:rPr>
      </w:pPr>
      <w:r>
        <w:rPr>
          <w:b/>
          <w:bCs/>
        </w:rPr>
        <w:t xml:space="preserve">S1. Fertilization history of </w:t>
      </w:r>
      <w:r w:rsidR="0085692B">
        <w:rPr>
          <w:b/>
          <w:bCs/>
        </w:rPr>
        <w:t xml:space="preserve">the sampled plots </w:t>
      </w:r>
      <w:r>
        <w:rPr>
          <w:b/>
          <w:bCs/>
        </w:rPr>
        <w:t xml:space="preserve"> </w:t>
      </w:r>
    </w:p>
    <w:p w14:paraId="0D92F90E" w14:textId="3D5EC081" w:rsidR="009568B0" w:rsidRDefault="00DE0C9A">
      <w:pPr>
        <w:pStyle w:val="ListParagraph"/>
        <w:spacing w:after="0" w:line="480" w:lineRule="auto"/>
        <w:ind w:left="0"/>
        <w:rPr>
          <w:rFonts w:cs="Calibri"/>
          <w:color w:val="000000"/>
        </w:rPr>
      </w:pPr>
      <w:r>
        <w:rPr>
          <w:rFonts w:cs="Calibri"/>
          <w:color w:val="000000"/>
        </w:rPr>
        <w:t xml:space="preserve">The soils </w:t>
      </w:r>
      <w:r w:rsidR="0085692B">
        <w:rPr>
          <w:rFonts w:cs="Calibri"/>
          <w:color w:val="000000"/>
        </w:rPr>
        <w:t>were</w:t>
      </w:r>
      <w:r>
        <w:rPr>
          <w:rFonts w:cs="Calibri"/>
          <w:color w:val="000000"/>
        </w:rPr>
        <w:t xml:space="preserve"> sampled in October 2015 from four treatments at the Broadbalk long-term field experiment (51°48′35″ N, 00°22′30″ W, Johnston and Poulton, 2018). </w:t>
      </w:r>
    </w:p>
    <w:p w14:paraId="5A694203" w14:textId="77777777" w:rsidR="009568B0" w:rsidRDefault="00DE0C9A">
      <w:pPr>
        <w:pStyle w:val="ListParagraph"/>
        <w:spacing w:after="0" w:line="480" w:lineRule="auto"/>
        <w:ind w:left="0"/>
        <w:jc w:val="center"/>
      </w:pPr>
      <w:r>
        <w:rPr>
          <w:noProof/>
        </w:rPr>
        <w:drawing>
          <wp:inline distT="0" distB="0" distL="0" distR="0" wp14:anchorId="2F38F8C2" wp14:editId="37ABF03C">
            <wp:extent cx="2989466" cy="4505312"/>
            <wp:effectExtent l="0" t="0" r="138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989466" cy="4505312"/>
                    </a:xfrm>
                    <a:prstGeom prst="rect">
                      <a:avLst/>
                    </a:prstGeom>
                    <a:noFill/>
                    <a:ln>
                      <a:noFill/>
                      <a:prstDash/>
                    </a:ln>
                  </pic:spPr>
                </pic:pic>
              </a:graphicData>
            </a:graphic>
          </wp:inline>
        </w:drawing>
      </w:r>
    </w:p>
    <w:p w14:paraId="13164236" w14:textId="77777777" w:rsidR="009568B0" w:rsidRDefault="00DE0C9A">
      <w:pPr>
        <w:pStyle w:val="ListParagraph"/>
        <w:spacing w:after="0" w:line="480" w:lineRule="auto"/>
        <w:ind w:left="0"/>
        <w:jc w:val="center"/>
        <w:rPr>
          <w:rFonts w:cs="Calibri"/>
          <w:color w:val="000000"/>
        </w:rPr>
      </w:pPr>
      <w:r>
        <w:rPr>
          <w:rFonts w:cs="Calibri"/>
          <w:color w:val="000000"/>
        </w:rPr>
        <w:t xml:space="preserve">Figure S1. The long-term wheat experiment at Rothamsted </w:t>
      </w:r>
    </w:p>
    <w:p w14:paraId="42CF045B" w14:textId="4DE0F675" w:rsidR="0085692B" w:rsidRDefault="00DE0C9A">
      <w:pPr>
        <w:pStyle w:val="ListParagraph"/>
        <w:spacing w:after="0" w:line="480" w:lineRule="auto"/>
        <w:ind w:left="0"/>
        <w:rPr>
          <w:rFonts w:cs="Calibri"/>
          <w:color w:val="000000"/>
        </w:rPr>
      </w:pPr>
      <w:r>
        <w:rPr>
          <w:rFonts w:cs="Calibri"/>
          <w:color w:val="000000"/>
        </w:rPr>
        <w:t xml:space="preserve">The experimental soil is a clay loam to silty clay loam over clay with flints (FAO Classification: Chromic Luvisol) and is slightly calcareous. It is inclined slightly toward the east </w:t>
      </w:r>
      <w:r w:rsidR="0085692B">
        <w:rPr>
          <w:rFonts w:cs="Calibri"/>
          <w:color w:val="000000"/>
        </w:rPr>
        <w:t xml:space="preserve">and is </w:t>
      </w:r>
      <w:r>
        <w:rPr>
          <w:rFonts w:cs="Calibri"/>
          <w:color w:val="000000"/>
        </w:rPr>
        <w:t>under free drainage by subsurface drain buried underneath each plot. The drained water from each drain is collected from an open trench at the east end of the experimental site as shown in Figure S1. The four treatment plots are on Section 1 on the west side of the experimental site as shown in Figure S1, which has been sown continuously with winter wheat (</w:t>
      </w:r>
      <w:r>
        <w:rPr>
          <w:rFonts w:cs="Calibri"/>
          <w:i/>
          <w:iCs/>
          <w:color w:val="000000"/>
        </w:rPr>
        <w:t xml:space="preserve">Triticum </w:t>
      </w:r>
      <w:proofErr w:type="spellStart"/>
      <w:r>
        <w:rPr>
          <w:rFonts w:cs="Calibri"/>
          <w:i/>
          <w:iCs/>
          <w:color w:val="000000"/>
        </w:rPr>
        <w:t>aestivum</w:t>
      </w:r>
      <w:proofErr w:type="spellEnd"/>
      <w:r>
        <w:rPr>
          <w:rFonts w:cs="Calibri"/>
          <w:color w:val="000000"/>
        </w:rPr>
        <w:t xml:space="preserve"> L., most recently </w:t>
      </w:r>
      <w:bookmarkStart w:id="0" w:name="_GoBack"/>
      <w:bookmarkEnd w:id="0"/>
      <w:r>
        <w:rPr>
          <w:rFonts w:cs="Calibri"/>
          <w:color w:val="000000"/>
        </w:rPr>
        <w:t>Crusoe seed coated with Redigo</w:t>
      </w:r>
      <w:r>
        <w:rPr>
          <w:rFonts w:cs="Calibri"/>
          <w:color w:val="000000"/>
          <w:vertAlign w:val="superscript"/>
        </w:rPr>
        <w:t>®</w:t>
      </w:r>
      <w:r>
        <w:rPr>
          <w:rFonts w:cs="Calibri"/>
          <w:color w:val="000000"/>
        </w:rPr>
        <w:t xml:space="preserve"> Deter</w:t>
      </w:r>
      <w:r>
        <w:rPr>
          <w:rFonts w:cs="Calibri"/>
          <w:color w:val="000000"/>
          <w:vertAlign w:val="superscript"/>
        </w:rPr>
        <w:t>®</w:t>
      </w:r>
      <w:r>
        <w:rPr>
          <w:rFonts w:cs="Calibri"/>
          <w:color w:val="000000"/>
        </w:rPr>
        <w:t xml:space="preserve"> combination insecticide/fungicide treatment, Bayer </w:t>
      </w:r>
      <w:proofErr w:type="spellStart"/>
      <w:r>
        <w:rPr>
          <w:rFonts w:cs="Calibri"/>
          <w:color w:val="000000"/>
        </w:rPr>
        <w:t>CropScience</w:t>
      </w:r>
      <w:proofErr w:type="spellEnd"/>
      <w:r>
        <w:rPr>
          <w:rFonts w:cs="Calibri"/>
          <w:color w:val="000000"/>
        </w:rPr>
        <w:t xml:space="preserve">) since 1843, except for occasional fallow years to control weeds. Triplicate samples </w:t>
      </w:r>
      <w:r>
        <w:rPr>
          <w:rFonts w:cs="Calibri"/>
          <w:color w:val="000000"/>
        </w:rPr>
        <w:lastRenderedPageBreak/>
        <w:t xml:space="preserve">were taken from each of the four plots: Plot 3 -1 (Strip-Section) that has not received fertilization since 1843 </w:t>
      </w:r>
      <w:r>
        <w:rPr>
          <w:rFonts w:cs="Calibri"/>
          <w:b/>
          <w:bCs/>
          <w:color w:val="000000"/>
        </w:rPr>
        <w:t>(referred to as CK)</w:t>
      </w:r>
      <w:r>
        <w:rPr>
          <w:rFonts w:cs="Calibri"/>
          <w:color w:val="000000"/>
        </w:rPr>
        <w:t>. Plot 2.2-1 that ha</w:t>
      </w:r>
      <w:r w:rsidR="0085692B">
        <w:rPr>
          <w:rFonts w:cs="Calibri"/>
          <w:color w:val="000000"/>
        </w:rPr>
        <w:t>s</w:t>
      </w:r>
      <w:r>
        <w:rPr>
          <w:rFonts w:cs="Calibri"/>
          <w:color w:val="000000"/>
        </w:rPr>
        <w:t xml:space="preserve"> been fertilized with composted farmyard manure (from cattle) applied at a rate of 35 t ha</w:t>
      </w:r>
      <w:r>
        <w:rPr>
          <w:rFonts w:cs="Calibri"/>
          <w:color w:val="000000"/>
          <w:vertAlign w:val="superscript"/>
        </w:rPr>
        <w:t>-1</w:t>
      </w:r>
      <w:r>
        <w:rPr>
          <w:rFonts w:cs="Calibri"/>
          <w:color w:val="000000"/>
        </w:rPr>
        <w:t xml:space="preserve"> per year since 1843 </w:t>
      </w:r>
      <w:r>
        <w:rPr>
          <w:rFonts w:cs="Calibri"/>
          <w:b/>
          <w:bCs/>
          <w:color w:val="000000"/>
        </w:rPr>
        <w:t>(referred to as FYM)</w:t>
      </w:r>
      <w:r>
        <w:rPr>
          <w:rFonts w:cs="Calibri"/>
          <w:color w:val="000000"/>
        </w:rPr>
        <w:t>. Plot 8-1 (</w:t>
      </w:r>
      <w:r>
        <w:rPr>
          <w:rFonts w:cs="Calibri"/>
          <w:b/>
          <w:bCs/>
          <w:color w:val="000000"/>
        </w:rPr>
        <w:t>referred as N3</w:t>
      </w:r>
      <w:r>
        <w:rPr>
          <w:rFonts w:cs="Calibri"/>
          <w:color w:val="000000"/>
        </w:rPr>
        <w:t>) that has received complete inorganic fertilizer (</w:t>
      </w:r>
      <w:proofErr w:type="spellStart"/>
      <w:r>
        <w:rPr>
          <w:rFonts w:cs="Calibri"/>
          <w:color w:val="000000"/>
        </w:rPr>
        <w:t>fertilizer</w:t>
      </w:r>
      <w:r>
        <w:rPr>
          <w:rFonts w:cs="Calibri"/>
          <w:color w:val="000000"/>
          <w:vertAlign w:val="superscript"/>
        </w:rPr>
        <w:t>+NP</w:t>
      </w:r>
      <w:proofErr w:type="spellEnd"/>
      <w:r>
        <w:rPr>
          <w:rFonts w:cs="Calibri"/>
          <w:color w:val="000000"/>
        </w:rPr>
        <w:t>) containing 144 kg ha</w:t>
      </w:r>
      <w:r>
        <w:rPr>
          <w:rFonts w:cs="Calibri"/>
          <w:color w:val="000000"/>
          <w:vertAlign w:val="superscript"/>
        </w:rPr>
        <w:t>-1</w:t>
      </w:r>
      <w:r>
        <w:rPr>
          <w:rFonts w:cs="Calibri"/>
          <w:color w:val="000000"/>
        </w:rPr>
        <w:t xml:space="preserve"> nitrogen (N), 35 kg ha</w:t>
      </w:r>
      <w:r>
        <w:rPr>
          <w:rFonts w:cs="Calibri"/>
          <w:color w:val="000000"/>
          <w:vertAlign w:val="superscript"/>
        </w:rPr>
        <w:t>-1</w:t>
      </w:r>
      <w:r>
        <w:rPr>
          <w:rFonts w:cs="Calibri"/>
          <w:color w:val="000000"/>
        </w:rPr>
        <w:t xml:space="preserve"> phosphorus (P) as triple superphosphate (calcium dihydrogen phosphate), 90 kg ha</w:t>
      </w:r>
      <w:r>
        <w:rPr>
          <w:rFonts w:cs="Calibri"/>
          <w:color w:val="000000"/>
          <w:vertAlign w:val="superscript"/>
        </w:rPr>
        <w:t>-1</w:t>
      </w:r>
      <w:r>
        <w:rPr>
          <w:rFonts w:cs="Calibri"/>
          <w:color w:val="000000"/>
        </w:rPr>
        <w:t xml:space="preserve"> potassium (K) as potassium </w:t>
      </w:r>
      <w:proofErr w:type="spellStart"/>
      <w:r>
        <w:rPr>
          <w:rFonts w:cs="Calibri"/>
          <w:color w:val="000000"/>
        </w:rPr>
        <w:t>sulfate</w:t>
      </w:r>
      <w:proofErr w:type="spellEnd"/>
      <w:r>
        <w:rPr>
          <w:rFonts w:cs="Calibri"/>
          <w:color w:val="000000"/>
        </w:rPr>
        <w:t>, and 12 kg ha</w:t>
      </w:r>
      <w:r>
        <w:rPr>
          <w:rFonts w:cs="Calibri"/>
          <w:color w:val="000000"/>
          <w:vertAlign w:val="superscript"/>
        </w:rPr>
        <w:t>-1</w:t>
      </w:r>
      <w:r>
        <w:rPr>
          <w:rFonts w:cs="Calibri"/>
          <w:color w:val="000000"/>
        </w:rPr>
        <w:t xml:space="preserve"> magnesium (Mg) as kieserite per year since 1852. Plot 20-1 that received inorganic 96 kg ha</w:t>
      </w:r>
      <w:r>
        <w:rPr>
          <w:rFonts w:cs="Calibri"/>
          <w:color w:val="000000"/>
          <w:vertAlign w:val="superscript"/>
        </w:rPr>
        <w:t>-1</w:t>
      </w:r>
      <w:r>
        <w:rPr>
          <w:rFonts w:cs="Calibri"/>
          <w:color w:val="000000"/>
        </w:rPr>
        <w:t xml:space="preserve"> N as ammonium sulphate, 35 kg ha</w:t>
      </w:r>
      <w:r>
        <w:rPr>
          <w:rFonts w:cs="Calibri"/>
          <w:color w:val="000000"/>
          <w:vertAlign w:val="superscript"/>
        </w:rPr>
        <w:t>-1</w:t>
      </w:r>
      <w:r>
        <w:rPr>
          <w:rFonts w:cs="Calibri"/>
          <w:color w:val="000000"/>
        </w:rPr>
        <w:t xml:space="preserve"> P, 90 kg ha</w:t>
      </w:r>
      <w:r>
        <w:rPr>
          <w:rFonts w:cs="Calibri"/>
          <w:color w:val="000000"/>
          <w:vertAlign w:val="superscript"/>
        </w:rPr>
        <w:t>-1</w:t>
      </w:r>
      <w:r>
        <w:rPr>
          <w:rFonts w:cs="Calibri"/>
          <w:color w:val="000000"/>
        </w:rPr>
        <w:t xml:space="preserve"> K and 12 kg ha</w:t>
      </w:r>
      <w:r>
        <w:rPr>
          <w:rFonts w:cs="Calibri"/>
          <w:color w:val="000000"/>
          <w:vertAlign w:val="superscript"/>
        </w:rPr>
        <w:t>-1</w:t>
      </w:r>
      <w:r>
        <w:rPr>
          <w:rFonts w:cs="Calibri"/>
          <w:color w:val="000000"/>
        </w:rPr>
        <w:t xml:space="preserve"> Mg per year (fertilizer</w:t>
      </w:r>
      <w:r>
        <w:rPr>
          <w:rFonts w:cs="Calibri"/>
          <w:color w:val="000000"/>
          <w:vertAlign w:val="superscript"/>
        </w:rPr>
        <w:t>-N</w:t>
      </w:r>
      <w:r>
        <w:rPr>
          <w:rFonts w:cs="Calibri"/>
          <w:color w:val="000000"/>
        </w:rPr>
        <w:t xml:space="preserve">) since 1906.  Nitrogenous fertilizer was applied to </w:t>
      </w:r>
      <w:proofErr w:type="spellStart"/>
      <w:r>
        <w:rPr>
          <w:rFonts w:cs="Calibri"/>
          <w:color w:val="000000"/>
        </w:rPr>
        <w:t>fertilizer</w:t>
      </w:r>
      <w:r>
        <w:rPr>
          <w:rFonts w:cs="Calibri"/>
          <w:color w:val="000000"/>
          <w:vertAlign w:val="superscript"/>
        </w:rPr>
        <w:t>+NP</w:t>
      </w:r>
      <w:proofErr w:type="spellEnd"/>
      <w:r>
        <w:rPr>
          <w:rFonts w:cs="Calibri"/>
          <w:color w:val="000000"/>
        </w:rPr>
        <w:t xml:space="preserve"> and fertilizer</w:t>
      </w:r>
      <w:r>
        <w:rPr>
          <w:rFonts w:cs="Calibri"/>
          <w:color w:val="000000"/>
          <w:vertAlign w:val="superscript"/>
        </w:rPr>
        <w:t>-P</w:t>
      </w:r>
      <w:r>
        <w:rPr>
          <w:rFonts w:cs="Calibri"/>
          <w:color w:val="000000"/>
        </w:rPr>
        <w:t xml:space="preserve"> soils as ammonium </w:t>
      </w:r>
      <w:proofErr w:type="spellStart"/>
      <w:r>
        <w:rPr>
          <w:rFonts w:cs="Calibri"/>
          <w:color w:val="000000"/>
        </w:rPr>
        <w:t>sulfate</w:t>
      </w:r>
      <w:proofErr w:type="spellEnd"/>
      <w:r>
        <w:rPr>
          <w:rFonts w:cs="Calibri"/>
          <w:color w:val="000000"/>
        </w:rPr>
        <w:t xml:space="preserve"> until 1967, calcium ammonium nitrate (Nitro-chalk) 1968–1985 and as </w:t>
      </w:r>
      <w:proofErr w:type="spellStart"/>
      <w:r>
        <w:rPr>
          <w:rFonts w:cs="Calibri"/>
          <w:color w:val="000000"/>
        </w:rPr>
        <w:t>Nitram</w:t>
      </w:r>
      <w:proofErr w:type="spellEnd"/>
      <w:r>
        <w:rPr>
          <w:rFonts w:cs="Calibri"/>
          <w:color w:val="000000"/>
          <w:vertAlign w:val="superscript"/>
        </w:rPr>
        <w:t>®</w:t>
      </w:r>
      <w:r>
        <w:rPr>
          <w:rFonts w:cs="Calibri"/>
          <w:color w:val="000000"/>
        </w:rPr>
        <w:t xml:space="preserve"> ammonium nitrate since 1986. Since 2001, Plot 20-1 has not received P as it was considered in excess (referred to as </w:t>
      </w:r>
      <w:r>
        <w:rPr>
          <w:rFonts w:cs="Calibri"/>
          <w:b/>
          <w:bCs/>
          <w:color w:val="000000"/>
        </w:rPr>
        <w:t>No P</w:t>
      </w:r>
      <w:r>
        <w:rPr>
          <w:rFonts w:cs="Calibri"/>
          <w:color w:val="000000"/>
        </w:rPr>
        <w:t xml:space="preserve">). The plough layer (0–23 cm) is limed when necessary - due to increasing soil acidity largely resulting from long-term use of ammonium </w:t>
      </w:r>
      <w:proofErr w:type="spellStart"/>
      <w:r>
        <w:rPr>
          <w:rFonts w:cs="Calibri"/>
          <w:color w:val="000000"/>
        </w:rPr>
        <w:t>sulfate</w:t>
      </w:r>
      <w:proofErr w:type="spellEnd"/>
      <w:r>
        <w:rPr>
          <w:rFonts w:cs="Calibri"/>
          <w:color w:val="000000"/>
        </w:rPr>
        <w:t xml:space="preserve"> as a source of N on some plots - to maintain a minimum soil pH of 7.0–7.5. Liming began in Autumn 1954, and a total chalk application of 18.4 and 10.4 t ha</w:t>
      </w:r>
      <w:r>
        <w:rPr>
          <w:rFonts w:cs="Calibri"/>
          <w:color w:val="000000"/>
          <w:vertAlign w:val="superscript"/>
        </w:rPr>
        <w:t>-1</w:t>
      </w:r>
      <w:r>
        <w:rPr>
          <w:rFonts w:cs="Calibri"/>
          <w:color w:val="000000"/>
        </w:rPr>
        <w:t xml:space="preserve"> was applied to </w:t>
      </w:r>
      <w:proofErr w:type="spellStart"/>
      <w:r>
        <w:rPr>
          <w:rFonts w:cs="Calibri"/>
          <w:color w:val="000000"/>
        </w:rPr>
        <w:t>fertilizer</w:t>
      </w:r>
      <w:r>
        <w:rPr>
          <w:rFonts w:cs="Calibri"/>
          <w:color w:val="000000"/>
          <w:vertAlign w:val="superscript"/>
        </w:rPr>
        <w:t>+NP</w:t>
      </w:r>
      <w:proofErr w:type="spellEnd"/>
      <w:r>
        <w:rPr>
          <w:rFonts w:cs="Calibri"/>
          <w:color w:val="000000"/>
        </w:rPr>
        <w:t xml:space="preserve"> and fertilizer</w:t>
      </w:r>
      <w:r>
        <w:rPr>
          <w:rFonts w:cs="Calibri"/>
          <w:color w:val="000000"/>
          <w:vertAlign w:val="superscript"/>
        </w:rPr>
        <w:t>-P</w:t>
      </w:r>
      <w:r>
        <w:rPr>
          <w:rFonts w:cs="Calibri"/>
          <w:color w:val="000000"/>
        </w:rPr>
        <w:t xml:space="preserve"> soils respectively, up until 1974. No chalk was applied to the other soils. From 1975 to 1989 a regular scheme was introduced, and a total of 14.7 t ha</w:t>
      </w:r>
      <w:r>
        <w:rPr>
          <w:rFonts w:cs="Calibri"/>
          <w:color w:val="000000"/>
          <w:vertAlign w:val="superscript"/>
        </w:rPr>
        <w:t>-1</w:t>
      </w:r>
      <w:r>
        <w:rPr>
          <w:rFonts w:cs="Calibri"/>
          <w:color w:val="000000"/>
        </w:rPr>
        <w:t xml:space="preserve"> chalk was applied to each soil. No further chalk was required until 2007. Since then, </w:t>
      </w:r>
      <w:proofErr w:type="spellStart"/>
      <w:r>
        <w:rPr>
          <w:rFonts w:cs="Calibri"/>
          <w:color w:val="000000"/>
        </w:rPr>
        <w:t>fertilizer</w:t>
      </w:r>
      <w:r>
        <w:rPr>
          <w:rFonts w:cs="Calibri"/>
          <w:color w:val="000000"/>
          <w:vertAlign w:val="superscript"/>
        </w:rPr>
        <w:t>+NP</w:t>
      </w:r>
      <w:proofErr w:type="spellEnd"/>
      <w:r>
        <w:rPr>
          <w:rFonts w:cs="Calibri"/>
          <w:color w:val="000000"/>
        </w:rPr>
        <w:t xml:space="preserve"> soil received a total of 6 t ha</w:t>
      </w:r>
      <w:r>
        <w:rPr>
          <w:rFonts w:cs="Calibri"/>
          <w:color w:val="000000"/>
          <w:vertAlign w:val="superscript"/>
        </w:rPr>
        <w:t>-1</w:t>
      </w:r>
      <w:r>
        <w:rPr>
          <w:rFonts w:cs="Calibri"/>
          <w:color w:val="000000"/>
        </w:rPr>
        <w:t xml:space="preserve"> chalk up to 2015; the other three plots did not require chalk over this period. All soils are tilled conventionally. Since treatments are not replicated on the field experiment, three </w:t>
      </w:r>
      <w:r>
        <w:rPr>
          <w:rFonts w:cs="Calibri"/>
          <w:i/>
          <w:iCs/>
          <w:color w:val="000000"/>
        </w:rPr>
        <w:t>pseudo</w:t>
      </w:r>
      <w:r>
        <w:rPr>
          <w:rFonts w:cs="Calibri"/>
          <w:color w:val="000000"/>
        </w:rPr>
        <w:t xml:space="preserve">-replicates were collected from each treatment plot. These </w:t>
      </w:r>
      <w:r>
        <w:rPr>
          <w:rFonts w:cs="Calibri"/>
          <w:i/>
          <w:iCs/>
          <w:color w:val="000000"/>
        </w:rPr>
        <w:t>pseudo</w:t>
      </w:r>
      <w:r>
        <w:rPr>
          <w:rFonts w:cs="Calibri"/>
          <w:color w:val="000000"/>
        </w:rPr>
        <w:t xml:space="preserve">-replicates were collected from each end and the centre of the plot, approximately 9 m apart.  The local mean annual temperature and rainfall are 10.1 </w:t>
      </w:r>
      <w:proofErr w:type="spellStart"/>
      <w:r>
        <w:rPr>
          <w:rFonts w:cs="Calibri"/>
          <w:color w:val="000000"/>
          <w:vertAlign w:val="superscript"/>
        </w:rPr>
        <w:t>o</w:t>
      </w:r>
      <w:r>
        <w:rPr>
          <w:rFonts w:cs="Calibri"/>
          <w:color w:val="000000"/>
        </w:rPr>
        <w:t>C</w:t>
      </w:r>
      <w:proofErr w:type="spellEnd"/>
      <w:r>
        <w:rPr>
          <w:rFonts w:cs="Calibri"/>
          <w:color w:val="000000"/>
        </w:rPr>
        <w:t xml:space="preserve"> and 701 mm, respectively. The soil is predominantly clay loam classified as Chromic Luvisol (FAO classification). </w:t>
      </w:r>
    </w:p>
    <w:p w14:paraId="20412EE0" w14:textId="44720CE6" w:rsidR="005F5C84" w:rsidRPr="005F5C84" w:rsidRDefault="0085692B" w:rsidP="005F5C84">
      <w:pPr>
        <w:pStyle w:val="ListParagraph"/>
        <w:spacing w:after="0" w:line="480" w:lineRule="auto"/>
        <w:ind w:left="0"/>
        <w:rPr>
          <w:rFonts w:cs="Calibri"/>
          <w:b/>
          <w:bCs/>
          <w:color w:val="000000"/>
        </w:rPr>
      </w:pPr>
      <w:r>
        <w:rPr>
          <w:rFonts w:cs="Calibri"/>
          <w:color w:val="000000"/>
        </w:rPr>
        <w:t xml:space="preserve"> </w:t>
      </w:r>
      <w:r w:rsidR="00DE0C9A">
        <w:rPr>
          <w:rFonts w:cs="Calibri"/>
          <w:b/>
          <w:bCs/>
          <w:color w:val="000000"/>
        </w:rPr>
        <w:t xml:space="preserve">S2. The lattice Boltzmann model </w:t>
      </w:r>
    </w:p>
    <w:p w14:paraId="7FB014FF" w14:textId="70FA7DFB" w:rsidR="005F5C84" w:rsidRPr="00306184" w:rsidRDefault="005F5C84" w:rsidP="00596960">
      <w:pPr>
        <w:pStyle w:val="ListParagraph"/>
        <w:spacing w:after="0" w:line="480" w:lineRule="auto"/>
        <w:ind w:left="0" w:firstLine="425"/>
        <w:rPr>
          <w:rFonts w:ascii="Arial" w:hAnsi="Arial" w:cs="Arial"/>
          <w:color w:val="000000" w:themeColor="text1"/>
        </w:rPr>
      </w:pPr>
      <w:r w:rsidRPr="00306184">
        <w:rPr>
          <w:rFonts w:ascii="Arial" w:hAnsi="Arial" w:cs="Arial"/>
          <w:color w:val="000000" w:themeColor="text1"/>
        </w:rPr>
        <w:t xml:space="preserve">Water flow in </w:t>
      </w:r>
      <w:r>
        <w:rPr>
          <w:rFonts w:ascii="Arial" w:hAnsi="Arial" w:cs="Arial"/>
          <w:color w:val="000000" w:themeColor="text1"/>
        </w:rPr>
        <w:t>all imaged samples</w:t>
      </w:r>
      <w:r w:rsidRPr="00306184">
        <w:rPr>
          <w:rFonts w:ascii="Arial" w:hAnsi="Arial" w:cs="Arial"/>
          <w:color w:val="000000" w:themeColor="text1"/>
        </w:rPr>
        <w:t xml:space="preserve"> was simulated using the lattice Boltzmann (LB) method by tracking the movement and collision of </w:t>
      </w:r>
      <w:proofErr w:type="gramStart"/>
      <w:r w:rsidRPr="00306184">
        <w:rPr>
          <w:rFonts w:ascii="Arial" w:hAnsi="Arial" w:cs="Arial"/>
          <w:color w:val="000000" w:themeColor="text1"/>
        </w:rPr>
        <w:t>a number of</w:t>
      </w:r>
      <w:proofErr w:type="gramEnd"/>
      <w:r w:rsidRPr="00306184">
        <w:rPr>
          <w:rFonts w:ascii="Arial" w:hAnsi="Arial" w:cs="Arial"/>
          <w:color w:val="000000" w:themeColor="text1"/>
        </w:rPr>
        <w:t xml:space="preserve"> fictitious fluid particles under constraint</w:t>
      </w:r>
      <w:r>
        <w:rPr>
          <w:rFonts w:ascii="Arial" w:hAnsi="Arial" w:cs="Arial"/>
          <w:color w:val="000000" w:themeColor="text1"/>
        </w:rPr>
        <w:t>s</w:t>
      </w:r>
      <w:r w:rsidRPr="00306184">
        <w:rPr>
          <w:rFonts w:ascii="Arial" w:hAnsi="Arial" w:cs="Arial"/>
          <w:color w:val="000000" w:themeColor="text1"/>
        </w:rPr>
        <w:t xml:space="preserve"> that their movement and collision conserve mass and momentum. The </w:t>
      </w:r>
      <w:r w:rsidRPr="00306184">
        <w:rPr>
          <w:rFonts w:ascii="Arial" w:hAnsi="Arial" w:cs="Arial"/>
          <w:color w:val="000000" w:themeColor="text1"/>
        </w:rPr>
        <w:lastRenderedPageBreak/>
        <w:t xml:space="preserve">propagation of each particle in </w:t>
      </w:r>
      <w:r>
        <w:rPr>
          <w:rFonts w:ascii="Arial" w:hAnsi="Arial" w:cs="Arial"/>
          <w:color w:val="000000" w:themeColor="text1"/>
        </w:rPr>
        <w:t>the pore space in each sample</w:t>
      </w:r>
      <w:r w:rsidRPr="00306184">
        <w:rPr>
          <w:rFonts w:ascii="Arial" w:hAnsi="Arial" w:cs="Arial"/>
          <w:color w:val="000000" w:themeColor="text1"/>
        </w:rPr>
        <w:t xml:space="preserve"> is described by the following </w:t>
      </w:r>
      <w:r w:rsidRPr="00306184">
        <w:rPr>
          <w:rStyle w:val="normaltextrun1"/>
          <w:rFonts w:ascii="Arial" w:hAnsi="Arial" w:cs="Arial"/>
          <w:color w:val="000000" w:themeColor="text1"/>
        </w:rPr>
        <w:t>multiple-relaxation time lattice Boltzmann equation</w:t>
      </w:r>
      <w:r w:rsidR="001852CA">
        <w:rPr>
          <w:rStyle w:val="normaltextrun1"/>
          <w:rFonts w:ascii="Arial" w:hAnsi="Arial" w:cs="Arial"/>
          <w:color w:val="000000" w:themeColor="text1"/>
        </w:rPr>
        <w:t xml:space="preserve"> </w:t>
      </w:r>
      <w:r w:rsidR="001852CA">
        <w:rPr>
          <w:rStyle w:val="normaltextrun1"/>
          <w:rFonts w:ascii="Arial" w:hAnsi="Arial" w:cs="Arial"/>
          <w:color w:val="000000" w:themeColor="text1"/>
        </w:rPr>
        <w:fldChar w:fldCharType="begin">
          <w:fldData xml:space="preserve">PEVuZE5vdGU+PENpdGU+PEF1dGhvcj5kJmFwb3M7SHVtaWVyZXM8L0F1dGhvcj48WWVhcj4yMDAy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</w:fldData>
        </w:fldChar>
      </w:r>
      <w:r w:rsidR="001852CA">
        <w:rPr>
          <w:rStyle w:val="normaltextrun1"/>
          <w:rFonts w:ascii="Arial" w:hAnsi="Arial" w:cs="Arial"/>
          <w:color w:val="000000" w:themeColor="text1"/>
        </w:rPr>
        <w:instrText xml:space="preserve"> ADDIN EN.CITE </w:instrText>
      </w:r>
      <w:r w:rsidR="001852CA">
        <w:rPr>
          <w:rStyle w:val="normaltextrun1"/>
          <w:rFonts w:ascii="Arial" w:hAnsi="Arial" w:cs="Arial"/>
          <w:color w:val="000000" w:themeColor="text1"/>
        </w:rPr>
        <w:fldChar w:fldCharType="begin">
          <w:fldData xml:space="preserve">PEVuZE5vdGU+PENpdGU+PEF1dGhvcj5kJmFwb3M7SHVtaWVyZXM8L0F1dGhvcj48WWVhcj4yMDAy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</w:fldData>
        </w:fldChar>
      </w:r>
      <w:r w:rsidR="001852CA">
        <w:rPr>
          <w:rStyle w:val="normaltextrun1"/>
          <w:rFonts w:ascii="Arial" w:hAnsi="Arial" w:cs="Arial"/>
          <w:color w:val="000000" w:themeColor="text1"/>
        </w:rPr>
        <w:instrText xml:space="preserve"> ADDIN EN.CITE.DATA </w:instrText>
      </w:r>
      <w:r w:rsidR="001852CA">
        <w:rPr>
          <w:rStyle w:val="normaltextrun1"/>
          <w:rFonts w:ascii="Arial" w:hAnsi="Arial" w:cs="Arial"/>
          <w:color w:val="000000" w:themeColor="text1"/>
        </w:rPr>
      </w:r>
      <w:r w:rsidR="001852CA">
        <w:rPr>
          <w:rStyle w:val="normaltextrun1"/>
          <w:rFonts w:ascii="Arial" w:hAnsi="Arial" w:cs="Arial"/>
          <w:color w:val="000000" w:themeColor="text1"/>
        </w:rPr>
        <w:fldChar w:fldCharType="end"/>
      </w:r>
      <w:r w:rsidR="001852CA">
        <w:rPr>
          <w:rStyle w:val="normaltextrun1"/>
          <w:rFonts w:ascii="Arial" w:hAnsi="Arial" w:cs="Arial"/>
          <w:color w:val="000000" w:themeColor="text1"/>
        </w:rPr>
      </w:r>
      <w:r w:rsidR="001852CA">
        <w:rPr>
          <w:rStyle w:val="normaltextrun1"/>
          <w:rFonts w:ascii="Arial" w:hAnsi="Arial" w:cs="Arial"/>
          <w:color w:val="000000" w:themeColor="text1"/>
        </w:rPr>
        <w:fldChar w:fldCharType="separate"/>
      </w:r>
      <w:r w:rsidR="001852CA">
        <w:rPr>
          <w:rStyle w:val="normaltextrun1"/>
          <w:rFonts w:ascii="Arial" w:hAnsi="Arial" w:cs="Arial"/>
          <w:noProof/>
          <w:color w:val="000000" w:themeColor="text1"/>
        </w:rPr>
        <w:t>(d'Humieres et al., 2002)</w:t>
      </w:r>
      <w:r w:rsidR="001852CA">
        <w:rPr>
          <w:rStyle w:val="normaltextrun1"/>
          <w:rFonts w:ascii="Arial" w:hAnsi="Arial" w:cs="Arial"/>
          <w:color w:val="000000" w:themeColor="text1"/>
        </w:rPr>
        <w:fldChar w:fldCharType="end"/>
      </w:r>
      <w:r w:rsidRPr="00306184">
        <w:rPr>
          <w:rStyle w:val="normaltextrun1"/>
          <w:rFonts w:ascii="Arial" w:hAnsi="Arial" w:cs="Arial"/>
          <w:color w:val="000000" w:themeColor="text1"/>
        </w:rPr>
        <w:t xml:space="preserve">: </w:t>
      </w:r>
    </w:p>
    <w:p w14:paraId="212281BC" w14:textId="410A5F0C" w:rsidR="005F5C84" w:rsidRPr="00306184" w:rsidRDefault="005F5C84" w:rsidP="005F5C84">
      <w:pPr>
        <w:spacing w:after="0" w:line="480" w:lineRule="auto"/>
        <w:rPr>
          <w:rFonts w:ascii="Arial" w:hAnsi="Arial" w:cs="Arial"/>
          <w:color w:val="000000" w:themeColor="text1"/>
        </w:rPr>
      </w:pPr>
      <w:r w:rsidRPr="00306184">
        <w:rPr>
          <w:rFonts w:ascii="Arial" w:hAnsi="Arial" w:cs="Arial"/>
          <w:color w:val="000000" w:themeColor="text1"/>
          <w:position w:val="-16"/>
        </w:rPr>
        <w:object w:dxaOrig="5340" w:dyaOrig="420" w14:anchorId="107EB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35pt;height:22pt" o:ole="">
            <v:imagedata r:id="rId7" o:title=""/>
          </v:shape>
          <o:OLEObject Type="Embed" ProgID="Equation.DSMT4" ShapeID="_x0000_i1025" DrawAspect="Content" ObjectID="_1654457777" r:id="rId8"/>
        </w:object>
      </w:r>
      <w:r w:rsidRPr="00306184">
        <w:rPr>
          <w:rFonts w:ascii="Arial" w:hAnsi="Arial" w:cs="Arial"/>
          <w:color w:val="000000" w:themeColor="text1"/>
        </w:rPr>
        <w:tab/>
        <w:t>(</w:t>
      </w:r>
      <w:r w:rsidR="00596960">
        <w:rPr>
          <w:rFonts w:ascii="Arial" w:hAnsi="Arial" w:cs="Arial"/>
          <w:color w:val="000000" w:themeColor="text1"/>
        </w:rPr>
        <w:t>S</w:t>
      </w:r>
      <w:r w:rsidRPr="00306184">
        <w:rPr>
          <w:rFonts w:ascii="Arial" w:hAnsi="Arial" w:cs="Arial"/>
          <w:color w:val="000000" w:themeColor="text1"/>
        </w:rPr>
        <w:t>1)</w:t>
      </w:r>
    </w:p>
    <w:p w14:paraId="43D7CFF4" w14:textId="4F13A046" w:rsidR="005F5C84" w:rsidRPr="00306184" w:rsidRDefault="005F5C84" w:rsidP="005F5C84">
      <w:pPr>
        <w:spacing w:after="0" w:line="480" w:lineRule="auto"/>
        <w:contextualSpacing/>
        <w:rPr>
          <w:rFonts w:ascii="Arial" w:hAnsi="Arial" w:cs="Arial"/>
          <w:color w:val="000000" w:themeColor="text1"/>
        </w:rPr>
      </w:pPr>
      <w:r w:rsidRPr="00306184">
        <w:rPr>
          <w:rFonts w:ascii="Arial" w:hAnsi="Arial" w:cs="Arial"/>
          <w:color w:val="000000" w:themeColor="text1"/>
        </w:rPr>
        <w:t>where</w:t>
      </w:r>
      <w:r w:rsidRPr="00306184">
        <w:rPr>
          <w:rFonts w:ascii="Arial" w:hAnsi="Arial" w:cs="Arial"/>
          <w:color w:val="000000" w:themeColor="text1"/>
          <w:position w:val="-12"/>
        </w:rPr>
        <w:object w:dxaOrig="720" w:dyaOrig="360" w14:anchorId="68A2A2CE">
          <v:shape id="_x0000_i1026" type="#_x0000_t75" style="width:36.65pt;height:18.35pt" o:ole="">
            <v:imagedata r:id="rId9" o:title=""/>
          </v:shape>
          <o:OLEObject Type="Embed" ProgID="Equation.DSMT4" ShapeID="_x0000_i1026" DrawAspect="Content" ObjectID="_1654457778" r:id="rId10"/>
        </w:object>
      </w:r>
      <w:r w:rsidRPr="00306184">
        <w:rPr>
          <w:rFonts w:ascii="Arial" w:hAnsi="Arial" w:cs="Arial"/>
          <w:color w:val="000000" w:themeColor="text1"/>
        </w:rPr>
        <w:t xml:space="preserve">is the particle distribution function at location </w:t>
      </w:r>
      <w:r w:rsidRPr="00306184">
        <w:rPr>
          <w:rFonts w:ascii="Arial" w:hAnsi="Arial" w:cs="Arial"/>
          <w:b/>
          <w:i/>
          <w:color w:val="000000" w:themeColor="text1"/>
        </w:rPr>
        <w:t>x</w:t>
      </w:r>
      <w:r w:rsidRPr="00306184">
        <w:rPr>
          <w:rFonts w:ascii="Arial" w:hAnsi="Arial" w:cs="Arial"/>
          <w:color w:val="000000" w:themeColor="text1"/>
        </w:rPr>
        <w:t xml:space="preserve"> and time </w:t>
      </w:r>
      <w:r w:rsidRPr="00306184">
        <w:rPr>
          <w:rFonts w:ascii="Arial" w:hAnsi="Arial" w:cs="Arial"/>
          <w:i/>
          <w:color w:val="000000" w:themeColor="text1"/>
        </w:rPr>
        <w:t>t</w:t>
      </w:r>
      <w:r w:rsidRPr="00306184">
        <w:rPr>
          <w:rFonts w:ascii="Arial" w:hAnsi="Arial" w:cs="Arial"/>
          <w:color w:val="000000" w:themeColor="text1"/>
        </w:rPr>
        <w:t xml:space="preserve"> moving at lattice velocity </w:t>
      </w:r>
      <w:proofErr w:type="spellStart"/>
      <w:r w:rsidRPr="00306184">
        <w:rPr>
          <w:rFonts w:ascii="Arial" w:hAnsi="Arial" w:cs="Arial"/>
          <w:b/>
          <w:i/>
          <w:color w:val="000000" w:themeColor="text1"/>
        </w:rPr>
        <w:t>e</w:t>
      </w:r>
      <w:r w:rsidRPr="00306184">
        <w:rPr>
          <w:rFonts w:ascii="Arial" w:hAnsi="Arial" w:cs="Arial"/>
          <w:i/>
          <w:color w:val="000000" w:themeColor="text1"/>
          <w:vertAlign w:val="subscript"/>
        </w:rPr>
        <w:t>i</w:t>
      </w:r>
      <w:proofErr w:type="spellEnd"/>
      <w:r w:rsidRPr="00306184">
        <w:rPr>
          <w:rFonts w:ascii="Arial" w:hAnsi="Arial" w:cs="Arial"/>
          <w:color w:val="000000" w:themeColor="text1"/>
        </w:rPr>
        <w:t xml:space="preserve">, </w:t>
      </w:r>
      <w:proofErr w:type="spellStart"/>
      <w:r w:rsidRPr="00306184">
        <w:rPr>
          <w:rFonts w:ascii="Arial" w:hAnsi="Arial" w:cs="Arial"/>
          <w:color w:val="000000" w:themeColor="text1"/>
        </w:rPr>
        <w:t>δ</w:t>
      </w:r>
      <w:r w:rsidRPr="00306184">
        <w:rPr>
          <w:rFonts w:ascii="Arial" w:hAnsi="Arial" w:cs="Arial"/>
          <w:i/>
          <w:color w:val="000000" w:themeColor="text1"/>
        </w:rPr>
        <w:t>x</w:t>
      </w:r>
      <w:proofErr w:type="spellEnd"/>
      <w:r w:rsidRPr="00306184">
        <w:rPr>
          <w:rFonts w:ascii="Arial" w:hAnsi="Arial" w:cs="Arial"/>
          <w:color w:val="000000" w:themeColor="text1"/>
        </w:rPr>
        <w:t xml:space="preserve"> is the size of the voxels in the image, </w:t>
      </w:r>
      <w:proofErr w:type="spellStart"/>
      <w:r w:rsidRPr="00306184">
        <w:rPr>
          <w:rFonts w:ascii="Arial" w:hAnsi="Arial" w:cs="Arial"/>
          <w:color w:val="000000" w:themeColor="text1"/>
        </w:rPr>
        <w:t>δ</w:t>
      </w:r>
      <w:r w:rsidRPr="00306184">
        <w:rPr>
          <w:rFonts w:ascii="Arial" w:hAnsi="Arial" w:cs="Arial"/>
          <w:i/>
          <w:color w:val="000000" w:themeColor="text1"/>
        </w:rPr>
        <w:t>t</w:t>
      </w:r>
      <w:proofErr w:type="spellEnd"/>
      <w:r w:rsidRPr="00306184">
        <w:rPr>
          <w:rFonts w:ascii="Arial" w:hAnsi="Arial" w:cs="Arial"/>
          <w:color w:val="000000" w:themeColor="text1"/>
        </w:rPr>
        <w:t xml:space="preserve"> is time step, </w:t>
      </w:r>
      <w:r w:rsidRPr="00306184">
        <w:rPr>
          <w:rFonts w:ascii="Arial" w:hAnsi="Arial" w:cs="Arial"/>
          <w:color w:val="000000" w:themeColor="text1"/>
          <w:position w:val="-12"/>
        </w:rPr>
        <w:object w:dxaOrig="852" w:dyaOrig="360" w14:anchorId="424CA795">
          <v:shape id="_x0000_i1027" type="#_x0000_t75" style="width:43pt;height:18.35pt" o:ole="">
            <v:imagedata r:id="rId11" o:title=""/>
          </v:shape>
          <o:OLEObject Type="Embed" ProgID="Equation.DSMT4" ShapeID="_x0000_i1027" DrawAspect="Content" ObjectID="_1654457779" r:id="rId12"/>
        </w:object>
      </w:r>
      <w:r w:rsidRPr="00306184">
        <w:rPr>
          <w:rFonts w:ascii="Arial" w:hAnsi="Arial" w:cs="Arial"/>
          <w:color w:val="000000" w:themeColor="text1"/>
        </w:rPr>
        <w:t xml:space="preserve"> is equilibrium distribution function, </w:t>
      </w:r>
      <w:r w:rsidRPr="00306184">
        <w:rPr>
          <w:rFonts w:ascii="Arial" w:hAnsi="Arial" w:cs="Arial"/>
          <w:i/>
          <w:color w:val="000000" w:themeColor="text1"/>
        </w:rPr>
        <w:t>M</w:t>
      </w:r>
      <w:r w:rsidRPr="00306184">
        <w:rPr>
          <w:rFonts w:ascii="Arial" w:hAnsi="Arial" w:cs="Arial"/>
          <w:color w:val="000000" w:themeColor="text1"/>
        </w:rPr>
        <w:t xml:space="preserve"> is a transform matrix and </w:t>
      </w:r>
      <w:r w:rsidRPr="00306184">
        <w:rPr>
          <w:rFonts w:ascii="Arial" w:hAnsi="Arial" w:cs="Arial"/>
          <w:i/>
          <w:color w:val="000000" w:themeColor="text1"/>
        </w:rPr>
        <w:t>S</w:t>
      </w:r>
      <w:r w:rsidRPr="00306184">
        <w:rPr>
          <w:rFonts w:ascii="Arial" w:hAnsi="Arial" w:cs="Arial"/>
          <w:color w:val="000000" w:themeColor="text1"/>
        </w:rPr>
        <w:t xml:space="preserve"> is the collision matrix. The product </w:t>
      </w:r>
      <w:proofErr w:type="spellStart"/>
      <w:r w:rsidRPr="00306184">
        <w:rPr>
          <w:rFonts w:ascii="Arial" w:hAnsi="Arial" w:cs="Arial"/>
          <w:color w:val="000000" w:themeColor="text1"/>
        </w:rPr>
        <w:t>M</w:t>
      </w:r>
      <w:r w:rsidRPr="00306184">
        <w:rPr>
          <w:rFonts w:ascii="Arial" w:hAnsi="Arial" w:cs="Arial"/>
          <w:i/>
          <w:color w:val="000000" w:themeColor="text1"/>
        </w:rPr>
        <w:t>f</w:t>
      </w:r>
      <w:proofErr w:type="spellEnd"/>
      <w:r w:rsidRPr="00306184">
        <w:rPr>
          <w:rFonts w:ascii="Arial" w:hAnsi="Arial" w:cs="Arial"/>
          <w:i/>
          <w:color w:val="000000" w:themeColor="text1"/>
        </w:rPr>
        <w:t xml:space="preserve"> </w:t>
      </w:r>
      <w:r w:rsidRPr="00306184">
        <w:rPr>
          <w:rFonts w:ascii="Arial" w:hAnsi="Arial" w:cs="Arial"/>
          <w:color w:val="000000" w:themeColor="text1"/>
        </w:rPr>
        <w:t>in Eq. (</w:t>
      </w:r>
      <w:r>
        <w:rPr>
          <w:rFonts w:ascii="Arial" w:hAnsi="Arial" w:cs="Arial"/>
          <w:color w:val="000000" w:themeColor="text1"/>
        </w:rPr>
        <w:t>A</w:t>
      </w:r>
      <w:r w:rsidRPr="00306184">
        <w:rPr>
          <w:rFonts w:ascii="Arial" w:hAnsi="Arial" w:cs="Arial"/>
          <w:color w:val="000000" w:themeColor="text1"/>
        </w:rPr>
        <w:t>1)</w:t>
      </w:r>
      <w:r w:rsidRPr="00306184">
        <w:rPr>
          <w:rFonts w:ascii="Arial" w:hAnsi="Arial" w:cs="Arial"/>
          <w:i/>
          <w:color w:val="000000" w:themeColor="text1"/>
        </w:rPr>
        <w:t xml:space="preserve"> </w:t>
      </w:r>
      <w:r w:rsidRPr="00306184">
        <w:rPr>
          <w:rFonts w:ascii="Arial" w:hAnsi="Arial" w:cs="Arial"/>
          <w:color w:val="000000" w:themeColor="text1"/>
        </w:rPr>
        <w:t>transforms the particle distribution functions to a moment space in which the collision operation</w:t>
      </w:r>
      <w:r>
        <w:rPr>
          <w:rFonts w:ascii="Arial" w:hAnsi="Arial" w:cs="Arial"/>
          <w:color w:val="000000" w:themeColor="text1"/>
        </w:rPr>
        <w:t xml:space="preserve"> of</w:t>
      </w:r>
      <w:r w:rsidRPr="00306184">
        <w:rPr>
          <w:rFonts w:ascii="Arial" w:hAnsi="Arial" w:cs="Arial"/>
          <w:color w:val="000000" w:themeColor="text1"/>
          <w:position w:val="-16"/>
        </w:rPr>
        <w:object w:dxaOrig="2640" w:dyaOrig="420" w14:anchorId="11C5C471">
          <v:shape id="_x0000_i1028" type="#_x0000_t75" style="width:132.35pt;height:22pt" o:ole="">
            <v:imagedata r:id="rId13" o:title=""/>
          </v:shape>
          <o:OLEObject Type="Embed" ProgID="Equation.DSMT4" ShapeID="_x0000_i1028" DrawAspect="Content" ObjectID="_1654457780" r:id="rId14"/>
        </w:object>
      </w:r>
      <w:r w:rsidRPr="00306184">
        <w:rPr>
          <w:rFonts w:ascii="Arial" w:hAnsi="Arial" w:cs="Arial"/>
          <w:color w:val="000000" w:themeColor="text1"/>
        </w:rPr>
        <w:t xml:space="preserve"> is performed. The post-collision result</w:t>
      </w:r>
      <w:r>
        <w:rPr>
          <w:rFonts w:ascii="Arial" w:hAnsi="Arial" w:cs="Arial"/>
          <w:color w:val="000000" w:themeColor="text1"/>
        </w:rPr>
        <w:t>s</w:t>
      </w:r>
      <w:r w:rsidRPr="00306184">
        <w:rPr>
          <w:rFonts w:ascii="Arial" w:hAnsi="Arial" w:cs="Arial"/>
          <w:color w:val="000000" w:themeColor="text1"/>
        </w:rPr>
        <w:t xml:space="preserve"> in the moment space </w:t>
      </w:r>
      <w:r>
        <w:rPr>
          <w:rFonts w:ascii="Arial" w:hAnsi="Arial" w:cs="Arial"/>
          <w:color w:val="000000" w:themeColor="text1"/>
        </w:rPr>
        <w:t>are</w:t>
      </w:r>
      <w:r w:rsidRPr="00306184">
        <w:rPr>
          <w:rFonts w:ascii="Arial" w:hAnsi="Arial" w:cs="Arial"/>
          <w:color w:val="000000" w:themeColor="text1"/>
        </w:rPr>
        <w:t xml:space="preserve"> then transformed back to particle distribution functions by</w:t>
      </w:r>
      <w:r w:rsidRPr="00306184">
        <w:rPr>
          <w:rFonts w:ascii="Arial" w:hAnsi="Arial" w:cs="Arial"/>
          <w:color w:val="000000" w:themeColor="text1"/>
          <w:position w:val="-6"/>
        </w:rPr>
        <w:object w:dxaOrig="600" w:dyaOrig="300" w14:anchorId="6B0DD733">
          <v:shape id="_x0000_i1029" type="#_x0000_t75" style="width:30pt;height:15.35pt" o:ole="">
            <v:imagedata r:id="rId15" o:title=""/>
          </v:shape>
          <o:OLEObject Type="Embed" ProgID="Equation.DSMT4" ShapeID="_x0000_i1029" DrawAspect="Content" ObjectID="_1654457781" r:id="rId16"/>
        </w:object>
      </w:r>
      <w:r w:rsidRPr="00306184">
        <w:rPr>
          <w:rFonts w:ascii="Arial" w:hAnsi="Arial" w:cs="Arial"/>
          <w:color w:val="000000" w:themeColor="text1"/>
        </w:rPr>
        <w:t xml:space="preserve">. We use the D3Q19 lattice model in this paper </w:t>
      </w:r>
      <w:r>
        <w:rPr>
          <w:rFonts w:ascii="Arial" w:hAnsi="Arial" w:cs="Arial"/>
          <w:color w:val="000000" w:themeColor="text1"/>
        </w:rPr>
        <w:t>in which</w:t>
      </w:r>
      <w:r w:rsidRPr="00306184">
        <w:rPr>
          <w:rFonts w:ascii="Arial" w:hAnsi="Arial" w:cs="Arial"/>
          <w:color w:val="000000" w:themeColor="text1"/>
        </w:rPr>
        <w:t xml:space="preserve"> the particle distribution functions move in 19 directions </w:t>
      </w:r>
      <w:r>
        <w:rPr>
          <w:rFonts w:ascii="Arial" w:hAnsi="Arial" w:cs="Arial"/>
          <w:color w:val="000000" w:themeColor="text1"/>
        </w:rPr>
        <w:t>at</w:t>
      </w:r>
      <w:r w:rsidRPr="00306184">
        <w:rPr>
          <w:rFonts w:ascii="Arial" w:hAnsi="Arial" w:cs="Arial"/>
          <w:color w:val="000000" w:themeColor="text1"/>
        </w:rPr>
        <w:t xml:space="preserve"> 19 velocities: </w:t>
      </w:r>
      <w:r w:rsidRPr="00306184">
        <w:rPr>
          <w:rFonts w:ascii="Arial" w:hAnsi="Arial" w:cs="Arial"/>
          <w:color w:val="000000" w:themeColor="text1"/>
          <w:position w:val="-12"/>
        </w:rPr>
        <w:object w:dxaOrig="858" w:dyaOrig="360" w14:anchorId="0D05A98E">
          <v:shape id="_x0000_i1030" type="#_x0000_t75" style="width:43pt;height:18.35pt" o:ole="">
            <v:imagedata r:id="rId17" o:title=""/>
          </v:shape>
          <o:OLEObject Type="Embed" ProgID="Equation.DSMT4" ShapeID="_x0000_i1030" DrawAspect="Content" ObjectID="_1654457782" r:id="rId18"/>
        </w:object>
      </w:r>
      <w:r w:rsidRPr="00306184">
        <w:rPr>
          <w:rFonts w:ascii="Arial" w:hAnsi="Arial" w:cs="Arial"/>
          <w:color w:val="000000" w:themeColor="text1"/>
        </w:rPr>
        <w:t xml:space="preserve">, </w:t>
      </w:r>
      <w:r w:rsidRPr="00306184">
        <w:rPr>
          <w:rFonts w:ascii="Arial" w:hAnsi="Arial" w:cs="Arial"/>
          <w:color w:val="000000" w:themeColor="text1"/>
          <w:position w:val="-12"/>
        </w:rPr>
        <w:object w:dxaOrig="2016" w:dyaOrig="360" w14:anchorId="2D4660F6">
          <v:shape id="_x0000_i1031" type="#_x0000_t75" style="width:100.35pt;height:18.35pt" o:ole="">
            <v:imagedata r:id="rId19" o:title=""/>
          </v:shape>
          <o:OLEObject Type="Embed" ProgID="Equation.DSMT4" ShapeID="_x0000_i1031" DrawAspect="Content" ObjectID="_1654457783" r:id="rId20"/>
        </w:object>
      </w:r>
      <w:r w:rsidRPr="00306184">
        <w:rPr>
          <w:rFonts w:ascii="Arial" w:hAnsi="Arial" w:cs="Arial"/>
          <w:color w:val="000000" w:themeColor="text1"/>
        </w:rPr>
        <w:t xml:space="preserve">, </w:t>
      </w:r>
      <w:r w:rsidRPr="00306184">
        <w:rPr>
          <w:rFonts w:ascii="Arial" w:hAnsi="Arial" w:cs="Arial"/>
          <w:color w:val="000000" w:themeColor="text1"/>
          <w:position w:val="-12"/>
        </w:rPr>
        <w:object w:dxaOrig="2058" w:dyaOrig="360" w14:anchorId="000295F0">
          <v:shape id="_x0000_i1032" type="#_x0000_t75" style="width:103.65pt;height:18.35pt" o:ole="">
            <v:imagedata r:id="rId21" o:title=""/>
          </v:shape>
          <o:OLEObject Type="Embed" ProgID="Equation.DSMT4" ShapeID="_x0000_i1032" DrawAspect="Content" ObjectID="_1654457784" r:id="rId22"/>
        </w:object>
      </w:r>
      <w:r w:rsidRPr="00306184">
        <w:rPr>
          <w:rFonts w:ascii="Arial" w:hAnsi="Arial" w:cs="Arial"/>
          <w:color w:val="000000" w:themeColor="text1"/>
        </w:rPr>
        <w:t xml:space="preserve">, </w:t>
      </w:r>
      <w:r w:rsidRPr="00306184">
        <w:rPr>
          <w:rFonts w:ascii="Arial" w:hAnsi="Arial" w:cs="Arial"/>
          <w:color w:val="000000" w:themeColor="text1"/>
          <w:position w:val="-12"/>
        </w:rPr>
        <w:object w:dxaOrig="2016" w:dyaOrig="360" w14:anchorId="7E3EC01F">
          <v:shape id="_x0000_i1033" type="#_x0000_t75" style="width:100.35pt;height:18.35pt" o:ole="">
            <v:imagedata r:id="rId23" o:title=""/>
          </v:shape>
          <o:OLEObject Type="Embed" ProgID="Equation.DSMT4" ShapeID="_x0000_i1033" DrawAspect="Content" ObjectID="_1654457785" r:id="rId24"/>
        </w:object>
      </w:r>
      <w:r w:rsidRPr="00306184">
        <w:rPr>
          <w:rFonts w:ascii="Arial" w:hAnsi="Arial" w:cs="Arial"/>
          <w:color w:val="000000" w:themeColor="text1"/>
        </w:rPr>
        <w:t xml:space="preserve">and </w:t>
      </w:r>
      <w:r w:rsidRPr="00306184">
        <w:rPr>
          <w:rFonts w:ascii="Arial" w:hAnsi="Arial" w:cs="Arial"/>
          <w:color w:val="000000" w:themeColor="text1"/>
          <w:position w:val="-12"/>
        </w:rPr>
        <w:object w:dxaOrig="2598" w:dyaOrig="360" w14:anchorId="485D5E59">
          <v:shape id="_x0000_i1034" type="#_x0000_t75" style="width:130pt;height:18.35pt" o:ole="">
            <v:imagedata r:id="rId25" o:title=""/>
          </v:shape>
          <o:OLEObject Type="Embed" ProgID="Equation.DSMT4" ShapeID="_x0000_i1034" DrawAspect="Content" ObjectID="_1654457786" r:id="rId26"/>
        </w:object>
      </w:r>
      <w:r w:rsidR="001852CA">
        <w:rPr>
          <w:rFonts w:ascii="Arial" w:hAnsi="Arial" w:cs="Arial"/>
          <w:color w:val="000000" w:themeColor="text1"/>
        </w:rPr>
        <w:fldChar w:fldCharType="begin"/>
      </w:r>
      <w:r w:rsidR="001852CA">
        <w:rPr>
          <w:rFonts w:ascii="Arial" w:hAnsi="Arial" w:cs="Arial"/>
          <w:color w:val="000000" w:themeColor="text1"/>
        </w:rPr>
        <w:instrText xml:space="preserve"> ADDIN EN.CITE &lt;EndNote&gt;&lt;Cite&gt;&lt;Author&gt;Qian&lt;/Author&gt;&lt;Year&gt;1992&lt;/Year&gt;&lt;RecNum&gt;58&lt;/RecNum&gt;&lt;DisplayText&gt;(Qian et al., 1992)&lt;/DisplayText&gt;&lt;record&gt;&lt;rec-number&gt;58&lt;/rec-number&gt;&lt;foreign-keys&gt;&lt;key app="EN" db-id="pxrfwadxaer5v8ef0vj5zvfmrea9edveswst" timestamp="0"&gt;58&lt;/key&gt;&lt;/foreign-keys&gt;&lt;ref-type name="Journal Article"&gt;17&lt;/ref-type&gt;&lt;contributors&gt;&lt;authors&gt;&lt;author&gt;Qian, Y. H.&lt;/author&gt;&lt;author&gt;Dhumieres, D.&lt;/author&gt;&lt;author&gt;Lallemand, P.&lt;/author&gt;&lt;/authors&gt;&lt;/contributors&gt;&lt;auth-address&gt;UNIV PARIS 06,F-75230 PARIS 05,FRANCE. UNIV PARIS 07,F-75221 PARIS 05,FRANCE.&amp;#xD;QIAN, YH (reprint author), ECOLE NORM SUPER,CNRS,PHYS STAT LAB,24 RUE LHOMOND,F-75231 PARIS 05,FRANCE.&lt;/auth-address&gt;&lt;titles&gt;&lt;title&gt;Lattice BGK models for Navier-Stokes equation&lt;/title&gt;&lt;secondary-title&gt;Europhysics Letters&lt;/secondary-title&gt;&lt;alt-title&gt;Europhys. Lett.&lt;/alt-title&gt;&lt;/titles&gt;&lt;pages&gt;479-484&lt;/pages&gt;&lt;volume&gt;17&lt;/volume&gt;&lt;number&gt;6BIS&lt;/number&gt;&lt;keywords&gt;&lt;keyword&gt;computational techniques&lt;/keyword&gt;&lt;keyword&gt;turbulent flows, convection, and heat&lt;/keyword&gt;&lt;keyword&gt;transfer&lt;/keyword&gt;&lt;keyword&gt;kinetic and transport theory&lt;/keyword&gt;&lt;keyword&gt;gas models&lt;/keyword&gt;&lt;keyword&gt;Physics&lt;/keyword&gt;&lt;/keywords&gt;&lt;dates&gt;&lt;year&gt;1992&lt;/year&gt;&lt;pub-dates&gt;&lt;date&gt;Feb&lt;/date&gt;&lt;/pub-dates&gt;&lt;/dates&gt;&lt;isbn&gt;0295-5075&lt;/isbn&gt;&lt;accession-num&gt;WOS:A1992GY21400001&lt;/accession-num&gt;&lt;work-type&gt;Article&lt;/work-type&gt;&lt;urls&gt;&lt;related-urls&gt;&lt;url&gt;&amp;lt;Go to ISI&amp;gt;://WOS:A1992GY21400001&lt;/url&gt;&lt;/related-urls&gt;&lt;/urls&gt;&lt;electronic-resource-num&gt;10.1209/0295-5075/17/6/001&lt;/electronic-resource-num&gt;&lt;language&gt;English&lt;/language&gt;&lt;/record&gt;&lt;/Cite&gt;&lt;/EndNote&gt;</w:instrText>
      </w:r>
      <w:r w:rsidR="001852CA">
        <w:rPr>
          <w:rFonts w:ascii="Arial" w:hAnsi="Arial" w:cs="Arial"/>
          <w:color w:val="000000" w:themeColor="text1"/>
        </w:rPr>
        <w:fldChar w:fldCharType="separate"/>
      </w:r>
      <w:r w:rsidR="001852CA">
        <w:rPr>
          <w:rFonts w:ascii="Arial" w:hAnsi="Arial" w:cs="Arial"/>
          <w:noProof/>
          <w:color w:val="000000" w:themeColor="text1"/>
        </w:rPr>
        <w:t>(Qian et al., 1992)</w:t>
      </w:r>
      <w:r w:rsidR="001852CA">
        <w:rPr>
          <w:rFonts w:ascii="Arial" w:hAnsi="Arial" w:cs="Arial"/>
          <w:color w:val="000000" w:themeColor="text1"/>
        </w:rPr>
        <w:fldChar w:fldCharType="end"/>
      </w:r>
      <w:r w:rsidRPr="00306184">
        <w:rPr>
          <w:rFonts w:ascii="Arial" w:hAnsi="Arial" w:cs="Arial"/>
          <w:color w:val="000000" w:themeColor="text1"/>
        </w:rPr>
        <w:t xml:space="preserve">. The collision matrix is diagonal </w:t>
      </w:r>
      <w:r>
        <w:rPr>
          <w:rFonts w:ascii="Arial" w:hAnsi="Arial" w:cs="Arial"/>
          <w:color w:val="000000" w:themeColor="text1"/>
        </w:rPr>
        <w:t xml:space="preserve">the </w:t>
      </w:r>
      <w:r w:rsidRPr="00306184">
        <w:rPr>
          <w:rFonts w:ascii="Arial" w:hAnsi="Arial" w:cs="Arial"/>
          <w:color w:val="000000" w:themeColor="text1"/>
        </w:rPr>
        <w:t>terms</w:t>
      </w:r>
      <w:r>
        <w:rPr>
          <w:rFonts w:ascii="Arial" w:hAnsi="Arial" w:cs="Arial"/>
          <w:color w:val="000000" w:themeColor="text1"/>
        </w:rPr>
        <w:t xml:space="preserve"> in which are</w:t>
      </w:r>
    </w:p>
    <w:p w14:paraId="4951A87E" w14:textId="366F19E8" w:rsidR="005F5C84" w:rsidRPr="00306184" w:rsidRDefault="005F5C84" w:rsidP="005F5C84">
      <w:pPr>
        <w:spacing w:after="0" w:line="480" w:lineRule="auto"/>
        <w:contextualSpacing/>
        <w:rPr>
          <w:rFonts w:ascii="Arial" w:hAnsi="Arial" w:cs="Arial"/>
          <w:color w:val="000000" w:themeColor="text1"/>
        </w:rPr>
      </w:pPr>
      <w:r w:rsidRPr="00306184">
        <w:rPr>
          <w:rFonts w:ascii="Arial" w:hAnsi="Arial" w:cs="Arial"/>
          <w:color w:val="000000" w:themeColor="text1"/>
          <w:position w:val="-66"/>
        </w:rPr>
        <w:object w:dxaOrig="5910" w:dyaOrig="1440" w14:anchorId="40F95220">
          <v:shape id="_x0000_i1035" type="#_x0000_t75" style="width:296pt;height:1in" o:ole="">
            <v:imagedata r:id="rId27" o:title=""/>
          </v:shape>
          <o:OLEObject Type="Embed" ProgID="Equation.DSMT4" ShapeID="_x0000_i1035" DrawAspect="Content" ObjectID="_1654457787" r:id="rId28"/>
        </w:object>
      </w:r>
      <w:r w:rsidRPr="00306184">
        <w:rPr>
          <w:rFonts w:ascii="Arial" w:hAnsi="Arial" w:cs="Arial"/>
          <w:color w:val="000000" w:themeColor="text1"/>
        </w:rPr>
        <w:tab/>
        <w:t>(</w:t>
      </w:r>
      <w:r w:rsidR="00596960">
        <w:rPr>
          <w:rFonts w:ascii="Arial" w:hAnsi="Arial" w:cs="Arial"/>
          <w:color w:val="000000" w:themeColor="text1"/>
        </w:rPr>
        <w:t>S</w:t>
      </w:r>
      <w:r w:rsidRPr="00306184">
        <w:rPr>
          <w:rFonts w:ascii="Arial" w:hAnsi="Arial" w:cs="Arial"/>
          <w:color w:val="000000" w:themeColor="text1"/>
        </w:rPr>
        <w:t>2)</w:t>
      </w:r>
    </w:p>
    <w:p w14:paraId="5CB9D658" w14:textId="30309327" w:rsidR="005F5C84" w:rsidRPr="00306184" w:rsidRDefault="005F5C84" w:rsidP="005F5C84">
      <w:pPr>
        <w:spacing w:after="0" w:line="480" w:lineRule="auto"/>
        <w:ind w:firstLine="426"/>
        <w:contextualSpacing/>
        <w:rPr>
          <w:rFonts w:ascii="Arial" w:hAnsi="Arial" w:cs="Arial"/>
          <w:color w:val="000000" w:themeColor="text1"/>
        </w:rPr>
      </w:pPr>
      <w:r w:rsidRPr="00306184">
        <w:rPr>
          <w:rFonts w:ascii="Arial" w:hAnsi="Arial" w:cs="Arial"/>
          <w:color w:val="000000" w:themeColor="text1"/>
        </w:rPr>
        <w:t>The fluid simulated by the above model has a kinematic viscosity</w:t>
      </w:r>
      <w:r w:rsidR="001852CA" w:rsidRPr="00306184">
        <w:rPr>
          <w:rFonts w:ascii="Arial" w:hAnsi="Arial" w:cs="Arial"/>
          <w:color w:val="000000" w:themeColor="text1"/>
          <w:position w:val="-10"/>
        </w:rPr>
        <w:object w:dxaOrig="1840" w:dyaOrig="340" w14:anchorId="37D06EA4">
          <v:shape id="_x0000_i1036" type="#_x0000_t75" style="width:92pt;height:17.65pt" o:ole="">
            <v:imagedata r:id="rId29" o:title=""/>
          </v:shape>
          <o:OLEObject Type="Embed" ProgID="Equation.DSMT4" ShapeID="_x0000_i1036" DrawAspect="Content" ObjectID="_1654457788" r:id="rId30"/>
        </w:object>
      </w:r>
      <w:r w:rsidRPr="00306184">
        <w:rPr>
          <w:rFonts w:ascii="Arial" w:hAnsi="Arial" w:cs="Arial"/>
          <w:color w:val="000000" w:themeColor="text1"/>
        </w:rPr>
        <w:t xml:space="preserve"> and pressure</w:t>
      </w:r>
      <w:r w:rsidRPr="00306184">
        <w:rPr>
          <w:rFonts w:ascii="Arial" w:hAnsi="Arial" w:cs="Arial"/>
          <w:color w:val="000000" w:themeColor="text1"/>
          <w:position w:val="-10"/>
        </w:rPr>
        <w:object w:dxaOrig="1320" w:dyaOrig="342" w14:anchorId="52315B53">
          <v:shape id="_x0000_i1037" type="#_x0000_t75" style="width:66pt;height:17.65pt" o:ole="">
            <v:imagedata r:id="rId31" o:title=""/>
          </v:shape>
          <o:OLEObject Type="Embed" ProgID="Equation.DSMT4" ShapeID="_x0000_i1037" DrawAspect="Content" ObjectID="_1654457789" r:id="rId32"/>
        </w:object>
      </w:r>
      <w:r w:rsidRPr="00306184">
        <w:rPr>
          <w:rFonts w:ascii="Arial" w:hAnsi="Arial" w:cs="Arial"/>
          <w:color w:val="000000" w:themeColor="text1"/>
        </w:rPr>
        <w:t>. The equilibrium distribution functions in Eq</w:t>
      </w:r>
      <w:r>
        <w:rPr>
          <w:rFonts w:ascii="Arial" w:hAnsi="Arial" w:cs="Arial"/>
          <w:color w:val="000000" w:themeColor="text1"/>
        </w:rPr>
        <w:t>. (</w:t>
      </w:r>
      <w:r w:rsidRPr="00306184">
        <w:rPr>
          <w:rFonts w:ascii="Arial" w:hAnsi="Arial" w:cs="Arial"/>
          <w:color w:val="000000" w:themeColor="text1"/>
        </w:rPr>
        <w:t>A1</w:t>
      </w:r>
      <w:r>
        <w:rPr>
          <w:rFonts w:ascii="Arial" w:hAnsi="Arial" w:cs="Arial"/>
          <w:color w:val="000000" w:themeColor="text1"/>
        </w:rPr>
        <w:t>)</w:t>
      </w:r>
      <w:r w:rsidRPr="00306184">
        <w:rPr>
          <w:rFonts w:ascii="Arial" w:hAnsi="Arial" w:cs="Arial"/>
          <w:color w:val="000000" w:themeColor="text1"/>
        </w:rPr>
        <w:t xml:space="preserve"> are defined as follows:</w:t>
      </w:r>
    </w:p>
    <w:p w14:paraId="6060CF60" w14:textId="7603039F" w:rsidR="005F5C84" w:rsidRPr="00306184" w:rsidRDefault="005F5C84" w:rsidP="005F5C84">
      <w:pPr>
        <w:spacing w:after="0" w:line="480" w:lineRule="auto"/>
        <w:contextualSpacing/>
        <w:rPr>
          <w:rFonts w:ascii="Arial" w:hAnsi="Arial" w:cs="Arial"/>
          <w:color w:val="000000" w:themeColor="text1"/>
        </w:rPr>
      </w:pPr>
      <w:r w:rsidRPr="00306184">
        <w:rPr>
          <w:rFonts w:ascii="Arial" w:hAnsi="Arial" w:cs="Arial"/>
          <w:color w:val="000000" w:themeColor="text1"/>
          <w:position w:val="-100"/>
        </w:rPr>
        <w:object w:dxaOrig="4440" w:dyaOrig="2118" w14:anchorId="4A895F83">
          <v:shape id="_x0000_i1038" type="#_x0000_t75" style="width:222.35pt;height:105.35pt" o:ole="">
            <v:imagedata r:id="rId33" o:title=""/>
          </v:shape>
          <o:OLEObject Type="Embed" ProgID="Equation.DSMT4" ShapeID="_x0000_i1038" DrawAspect="Content" ObjectID="_1654457790" r:id="rId34"/>
        </w:object>
      </w:r>
      <w:r w:rsidRPr="00306184">
        <w:rPr>
          <w:rFonts w:ascii="Arial" w:hAnsi="Arial" w:cs="Arial"/>
          <w:color w:val="000000" w:themeColor="text1"/>
        </w:rPr>
        <w:tab/>
        <w:t>(</w:t>
      </w:r>
      <w:r w:rsidR="00596960">
        <w:rPr>
          <w:rFonts w:ascii="Arial" w:hAnsi="Arial" w:cs="Arial"/>
          <w:color w:val="000000" w:themeColor="text1"/>
        </w:rPr>
        <w:t>S</w:t>
      </w:r>
      <w:r w:rsidRPr="00306184">
        <w:rPr>
          <w:rFonts w:ascii="Arial" w:hAnsi="Arial" w:cs="Arial"/>
          <w:color w:val="000000" w:themeColor="text1"/>
        </w:rPr>
        <w:t>3)</w:t>
      </w:r>
    </w:p>
    <w:p w14:paraId="7D0074CE" w14:textId="114EE48D" w:rsidR="005F5C84" w:rsidRPr="00306184" w:rsidRDefault="005F5C84" w:rsidP="005F5C84">
      <w:pPr>
        <w:spacing w:after="0" w:line="480" w:lineRule="auto"/>
        <w:contextualSpacing/>
        <w:rPr>
          <w:rFonts w:ascii="Arial" w:hAnsi="Arial" w:cs="Arial"/>
          <w:color w:val="000000" w:themeColor="text1"/>
        </w:rPr>
      </w:pPr>
      <w:r w:rsidRPr="00306184">
        <w:rPr>
          <w:rFonts w:ascii="Arial" w:hAnsi="Arial" w:cs="Arial"/>
          <w:color w:val="000000" w:themeColor="text1"/>
        </w:rPr>
        <w:lastRenderedPageBreak/>
        <w:t xml:space="preserve">where </w:t>
      </w:r>
      <w:r w:rsidRPr="00306184">
        <w:rPr>
          <w:rFonts w:ascii="Arial" w:hAnsi="Arial" w:cs="Arial"/>
          <w:color w:val="000000" w:themeColor="text1"/>
          <w:position w:val="-6"/>
        </w:rPr>
        <w:object w:dxaOrig="984" w:dyaOrig="282" w14:anchorId="1321EEB2">
          <v:shape id="_x0000_i1039" type="#_x0000_t75" style="width:49pt;height:14pt" o:ole="">
            <v:imagedata r:id="rId35" o:title=""/>
          </v:shape>
          <o:OLEObject Type="Embed" ProgID="Equation.DSMT4" ShapeID="_x0000_i1039" DrawAspect="Content" ObjectID="_1654457791" r:id="rId36"/>
        </w:object>
      </w:r>
      <w:r w:rsidRPr="00306184">
        <w:rPr>
          <w:rFonts w:ascii="Arial" w:hAnsi="Arial" w:cs="Arial"/>
          <w:color w:val="000000" w:themeColor="text1"/>
        </w:rPr>
        <w:t xml:space="preserve"> and </w:t>
      </w:r>
      <w:r w:rsidRPr="00306184">
        <w:rPr>
          <w:rFonts w:ascii="Arial" w:hAnsi="Arial" w:cs="Arial"/>
          <w:color w:val="000000" w:themeColor="text1"/>
          <w:position w:val="-12"/>
        </w:rPr>
        <w:object w:dxaOrig="282" w:dyaOrig="360" w14:anchorId="17CEEECB">
          <v:shape id="_x0000_i1040" type="#_x0000_t75" style="width:14pt;height:18.35pt" o:ole="">
            <v:imagedata r:id="rId37" o:title=""/>
          </v:shape>
          <o:OLEObject Type="Embed" ProgID="Equation.DSMT4" ShapeID="_x0000_i1040" DrawAspect="Content" ObjectID="_1654457792" r:id="rId38"/>
        </w:object>
      </w:r>
      <w:r w:rsidRPr="00306184">
        <w:rPr>
          <w:rFonts w:ascii="Arial" w:hAnsi="Arial" w:cs="Arial"/>
          <w:color w:val="000000" w:themeColor="text1"/>
        </w:rPr>
        <w:t>is a reference fluid density to ensure that the fluid is incompressible when the flow is in steady state</w:t>
      </w:r>
      <w:r w:rsidR="001852CA">
        <w:rPr>
          <w:rFonts w:ascii="Arial" w:hAnsi="Arial" w:cs="Arial"/>
          <w:color w:val="000000" w:themeColor="text1"/>
        </w:rPr>
        <w:t xml:space="preserve"> </w:t>
      </w:r>
      <w:r w:rsidR="001852CA">
        <w:rPr>
          <w:rFonts w:ascii="Arial" w:hAnsi="Arial" w:cs="Arial"/>
          <w:color w:val="000000" w:themeColor="text1"/>
        </w:rPr>
        <w:fldChar w:fldCharType="begin"/>
      </w:r>
      <w:r w:rsidR="001852CA">
        <w:rPr>
          <w:rFonts w:ascii="Arial" w:hAnsi="Arial" w:cs="Arial"/>
          <w:color w:val="000000" w:themeColor="text1"/>
        </w:rPr>
        <w:instrText xml:space="preserve"> ADDIN EN.CITE &lt;EndNote&gt;&lt;Cite&gt;&lt;Author&gt;Zou&lt;/Author&gt;&lt;Year&gt;1995&lt;/Year&gt;&lt;RecNum&gt;59&lt;/RecNum&gt;&lt;DisplayText&gt;(Zou et al., 1995)&lt;/DisplayText&gt;&lt;record&gt;&lt;rec-number&gt;59&lt;/rec-number&gt;&lt;foreign-keys&gt;&lt;key app="EN" db-id="pxrfwadxaer5v8ef0vj5zvfmrea9edveswst" timestamp="0"&gt;59&lt;/key&gt;&lt;/foreign-keys&gt;&lt;ref-type name="Journal Article"&gt;17&lt;/ref-type&gt;&lt;contributors&gt;&lt;authors&gt;&lt;author&gt;Zou, Q. S.&lt;/author&gt;&lt;author&gt;Hou, S. L.&lt;/author&gt;&lt;author&gt;Chen, S. Y.&lt;/author&gt;&lt;author&gt;Doolen, G. D.&lt;/author&gt;&lt;/authors&gt;&lt;/contributors&gt;&lt;auth-address&gt;LOS ALAMOS NATL LAB,DIV THEORET,LOS ALAMOS,NM 87545. KANSAS STATE UNIV AGR &amp;amp; APPL SCI,DEPT MATH,MANHATTAN,KS 66506. KANSAS STATE UNIV AGR &amp;amp; APPL SCI,DEPT MECH ENGN,MANHATTAN,KS 66506. IBM CORP,DIV RES,TJ WATSON RES CTR,YORKTOWN HTS,NY 10598.&amp;#xD;ZOU, QS (reprint author), LOS ALAMOS NATL LAB,CTR NONLINEAR STUDIES,LOS ALAMOS,NM 87545, USA.&lt;/auth-address&gt;&lt;titles&gt;&lt;title&gt;An improved incompressible Lattice Boltzmann model for time-independent flows. &lt;/title&gt;&lt;secondary-title&gt;Journal of Statistical Physics&lt;/secondary-title&gt;&lt;alt-title&gt;J. Stat. Phys.&lt;/alt-title&gt;&lt;/titles&gt;&lt;pages&gt;35-48&lt;/pages&gt;&lt;volume&gt;81&lt;/volume&gt;&lt;number&gt;1-2&lt;/number&gt;&lt;keywords&gt;&lt;keyword&gt;lattice boltzmann method&lt;/keyword&gt;&lt;keyword&gt;incompressible flows&lt;/keyword&gt;&lt;keyword&gt;steady flows&lt;/keyword&gt;&lt;keyword&gt;navier-stokes equation&lt;/keyword&gt;&lt;keyword&gt;bgk models&lt;/keyword&gt;&lt;keyword&gt;Physics&lt;/keyword&gt;&lt;/keywords&gt;&lt;dates&gt;&lt;year&gt;1995&lt;/year&gt;&lt;pub-dates&gt;&lt;date&gt;Oct&lt;/date&gt;&lt;/pub-dates&gt;&lt;/dates&gt;&lt;isbn&gt;0022-4715&lt;/isbn&gt;&lt;accession-num&gt;WOS:A1995TD43200004&lt;/accession-num&gt;&lt;work-type&gt;Article; Proceedings Paper&lt;/work-type&gt;&lt;urls&gt;&lt;related-urls&gt;&lt;url&gt;&lt;style face="underline" font="default" size="100%"&gt;&amp;lt;Go to ISI&amp;gt;://WOS:A1995TD43200004&lt;/style&gt;&lt;/url&gt;&lt;/related-urls&gt;&lt;/urls&gt;&lt;electronic-resource-num&gt;10.1007/bf02179966&lt;/electronic-resource-num&gt;&lt;language&gt;English&lt;/language&gt;&lt;/record&gt;&lt;/Cite&gt;&lt;/EndNote&gt;</w:instrText>
      </w:r>
      <w:r w:rsidR="001852CA">
        <w:rPr>
          <w:rFonts w:ascii="Arial" w:hAnsi="Arial" w:cs="Arial"/>
          <w:color w:val="000000" w:themeColor="text1"/>
        </w:rPr>
        <w:fldChar w:fldCharType="separate"/>
      </w:r>
      <w:r w:rsidR="001852CA">
        <w:rPr>
          <w:rFonts w:ascii="Arial" w:hAnsi="Arial" w:cs="Arial"/>
          <w:noProof/>
          <w:color w:val="000000" w:themeColor="text1"/>
        </w:rPr>
        <w:t>(Zou et al., 1995)</w:t>
      </w:r>
      <w:r w:rsidR="001852CA">
        <w:rPr>
          <w:rFonts w:ascii="Arial" w:hAnsi="Arial" w:cs="Arial"/>
          <w:color w:val="000000" w:themeColor="text1"/>
        </w:rPr>
        <w:fldChar w:fldCharType="end"/>
      </w:r>
      <w:r w:rsidRPr="00306184">
        <w:rPr>
          <w:rFonts w:ascii="Arial" w:hAnsi="Arial" w:cs="Arial"/>
          <w:color w:val="000000" w:themeColor="text1"/>
        </w:rPr>
        <w:t xml:space="preserve">. The bulk fluid density ρ and velocity </w:t>
      </w:r>
      <w:r w:rsidRPr="00306184">
        <w:rPr>
          <w:rFonts w:ascii="Arial" w:hAnsi="Arial" w:cs="Arial"/>
          <w:b/>
          <w:i/>
          <w:color w:val="000000" w:themeColor="text1"/>
        </w:rPr>
        <w:t>u</w:t>
      </w:r>
      <w:r w:rsidRPr="00306184">
        <w:rPr>
          <w:rFonts w:ascii="Arial" w:hAnsi="Arial" w:cs="Arial"/>
          <w:color w:val="000000" w:themeColor="text1"/>
        </w:rPr>
        <w:t xml:space="preserve"> are updated after each time step </w:t>
      </w:r>
      <w:r>
        <w:rPr>
          <w:rFonts w:ascii="Arial" w:hAnsi="Arial" w:cs="Arial"/>
          <w:color w:val="000000" w:themeColor="text1"/>
        </w:rPr>
        <w:t>from</w:t>
      </w:r>
      <w:r w:rsidRPr="00306184">
        <w:rPr>
          <w:rFonts w:ascii="Arial" w:hAnsi="Arial" w:cs="Arial"/>
          <w:color w:val="000000" w:themeColor="text1"/>
        </w:rPr>
        <w:t xml:space="preserve"> </w:t>
      </w:r>
    </w:p>
    <w:p w14:paraId="158E085C" w14:textId="6CAEE006" w:rsidR="005F5C84" w:rsidRPr="00306184" w:rsidRDefault="005F5C84" w:rsidP="005F5C84">
      <w:pPr>
        <w:spacing w:after="0" w:line="480" w:lineRule="auto"/>
        <w:rPr>
          <w:rFonts w:ascii="Arial" w:hAnsi="Arial" w:cs="Arial"/>
          <w:color w:val="000000" w:themeColor="text1"/>
        </w:rPr>
      </w:pPr>
      <w:r w:rsidRPr="00306184">
        <w:rPr>
          <w:rFonts w:ascii="Arial" w:hAnsi="Arial" w:cs="Arial"/>
          <w:color w:val="000000" w:themeColor="text1"/>
          <w:position w:val="-38"/>
        </w:rPr>
        <w:object w:dxaOrig="1404" w:dyaOrig="852" w14:anchorId="78ABAA33">
          <v:shape id="_x0000_i1041" type="#_x0000_t75" style="width:70.35pt;height:43pt" o:ole="">
            <v:imagedata r:id="rId39" o:title=""/>
          </v:shape>
          <o:OLEObject Type="Embed" ProgID="Equation.DSMT4" ShapeID="_x0000_i1041" DrawAspect="Content" ObjectID="_1654457793" r:id="rId40"/>
        </w:object>
      </w:r>
      <w:r w:rsidRPr="00306184">
        <w:rPr>
          <w:rFonts w:ascii="Arial" w:hAnsi="Arial" w:cs="Arial"/>
          <w:color w:val="000000" w:themeColor="text1"/>
        </w:rPr>
        <w:t xml:space="preserve"> </w:t>
      </w:r>
      <w:r w:rsidRPr="00306184">
        <w:rPr>
          <w:rFonts w:ascii="Arial" w:hAnsi="Arial" w:cs="Arial"/>
          <w:color w:val="000000" w:themeColor="text1"/>
        </w:rPr>
        <w:tab/>
        <w:t>(</w:t>
      </w:r>
      <w:r w:rsidR="00596960">
        <w:rPr>
          <w:rFonts w:ascii="Arial" w:hAnsi="Arial" w:cs="Arial"/>
          <w:color w:val="000000" w:themeColor="text1"/>
        </w:rPr>
        <w:t>S</w:t>
      </w:r>
      <w:r w:rsidRPr="00306184">
        <w:rPr>
          <w:rFonts w:ascii="Arial" w:hAnsi="Arial" w:cs="Arial"/>
          <w:color w:val="000000" w:themeColor="text1"/>
        </w:rPr>
        <w:t>4)</w:t>
      </w:r>
    </w:p>
    <w:p w14:paraId="04E37F47" w14:textId="77777777" w:rsidR="005F5C84" w:rsidRPr="00306184" w:rsidRDefault="005F5C84" w:rsidP="00434FFF">
      <w:pPr>
        <w:pStyle w:val="ListParagraph"/>
        <w:spacing w:after="0" w:line="480" w:lineRule="auto"/>
        <w:ind w:left="0" w:firstLine="425"/>
        <w:rPr>
          <w:rFonts w:ascii="Arial" w:hAnsi="Arial" w:cs="Arial"/>
          <w:color w:val="000000" w:themeColor="text1"/>
        </w:rPr>
      </w:pPr>
      <w:r w:rsidRPr="00306184">
        <w:rPr>
          <w:rFonts w:ascii="Arial" w:hAnsi="Arial" w:cs="Arial"/>
          <w:color w:val="000000" w:themeColor="text1"/>
        </w:rPr>
        <w:t>Implementation of the above model</w:t>
      </w:r>
      <w:r>
        <w:rPr>
          <w:rFonts w:ascii="Arial" w:hAnsi="Arial" w:cs="Arial"/>
          <w:color w:val="000000" w:themeColor="text1"/>
        </w:rPr>
        <w:t xml:space="preserve"> needs</w:t>
      </w:r>
      <w:r w:rsidRPr="00306184">
        <w:rPr>
          <w:rFonts w:ascii="Arial" w:hAnsi="Arial" w:cs="Arial"/>
          <w:color w:val="000000" w:themeColor="text1"/>
        </w:rPr>
        <w:t xml:space="preserve"> two steps to advance </w:t>
      </w:r>
      <w:r>
        <w:rPr>
          <w:rFonts w:ascii="Arial" w:hAnsi="Arial" w:cs="Arial"/>
          <w:color w:val="000000" w:themeColor="text1"/>
        </w:rPr>
        <w:t>a</w:t>
      </w:r>
      <w:r w:rsidRPr="00306184">
        <w:rPr>
          <w:rFonts w:ascii="Arial" w:hAnsi="Arial" w:cs="Arial"/>
          <w:color w:val="000000" w:themeColor="text1"/>
        </w:rPr>
        <w:t xml:space="preserve"> time step. The first one is to calculate the collision in the moment space and then transform the results back to particle distribution functions, i.e., to calculate</w:t>
      </w:r>
      <w:r w:rsidRPr="00306184">
        <w:rPr>
          <w:rFonts w:ascii="Arial" w:hAnsi="Arial" w:cs="Arial"/>
          <w:color w:val="000000" w:themeColor="text1"/>
          <w:position w:val="-16"/>
        </w:rPr>
        <w:object w:dxaOrig="3942" w:dyaOrig="420" w14:anchorId="6CAD592A">
          <v:shape id="_x0000_i1042" type="#_x0000_t75" style="width:196.65pt;height:22pt" o:ole="">
            <v:imagedata r:id="rId41" o:title=""/>
          </v:shape>
          <o:OLEObject Type="Embed" ProgID="Equation.DSMT4" ShapeID="_x0000_i1042" DrawAspect="Content" ObjectID="_1654457794" r:id="rId42"/>
        </w:object>
      </w:r>
      <w:r w:rsidRPr="00306184">
        <w:rPr>
          <w:rFonts w:ascii="Arial" w:hAnsi="Arial" w:cs="Arial"/>
          <w:color w:val="000000" w:themeColor="text1"/>
        </w:rPr>
        <w:t>; and the second step is to move the post-collision particular distribution function</w:t>
      </w:r>
      <w:r w:rsidRPr="00306184">
        <w:rPr>
          <w:rFonts w:ascii="Arial" w:hAnsi="Arial" w:cs="Arial"/>
          <w:color w:val="000000" w:themeColor="text1"/>
          <w:position w:val="-10"/>
        </w:rPr>
        <w:object w:dxaOrig="282" w:dyaOrig="342" w14:anchorId="51429D2A">
          <v:shape id="_x0000_i1043" type="#_x0000_t75" style="width:14pt;height:17.65pt" o:ole="">
            <v:imagedata r:id="rId43" o:title=""/>
          </v:shape>
          <o:OLEObject Type="Embed" ProgID="Equation.DSMT4" ShapeID="_x0000_i1043" DrawAspect="Content" ObjectID="_1654457795" r:id="rId44"/>
        </w:object>
      </w:r>
      <w:r w:rsidRPr="00306184">
        <w:rPr>
          <w:rFonts w:ascii="Arial" w:hAnsi="Arial" w:cs="Arial"/>
          <w:color w:val="000000" w:themeColor="text1"/>
        </w:rPr>
        <w:t xml:space="preserve"> to position at </w:t>
      </w:r>
      <w:r w:rsidRPr="00306184">
        <w:rPr>
          <w:rFonts w:ascii="Arial" w:hAnsi="Arial" w:cs="Arial"/>
          <w:color w:val="000000" w:themeColor="text1"/>
          <w:position w:val="-10"/>
        </w:rPr>
        <w:object w:dxaOrig="720" w:dyaOrig="318" w14:anchorId="0394264F">
          <v:shape id="_x0000_i1044" type="#_x0000_t75" style="width:36.65pt;height:16pt" o:ole="">
            <v:imagedata r:id="rId45" o:title=""/>
          </v:shape>
          <o:OLEObject Type="Embed" ProgID="Equation.DSMT4" ShapeID="_x0000_i1044" DrawAspect="Content" ObjectID="_1654457796" r:id="rId46"/>
        </w:object>
      </w:r>
      <w:r w:rsidRPr="00306184">
        <w:rPr>
          <w:rFonts w:ascii="Arial" w:hAnsi="Arial" w:cs="Arial"/>
          <w:color w:val="000000" w:themeColor="text1"/>
        </w:rPr>
        <w:t xml:space="preserve">during the time period of </w:t>
      </w:r>
      <w:proofErr w:type="spellStart"/>
      <w:r w:rsidRPr="00306184">
        <w:rPr>
          <w:rFonts w:ascii="Arial" w:hAnsi="Arial" w:cs="Arial"/>
          <w:color w:val="000000" w:themeColor="text1"/>
        </w:rPr>
        <w:t>δ</w:t>
      </w:r>
      <w:r w:rsidRPr="00306184">
        <w:rPr>
          <w:rFonts w:ascii="Arial" w:hAnsi="Arial" w:cs="Arial"/>
          <w:i/>
          <w:color w:val="000000" w:themeColor="text1"/>
        </w:rPr>
        <w:t>t</w:t>
      </w:r>
      <w:proofErr w:type="spellEnd"/>
      <w:r w:rsidRPr="00306184">
        <w:rPr>
          <w:rFonts w:ascii="Arial" w:hAnsi="Arial" w:cs="Arial"/>
          <w:color w:val="000000" w:themeColor="text1"/>
        </w:rPr>
        <w:t>. During the streaming step, whenever</w:t>
      </w:r>
      <w:r w:rsidRPr="00306184">
        <w:rPr>
          <w:rFonts w:ascii="Arial" w:hAnsi="Arial" w:cs="Arial"/>
          <w:color w:val="000000" w:themeColor="text1"/>
          <w:position w:val="-10"/>
        </w:rPr>
        <w:object w:dxaOrig="282" w:dyaOrig="342" w14:anchorId="658E5434">
          <v:shape id="_x0000_i1045" type="#_x0000_t75" style="width:14pt;height:17.65pt" o:ole="">
            <v:imagedata r:id="rId43" o:title=""/>
          </v:shape>
          <o:OLEObject Type="Embed" ProgID="Equation.DSMT4" ShapeID="_x0000_i1045" DrawAspect="Content" ObjectID="_1654457797" r:id="rId47"/>
        </w:object>
      </w:r>
      <w:r w:rsidRPr="00306184">
        <w:rPr>
          <w:rFonts w:ascii="Arial" w:hAnsi="Arial" w:cs="Arial"/>
          <w:color w:val="000000" w:themeColor="text1"/>
        </w:rPr>
        <w:t xml:space="preserve">hits a </w:t>
      </w:r>
      <w:r>
        <w:rPr>
          <w:rFonts w:ascii="Arial" w:hAnsi="Arial" w:cs="Arial"/>
          <w:color w:val="000000" w:themeColor="text1"/>
        </w:rPr>
        <w:t xml:space="preserve">solid </w:t>
      </w:r>
      <w:r w:rsidRPr="00306184">
        <w:rPr>
          <w:rFonts w:ascii="Arial" w:hAnsi="Arial" w:cs="Arial"/>
          <w:color w:val="000000" w:themeColor="text1"/>
        </w:rPr>
        <w:t xml:space="preserve">voxel, it is bounced back to where it was before the streaming to represent </w:t>
      </w:r>
      <w:r>
        <w:rPr>
          <w:rFonts w:ascii="Arial" w:hAnsi="Arial" w:cs="Arial"/>
          <w:color w:val="000000" w:themeColor="text1"/>
        </w:rPr>
        <w:t xml:space="preserve">a non-slip boundary where </w:t>
      </w:r>
      <w:r w:rsidRPr="00306184">
        <w:rPr>
          <w:rFonts w:ascii="Arial" w:hAnsi="Arial" w:cs="Arial"/>
          <w:color w:val="000000" w:themeColor="text1"/>
        </w:rPr>
        <w:t xml:space="preserve">bulk </w:t>
      </w:r>
      <w:r>
        <w:rPr>
          <w:rFonts w:ascii="Arial" w:hAnsi="Arial" w:cs="Arial"/>
          <w:color w:val="000000" w:themeColor="text1"/>
        </w:rPr>
        <w:t>fluid</w:t>
      </w:r>
      <w:r w:rsidRPr="00306184">
        <w:rPr>
          <w:rFonts w:ascii="Arial" w:hAnsi="Arial" w:cs="Arial"/>
          <w:color w:val="000000" w:themeColor="text1"/>
        </w:rPr>
        <w:t xml:space="preserve"> velocity is zero.</w:t>
      </w:r>
    </w:p>
    <w:p w14:paraId="26966FB5" w14:textId="0BC6DFB8" w:rsidR="005F5C84" w:rsidRDefault="005F5C84" w:rsidP="00434FFF">
      <w:pPr>
        <w:pStyle w:val="ListParagraph"/>
        <w:spacing w:after="0" w:line="480" w:lineRule="auto"/>
        <w:ind w:left="0" w:firstLine="425"/>
        <w:rPr>
          <w:rFonts w:ascii="Arial" w:hAnsi="Arial" w:cs="Arial"/>
          <w:color w:val="000000" w:themeColor="text1"/>
        </w:rPr>
      </w:pPr>
      <w:r w:rsidRPr="00306184">
        <w:rPr>
          <w:rFonts w:ascii="Arial" w:hAnsi="Arial" w:cs="Arial"/>
          <w:color w:val="000000" w:themeColor="text1"/>
        </w:rPr>
        <w:t xml:space="preserve">Fluid flow </w:t>
      </w:r>
      <w:r>
        <w:rPr>
          <w:rFonts w:ascii="Arial" w:hAnsi="Arial" w:cs="Arial"/>
          <w:color w:val="000000" w:themeColor="text1"/>
        </w:rPr>
        <w:t xml:space="preserve">in an image </w:t>
      </w:r>
      <w:r w:rsidRPr="00306184">
        <w:rPr>
          <w:rFonts w:ascii="Arial" w:hAnsi="Arial" w:cs="Arial"/>
          <w:color w:val="000000" w:themeColor="text1"/>
        </w:rPr>
        <w:t xml:space="preserve">was driven by a pressure gradient </w:t>
      </w:r>
      <w:r>
        <w:rPr>
          <w:rFonts w:ascii="Arial" w:hAnsi="Arial" w:cs="Arial"/>
          <w:color w:val="000000" w:themeColor="text1"/>
        </w:rPr>
        <w:t xml:space="preserve">applied in a direction, generated by </w:t>
      </w:r>
      <w:r w:rsidRPr="00306184">
        <w:rPr>
          <w:rFonts w:ascii="Arial" w:hAnsi="Arial" w:cs="Arial"/>
          <w:color w:val="000000" w:themeColor="text1"/>
        </w:rPr>
        <w:t>imposing two different pressures</w:t>
      </w:r>
      <w:r>
        <w:rPr>
          <w:rFonts w:ascii="Arial" w:hAnsi="Arial" w:cs="Arial"/>
          <w:color w:val="000000" w:themeColor="text1"/>
        </w:rPr>
        <w:t xml:space="preserve"> </w:t>
      </w:r>
      <w:r w:rsidRPr="00306184">
        <w:rPr>
          <w:rFonts w:ascii="Arial" w:hAnsi="Arial" w:cs="Arial"/>
          <w:color w:val="000000" w:themeColor="text1"/>
        </w:rPr>
        <w:t xml:space="preserve">on </w:t>
      </w:r>
      <w:r>
        <w:rPr>
          <w:rFonts w:ascii="Arial" w:hAnsi="Arial" w:cs="Arial"/>
          <w:color w:val="000000" w:themeColor="text1"/>
        </w:rPr>
        <w:t xml:space="preserve">two opposite sides of the </w:t>
      </w:r>
      <w:r w:rsidRPr="00306184">
        <w:rPr>
          <w:rFonts w:ascii="Arial" w:hAnsi="Arial" w:cs="Arial"/>
          <w:color w:val="000000" w:themeColor="text1"/>
        </w:rPr>
        <w:t>image</w:t>
      </w:r>
      <w:r>
        <w:rPr>
          <w:rFonts w:ascii="Arial" w:hAnsi="Arial" w:cs="Arial"/>
          <w:color w:val="000000" w:themeColor="text1"/>
        </w:rPr>
        <w:t xml:space="preserve"> in that direction</w:t>
      </w:r>
      <w:r w:rsidRPr="00306184">
        <w:rPr>
          <w:rFonts w:ascii="Arial" w:hAnsi="Arial" w:cs="Arial"/>
          <w:color w:val="000000" w:themeColor="text1"/>
        </w:rPr>
        <w:t xml:space="preserve">. </w:t>
      </w:r>
      <w:r>
        <w:rPr>
          <w:rFonts w:ascii="Arial" w:hAnsi="Arial" w:cs="Arial"/>
          <w:color w:val="000000" w:themeColor="text1"/>
        </w:rPr>
        <w:t xml:space="preserve">We then simulated the flow to steady state and once the flow was </w:t>
      </w:r>
      <w:r w:rsidRPr="00306184">
        <w:rPr>
          <w:rFonts w:ascii="Arial" w:hAnsi="Arial" w:cs="Arial"/>
          <w:color w:val="000000" w:themeColor="text1"/>
        </w:rPr>
        <w:t xml:space="preserve">deemed to have reached steady state, </w:t>
      </w:r>
      <w:r>
        <w:rPr>
          <w:rFonts w:ascii="Arial" w:hAnsi="Arial" w:cs="Arial"/>
          <w:color w:val="000000" w:themeColor="text1"/>
        </w:rPr>
        <w:t xml:space="preserve">fluid </w:t>
      </w:r>
      <w:r w:rsidRPr="00306184">
        <w:rPr>
          <w:rFonts w:ascii="Arial" w:hAnsi="Arial" w:cs="Arial"/>
          <w:color w:val="000000" w:themeColor="text1"/>
        </w:rPr>
        <w:t xml:space="preserve">velocity and pressure in all voxels </w:t>
      </w:r>
      <w:r>
        <w:rPr>
          <w:rFonts w:ascii="Arial" w:hAnsi="Arial" w:cs="Arial"/>
          <w:color w:val="000000" w:themeColor="text1"/>
        </w:rPr>
        <w:t xml:space="preserve">were sampled and used to calculate the permeability in this reaction from </w:t>
      </w:r>
      <w:proofErr w:type="spellStart"/>
      <w:r>
        <w:rPr>
          <w:rFonts w:ascii="Arial" w:hAnsi="Arial" w:cs="Arial"/>
          <w:color w:val="000000" w:themeColor="text1"/>
        </w:rPr>
        <w:t>Eqs</w:t>
      </w:r>
      <w:proofErr w:type="spellEnd"/>
      <w:r>
        <w:rPr>
          <w:rFonts w:ascii="Arial" w:hAnsi="Arial" w:cs="Arial"/>
          <w:color w:val="000000" w:themeColor="text1"/>
        </w:rPr>
        <w:t>. (</w:t>
      </w:r>
      <w:r w:rsidR="00596960">
        <w:rPr>
          <w:rFonts w:ascii="Arial" w:hAnsi="Arial" w:cs="Arial"/>
          <w:color w:val="000000" w:themeColor="text1"/>
        </w:rPr>
        <w:t>S</w:t>
      </w:r>
      <w:r>
        <w:rPr>
          <w:rFonts w:ascii="Arial" w:hAnsi="Arial" w:cs="Arial"/>
          <w:color w:val="000000" w:themeColor="text1"/>
        </w:rPr>
        <w:t>2) and (</w:t>
      </w:r>
      <w:r w:rsidR="00596960">
        <w:rPr>
          <w:rFonts w:ascii="Arial" w:hAnsi="Arial" w:cs="Arial"/>
          <w:color w:val="000000" w:themeColor="text1"/>
        </w:rPr>
        <w:t>S</w:t>
      </w:r>
      <w:r>
        <w:rPr>
          <w:rFonts w:ascii="Arial" w:hAnsi="Arial" w:cs="Arial"/>
          <w:color w:val="000000" w:themeColor="text1"/>
        </w:rPr>
        <w:t xml:space="preserve">3). We then applied the pressure gradient into other two orthogonal directions to calculate the permeability components in other directions. </w:t>
      </w:r>
      <w:r w:rsidRPr="00140D29">
        <w:rPr>
          <w:rFonts w:ascii="Arial" w:hAnsi="Arial" w:cs="Arial"/>
          <w:color w:val="000000" w:themeColor="text1"/>
        </w:rPr>
        <w:t xml:space="preserve">   </w:t>
      </w:r>
    </w:p>
    <w:p w14:paraId="3C61FF32" w14:textId="6A5A7EDF" w:rsidR="001852CA" w:rsidRPr="00434FFF" w:rsidRDefault="001852CA" w:rsidP="00434FFF">
      <w:pPr>
        <w:spacing w:after="0" w:line="480" w:lineRule="auto"/>
        <w:rPr>
          <w:rFonts w:ascii="Arial" w:hAnsi="Arial" w:cs="Arial"/>
          <w:b/>
          <w:bCs/>
          <w:color w:val="000000" w:themeColor="text1"/>
        </w:rPr>
      </w:pPr>
      <w:r w:rsidRPr="00434FFF">
        <w:rPr>
          <w:rFonts w:ascii="Arial" w:hAnsi="Arial" w:cs="Arial"/>
          <w:b/>
          <w:bCs/>
          <w:color w:val="000000" w:themeColor="text1"/>
        </w:rPr>
        <w:t>References</w:t>
      </w:r>
    </w:p>
    <w:p w14:paraId="4187FCC2" w14:textId="77777777" w:rsidR="001852CA" w:rsidRPr="001852CA" w:rsidRDefault="001852CA" w:rsidP="001852CA">
      <w:pPr>
        <w:pStyle w:val="EndNoteBibliography"/>
        <w:spacing w:after="0"/>
        <w:ind w:left="720" w:hanging="720"/>
      </w:pPr>
      <w:r>
        <w:fldChar w:fldCharType="begin"/>
      </w:r>
      <w:r>
        <w:instrText xml:space="preserve"> ADDIN EN.REFLIST </w:instrText>
      </w:r>
      <w:r>
        <w:fldChar w:fldCharType="separate"/>
      </w:r>
      <w:r w:rsidRPr="001852CA">
        <w:t>d'Humieres, D., Ginzburg, I., Krafczyk, M., Lallemand, P., Luo, L.S., 2002. Multiple-relaxation-time lattice Boltzmann models in three dimensions. Philos. Trans. R. Soc. Lond. Ser. A-Math. Phys. Eng. Sci., 360(1792): 437-451. DOI:10.1098/rsta.2001.0955</w:t>
      </w:r>
    </w:p>
    <w:p w14:paraId="355A082D" w14:textId="77777777" w:rsidR="001852CA" w:rsidRPr="001852CA" w:rsidRDefault="001852CA" w:rsidP="001852CA">
      <w:pPr>
        <w:pStyle w:val="EndNoteBibliography"/>
        <w:spacing w:after="0"/>
        <w:ind w:left="720" w:hanging="720"/>
      </w:pPr>
      <w:r w:rsidRPr="001852CA">
        <w:t>Qian, Y.H., Dhumieres, D., Lallemand, P., 1992. Lattice BGK models for Navier-Stokes equation. Europhysics Letters, 17(6BIS): 479-484. DOI:10.1209/0295-5075/17/6/001</w:t>
      </w:r>
    </w:p>
    <w:p w14:paraId="229F9705" w14:textId="77777777" w:rsidR="001852CA" w:rsidRPr="001852CA" w:rsidRDefault="001852CA" w:rsidP="001852CA">
      <w:pPr>
        <w:pStyle w:val="EndNoteBibliography"/>
        <w:ind w:left="720" w:hanging="720"/>
      </w:pPr>
      <w:r w:rsidRPr="001852CA">
        <w:t>Zou, Q.S., Hou, S.L., Chen, S.Y., Doolen, G.D., 1995. An improved incompressible Lattice Boltzmann model for time-independent flows. . Journal of Statistical Physics, 81(1-2): 35-48. DOI:10.1007/bf02179966</w:t>
      </w:r>
    </w:p>
    <w:p w14:paraId="6B68D179" w14:textId="2932F2F6" w:rsidR="009568B0" w:rsidRDefault="001852CA">
      <w:pPr>
        <w:rPr>
          <w:rFonts w:cs="Calibri"/>
        </w:rPr>
      </w:pPr>
      <w:r>
        <w:rPr>
          <w:rFonts w:cs="Calibri"/>
        </w:rPr>
        <w:fldChar w:fldCharType="end"/>
      </w:r>
    </w:p>
    <w:sectPr w:rsidR="009568B0">
      <w:footerReference w:type="default" r:id="rId4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AE791" w14:textId="77777777" w:rsidR="00906D72" w:rsidRDefault="00906D72">
      <w:pPr>
        <w:spacing w:after="0" w:line="240" w:lineRule="auto"/>
      </w:pPr>
      <w:r>
        <w:separator/>
      </w:r>
    </w:p>
  </w:endnote>
  <w:endnote w:type="continuationSeparator" w:id="0">
    <w:p w14:paraId="2F176CE8" w14:textId="77777777" w:rsidR="00906D72" w:rsidRDefault="0090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949060"/>
      <w:docPartObj>
        <w:docPartGallery w:val="Page Numbers (Bottom of Page)"/>
        <w:docPartUnique/>
      </w:docPartObj>
    </w:sdtPr>
    <w:sdtEndPr>
      <w:rPr>
        <w:noProof/>
      </w:rPr>
    </w:sdtEndPr>
    <w:sdtContent>
      <w:p w14:paraId="759E8EC4" w14:textId="1F195B15" w:rsidR="002F120B" w:rsidRDefault="002F12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0D3559" w14:textId="77777777" w:rsidR="002F120B" w:rsidRDefault="002F1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A2668" w14:textId="77777777" w:rsidR="00906D72" w:rsidRDefault="00906D72">
      <w:pPr>
        <w:spacing w:after="0" w:line="240" w:lineRule="auto"/>
      </w:pPr>
      <w:r>
        <w:rPr>
          <w:color w:val="000000"/>
        </w:rPr>
        <w:separator/>
      </w:r>
    </w:p>
  </w:footnote>
  <w:footnote w:type="continuationSeparator" w:id="0">
    <w:p w14:paraId="653B97AC" w14:textId="77777777" w:rsidR="00906D72" w:rsidRDefault="00906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Hydrology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rfwadxaer5v8ef0vj5zvfmrea9edveswst&quot;&gt;References&lt;record-ids&gt;&lt;item&gt;58&lt;/item&gt;&lt;item&gt;59&lt;/item&gt;&lt;item&gt;286&lt;/item&gt;&lt;/record-ids&gt;&lt;/item&gt;&lt;/Libraries&gt;"/>
  </w:docVars>
  <w:rsids>
    <w:rsidRoot w:val="009568B0"/>
    <w:rsid w:val="001852CA"/>
    <w:rsid w:val="002F120B"/>
    <w:rsid w:val="00434FFF"/>
    <w:rsid w:val="0059200B"/>
    <w:rsid w:val="00596960"/>
    <w:rsid w:val="005F5C84"/>
    <w:rsid w:val="0085692B"/>
    <w:rsid w:val="00906D72"/>
    <w:rsid w:val="009568B0"/>
    <w:rsid w:val="00B413B2"/>
    <w:rsid w:val="00C642E1"/>
    <w:rsid w:val="00DE0C9A"/>
    <w:rsid w:val="00E11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1C67"/>
  <w15:docId w15:val="{076EECAB-D47A-4474-ABD7-48B440EC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link w:val="ListParagraphChar1"/>
    <w:qFormat/>
    <w:pPr>
      <w:spacing w:after="200" w:line="276" w:lineRule="auto"/>
      <w:ind w:left="720"/>
    </w:pPr>
    <w:rPr>
      <w:rFonts w:eastAsia="DengXian"/>
    </w:rPr>
  </w:style>
  <w:style w:type="character" w:customStyle="1" w:styleId="ListParagraphChar">
    <w:name w:val="List Paragraph Char"/>
    <w:basedOn w:val="DefaultParagraphFont"/>
    <w:qFormat/>
    <w:rPr>
      <w:rFonts w:eastAsia="DengXian"/>
    </w:rPr>
  </w:style>
  <w:style w:type="character" w:customStyle="1" w:styleId="normaltextrun1">
    <w:name w:val="normaltextrun1"/>
    <w:basedOn w:val="DefaultParagraphFont"/>
    <w:rsid w:val="005F5C84"/>
  </w:style>
  <w:style w:type="paragraph" w:customStyle="1" w:styleId="EndNoteBibliographyTitle">
    <w:name w:val="EndNote Bibliography Title"/>
    <w:basedOn w:val="Normal"/>
    <w:link w:val="EndNoteBibliographyTitleChar"/>
    <w:rsid w:val="001852CA"/>
    <w:pPr>
      <w:spacing w:after="0"/>
      <w:jc w:val="center"/>
    </w:pPr>
    <w:rPr>
      <w:rFonts w:cs="Calibri"/>
      <w:noProof/>
      <w:lang w:val="en-US"/>
    </w:rPr>
  </w:style>
  <w:style w:type="character" w:customStyle="1" w:styleId="ListParagraphChar1">
    <w:name w:val="List Paragraph Char1"/>
    <w:basedOn w:val="DefaultParagraphFont"/>
    <w:link w:val="ListParagraph"/>
    <w:rsid w:val="001852CA"/>
    <w:rPr>
      <w:rFonts w:eastAsia="DengXian"/>
    </w:rPr>
  </w:style>
  <w:style w:type="character" w:customStyle="1" w:styleId="EndNoteBibliographyTitleChar">
    <w:name w:val="EndNote Bibliography Title Char"/>
    <w:basedOn w:val="ListParagraphChar1"/>
    <w:link w:val="EndNoteBibliographyTitle"/>
    <w:rsid w:val="001852CA"/>
    <w:rPr>
      <w:rFonts w:eastAsia="DengXian" w:cs="Calibri"/>
      <w:noProof/>
      <w:lang w:val="en-US"/>
    </w:rPr>
  </w:style>
  <w:style w:type="paragraph" w:customStyle="1" w:styleId="EndNoteBibliography">
    <w:name w:val="EndNote Bibliography"/>
    <w:basedOn w:val="Normal"/>
    <w:link w:val="EndNoteBibliographyChar"/>
    <w:rsid w:val="001852CA"/>
    <w:pPr>
      <w:spacing w:line="240" w:lineRule="auto"/>
    </w:pPr>
    <w:rPr>
      <w:rFonts w:cs="Calibri"/>
      <w:noProof/>
      <w:lang w:val="en-US"/>
    </w:rPr>
  </w:style>
  <w:style w:type="character" w:customStyle="1" w:styleId="EndNoteBibliographyChar">
    <w:name w:val="EndNote Bibliography Char"/>
    <w:basedOn w:val="ListParagraphChar1"/>
    <w:link w:val="EndNoteBibliography"/>
    <w:rsid w:val="001852CA"/>
    <w:rPr>
      <w:rFonts w:eastAsia="DengXian" w:cs="Calibri"/>
      <w:noProof/>
      <w:lang w:val="en-US"/>
    </w:rPr>
  </w:style>
  <w:style w:type="paragraph" w:styleId="Header">
    <w:name w:val="header"/>
    <w:basedOn w:val="Normal"/>
    <w:link w:val="HeaderChar"/>
    <w:uiPriority w:val="99"/>
    <w:unhideWhenUsed/>
    <w:rsid w:val="002F1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20B"/>
  </w:style>
  <w:style w:type="paragraph" w:styleId="Footer">
    <w:name w:val="footer"/>
    <w:basedOn w:val="Normal"/>
    <w:link w:val="FooterChar"/>
    <w:uiPriority w:val="99"/>
    <w:unhideWhenUsed/>
    <w:rsid w:val="002F1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footer" Target="footer1.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1537</Words>
  <Characters>9043</Characters>
  <Application>Microsoft Office Word</Application>
  <DocSecurity>0</DocSecurity>
  <Lines>155</Lines>
  <Paragraphs>50</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Xiaoxian Zhang</dc:creator>
  <dc:description/>
  <cp:lastModifiedBy>Xiaoxian Zhang</cp:lastModifiedBy>
  <cp:revision>9</cp:revision>
  <cp:lastPrinted>2020-06-23T21:41:00Z</cp:lastPrinted>
  <dcterms:created xsi:type="dcterms:W3CDTF">2020-06-22T21:50:00Z</dcterms:created>
  <dcterms:modified xsi:type="dcterms:W3CDTF">2020-06-23T21:42:00Z</dcterms:modified>
</cp:coreProperties>
</file>