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1544E" w14:textId="05A35B77" w:rsidR="006206EB" w:rsidRPr="006206EB" w:rsidRDefault="006206EB">
      <w:pPr>
        <w:rPr>
          <w:b/>
          <w:bCs/>
        </w:rPr>
      </w:pPr>
      <w:r>
        <w:t xml:space="preserve">RRES Press Release 13 Sept 22 </w:t>
      </w:r>
      <w:r w:rsidRPr="006206EB">
        <w:rPr>
          <w:b/>
          <w:bCs/>
        </w:rPr>
        <w:t>Converting grazing land to arable Unsustainable in West Country and other parts of Northern Europe</w:t>
      </w:r>
    </w:p>
    <w:p w14:paraId="66F88C77" w14:textId="4BAA54EE" w:rsidR="006206EB" w:rsidRDefault="006206EB">
      <w:pPr>
        <w:rPr>
          <w:i/>
          <w:iCs/>
        </w:rPr>
      </w:pPr>
      <w:r w:rsidRPr="006206EB">
        <w:rPr>
          <w:i/>
          <w:iCs/>
        </w:rPr>
        <w:t>Crop failures and small yields likely as climate change stops farm machinery from accessing fields</w:t>
      </w:r>
    </w:p>
    <w:p w14:paraId="20471205" w14:textId="77777777" w:rsidR="006206EB" w:rsidRPr="006206EB" w:rsidRDefault="006206EB" w:rsidP="006206EB">
      <w:pPr>
        <w:spacing w:after="400" w:line="306" w:lineRule="atLeast"/>
        <w:textAlignment w:val="baseline"/>
        <w:rPr>
          <w:rFonts w:ascii="Arial" w:eastAsia="Times New Roman" w:hAnsi="Arial" w:cs="Arial"/>
          <w:color w:val="000000"/>
          <w:sz w:val="20"/>
          <w:szCs w:val="20"/>
          <w:lang w:eastAsia="en-GB"/>
        </w:rPr>
      </w:pPr>
      <w:r w:rsidRPr="006206EB">
        <w:rPr>
          <w:rFonts w:ascii="Arial" w:eastAsia="Times New Roman" w:hAnsi="Arial" w:cs="Arial"/>
          <w:color w:val="000000"/>
          <w:sz w:val="20"/>
          <w:szCs w:val="20"/>
          <w:lang w:eastAsia="en-GB"/>
        </w:rPr>
        <w:t>Converting farms from livestock to arable would lead to regular crop failures, according to an analysis of one the UK’s largest beef and sheep rearing regions.</w:t>
      </w:r>
    </w:p>
    <w:p w14:paraId="618B01DC" w14:textId="77777777" w:rsidR="006206EB" w:rsidRPr="006206EB" w:rsidRDefault="006206EB" w:rsidP="006206EB">
      <w:pPr>
        <w:spacing w:after="0" w:line="306" w:lineRule="atLeast"/>
        <w:textAlignment w:val="baseline"/>
        <w:rPr>
          <w:rFonts w:ascii="Arial" w:eastAsia="Times New Roman" w:hAnsi="Arial" w:cs="Arial"/>
          <w:color w:val="000000"/>
          <w:sz w:val="20"/>
          <w:szCs w:val="20"/>
          <w:lang w:eastAsia="en-GB"/>
        </w:rPr>
      </w:pPr>
      <w:r w:rsidRPr="006206EB">
        <w:rPr>
          <w:rFonts w:ascii="Arial" w:eastAsia="Times New Roman" w:hAnsi="Arial" w:cs="Arial"/>
          <w:color w:val="000000"/>
          <w:sz w:val="20"/>
          <w:szCs w:val="20"/>
          <w:lang w:eastAsia="en-GB"/>
        </w:rPr>
        <w:t>The </w:t>
      </w:r>
      <w:hyperlink r:id="rId4" w:tgtFrame="_blank" w:history="1">
        <w:r w:rsidRPr="006206EB">
          <w:rPr>
            <w:rFonts w:ascii="Arial" w:eastAsia="Times New Roman" w:hAnsi="Arial" w:cs="Arial"/>
            <w:color w:val="0E6633"/>
            <w:sz w:val="20"/>
            <w:szCs w:val="20"/>
            <w:u w:val="single"/>
            <w:bdr w:val="none" w:sz="0" w:space="0" w:color="auto" w:frame="1"/>
            <w:lang w:eastAsia="en-GB"/>
          </w:rPr>
          <w:t>Rothamsted Research led study</w:t>
        </w:r>
      </w:hyperlink>
      <w:r w:rsidRPr="006206EB">
        <w:rPr>
          <w:rFonts w:ascii="Arial" w:eastAsia="Times New Roman" w:hAnsi="Arial" w:cs="Arial"/>
          <w:color w:val="000000"/>
          <w:sz w:val="20"/>
          <w:szCs w:val="20"/>
          <w:lang w:eastAsia="en-GB"/>
        </w:rPr>
        <w:t> focused on the southwest of England in response to questions over what could happen to UK livestock farming communities as society shifts towards more plant-based diets.</w:t>
      </w:r>
    </w:p>
    <w:p w14:paraId="2CD35008" w14:textId="77777777" w:rsidR="006206EB" w:rsidRPr="006206EB" w:rsidRDefault="006206EB" w:rsidP="006206EB">
      <w:pPr>
        <w:spacing w:after="400" w:line="306" w:lineRule="atLeast"/>
        <w:textAlignment w:val="baseline"/>
        <w:rPr>
          <w:rFonts w:ascii="Arial" w:eastAsia="Times New Roman" w:hAnsi="Arial" w:cs="Arial"/>
          <w:color w:val="000000"/>
          <w:sz w:val="20"/>
          <w:szCs w:val="20"/>
          <w:lang w:eastAsia="en-GB"/>
        </w:rPr>
      </w:pPr>
      <w:r w:rsidRPr="006206EB">
        <w:rPr>
          <w:rFonts w:ascii="Arial" w:eastAsia="Times New Roman" w:hAnsi="Arial" w:cs="Arial"/>
          <w:color w:val="000000"/>
          <w:sz w:val="20"/>
          <w:szCs w:val="20"/>
          <w:lang w:eastAsia="en-GB"/>
        </w:rPr>
        <w:t>The bad news for farmers is that the chances of successfully growing winter wheat on fields once used to raise livestock could be as little as 28% in future, as increased rainfall will make sowing the crop impossible in some years.</w:t>
      </w:r>
    </w:p>
    <w:p w14:paraId="41B20717" w14:textId="77777777" w:rsidR="006206EB" w:rsidRPr="006206EB" w:rsidRDefault="006206EB" w:rsidP="006206EB">
      <w:pPr>
        <w:spacing w:after="400" w:line="306" w:lineRule="atLeast"/>
        <w:textAlignment w:val="baseline"/>
        <w:rPr>
          <w:rFonts w:ascii="Arial" w:eastAsia="Times New Roman" w:hAnsi="Arial" w:cs="Arial"/>
          <w:color w:val="000000"/>
          <w:sz w:val="20"/>
          <w:szCs w:val="20"/>
          <w:lang w:eastAsia="en-GB"/>
        </w:rPr>
      </w:pPr>
      <w:r w:rsidRPr="006206EB">
        <w:rPr>
          <w:rFonts w:ascii="Arial" w:eastAsia="Times New Roman" w:hAnsi="Arial" w:cs="Arial"/>
          <w:color w:val="000000"/>
          <w:sz w:val="20"/>
          <w:szCs w:val="20"/>
          <w:lang w:eastAsia="en-GB"/>
        </w:rPr>
        <w:t>Forecasts show that in the absence of climate change, yields could be greater than 14 tonnes per hectare - but when the near certain impact of increased future rainfall on sowing and harvest dates were included in the simulation, it fell in some situations to less than 3 tonnes per hectare.</w:t>
      </w:r>
    </w:p>
    <w:p w14:paraId="65C6E26F" w14:textId="77777777" w:rsidR="006206EB" w:rsidRPr="006206EB" w:rsidRDefault="006206EB" w:rsidP="006206EB">
      <w:pPr>
        <w:spacing w:after="400" w:line="306" w:lineRule="atLeast"/>
        <w:textAlignment w:val="baseline"/>
        <w:rPr>
          <w:rFonts w:ascii="Arial" w:eastAsia="Times New Roman" w:hAnsi="Arial" w:cs="Arial"/>
          <w:color w:val="000000"/>
          <w:sz w:val="20"/>
          <w:szCs w:val="20"/>
          <w:lang w:eastAsia="en-GB"/>
        </w:rPr>
      </w:pPr>
      <w:r w:rsidRPr="006206EB">
        <w:rPr>
          <w:rFonts w:ascii="Arial" w:eastAsia="Times New Roman" w:hAnsi="Arial" w:cs="Arial"/>
          <w:color w:val="000000"/>
          <w:sz w:val="20"/>
          <w:szCs w:val="20"/>
          <w:lang w:eastAsia="en-GB"/>
        </w:rPr>
        <w:t xml:space="preserve">Lead author Dr Lianhai Wu said: “Adapting to the changing climate and changes in consumer demands will force us to diversify land from its current uses. Livestock grazing is the main type of farming across the west of the British </w:t>
      </w:r>
      <w:proofErr w:type="gramStart"/>
      <w:r w:rsidRPr="006206EB">
        <w:rPr>
          <w:rFonts w:ascii="Arial" w:eastAsia="Times New Roman" w:hAnsi="Arial" w:cs="Arial"/>
          <w:color w:val="000000"/>
          <w:sz w:val="20"/>
          <w:szCs w:val="20"/>
          <w:lang w:eastAsia="en-GB"/>
        </w:rPr>
        <w:t>Isles</w:t>
      </w:r>
      <w:proofErr w:type="gramEnd"/>
      <w:r w:rsidRPr="006206EB">
        <w:rPr>
          <w:rFonts w:ascii="Arial" w:eastAsia="Times New Roman" w:hAnsi="Arial" w:cs="Arial"/>
          <w:color w:val="000000"/>
          <w:sz w:val="20"/>
          <w:szCs w:val="20"/>
          <w:lang w:eastAsia="en-GB"/>
        </w:rPr>
        <w:t xml:space="preserve"> and it has been suggested that grasslands in the region could be converted to other land uses, such as growing cereal crops.</w:t>
      </w:r>
    </w:p>
    <w:p w14:paraId="19E99771" w14:textId="77777777" w:rsidR="006206EB" w:rsidRPr="006206EB" w:rsidRDefault="006206EB" w:rsidP="006206EB">
      <w:pPr>
        <w:spacing w:after="400" w:line="306" w:lineRule="atLeast"/>
        <w:textAlignment w:val="baseline"/>
        <w:rPr>
          <w:rFonts w:ascii="Arial" w:eastAsia="Times New Roman" w:hAnsi="Arial" w:cs="Arial"/>
          <w:color w:val="000000"/>
          <w:sz w:val="20"/>
          <w:szCs w:val="20"/>
          <w:lang w:eastAsia="en-GB"/>
        </w:rPr>
      </w:pPr>
      <w:r w:rsidRPr="006206EB">
        <w:rPr>
          <w:rFonts w:ascii="Arial" w:eastAsia="Times New Roman" w:hAnsi="Arial" w:cs="Arial"/>
          <w:color w:val="000000"/>
          <w:sz w:val="20"/>
          <w:szCs w:val="20"/>
          <w:lang w:eastAsia="en-GB"/>
        </w:rPr>
        <w:t>“However, our simulations suggest that, for the southwest of England and regions under a similar combination of soil types and climates, planting winter wheat between October and December would be impossible in some years because of constraints on soil ‘workability’.”</w:t>
      </w:r>
    </w:p>
    <w:p w14:paraId="316378BB" w14:textId="77777777" w:rsidR="006206EB" w:rsidRPr="006206EB" w:rsidRDefault="006206EB" w:rsidP="006206EB">
      <w:pPr>
        <w:spacing w:after="400" w:line="306" w:lineRule="atLeast"/>
        <w:textAlignment w:val="baseline"/>
        <w:rPr>
          <w:rFonts w:ascii="Arial" w:eastAsia="Times New Roman" w:hAnsi="Arial" w:cs="Arial"/>
          <w:color w:val="000000"/>
          <w:sz w:val="20"/>
          <w:szCs w:val="20"/>
          <w:lang w:eastAsia="en-GB"/>
        </w:rPr>
      </w:pPr>
      <w:r w:rsidRPr="006206EB">
        <w:rPr>
          <w:rFonts w:ascii="Arial" w:eastAsia="Times New Roman" w:hAnsi="Arial" w:cs="Arial"/>
          <w:color w:val="000000"/>
          <w:sz w:val="20"/>
          <w:szCs w:val="20"/>
          <w:lang w:eastAsia="en-GB"/>
        </w:rPr>
        <w:t>‘Workability’ is defined as the ability of a soil to support being ploughed, and along with ‘trafficability’ – the capacity of soil to support heavy farm machinery without becoming damaged – is determined in part by the weather, soil properties, and the previous impact of machinery.</w:t>
      </w:r>
    </w:p>
    <w:p w14:paraId="501B7DFE" w14:textId="77777777" w:rsidR="006206EB" w:rsidRPr="006206EB" w:rsidRDefault="006206EB" w:rsidP="006206EB">
      <w:pPr>
        <w:spacing w:after="400" w:line="306" w:lineRule="atLeast"/>
        <w:textAlignment w:val="baseline"/>
        <w:rPr>
          <w:rFonts w:ascii="Arial" w:eastAsia="Times New Roman" w:hAnsi="Arial" w:cs="Arial"/>
          <w:color w:val="000000"/>
          <w:sz w:val="20"/>
          <w:szCs w:val="20"/>
          <w:lang w:eastAsia="en-GB"/>
        </w:rPr>
      </w:pPr>
      <w:r w:rsidRPr="006206EB">
        <w:rPr>
          <w:rFonts w:ascii="Arial" w:eastAsia="Times New Roman" w:hAnsi="Arial" w:cs="Arial"/>
          <w:color w:val="000000"/>
          <w:sz w:val="20"/>
          <w:szCs w:val="20"/>
          <w:lang w:eastAsia="en-GB"/>
        </w:rPr>
        <w:t>On arable land, unsuitable soil conditions during the sowing or harvest periods will decrease yield if sowing or harvest are delayed - or even prevent it entirely.</w:t>
      </w:r>
    </w:p>
    <w:p w14:paraId="49BD4DDE" w14:textId="77777777" w:rsidR="006206EB" w:rsidRPr="006206EB" w:rsidRDefault="006206EB" w:rsidP="006206EB">
      <w:pPr>
        <w:spacing w:after="400" w:line="306" w:lineRule="atLeast"/>
        <w:textAlignment w:val="baseline"/>
        <w:rPr>
          <w:rFonts w:ascii="Arial" w:eastAsia="Times New Roman" w:hAnsi="Arial" w:cs="Arial"/>
          <w:color w:val="000000"/>
          <w:sz w:val="20"/>
          <w:szCs w:val="20"/>
          <w:lang w:eastAsia="en-GB"/>
        </w:rPr>
      </w:pPr>
      <w:r w:rsidRPr="006206EB">
        <w:rPr>
          <w:rFonts w:ascii="Arial" w:eastAsia="Times New Roman" w:hAnsi="Arial" w:cs="Arial"/>
          <w:color w:val="000000"/>
          <w:sz w:val="20"/>
          <w:szCs w:val="20"/>
          <w:lang w:eastAsia="en-GB"/>
        </w:rPr>
        <w:t>The study, which also involved SRUC, looked at three soil types common across the southwest, under the current climate and three climate predictions from the Met Office.</w:t>
      </w:r>
    </w:p>
    <w:p w14:paraId="7E611A42" w14:textId="77777777" w:rsidR="006206EB" w:rsidRPr="006206EB" w:rsidRDefault="006206EB" w:rsidP="006206EB">
      <w:pPr>
        <w:spacing w:after="400" w:line="306" w:lineRule="atLeast"/>
        <w:textAlignment w:val="baseline"/>
        <w:rPr>
          <w:rFonts w:ascii="Arial" w:eastAsia="Times New Roman" w:hAnsi="Arial" w:cs="Arial"/>
          <w:color w:val="000000"/>
          <w:sz w:val="20"/>
          <w:szCs w:val="20"/>
          <w:lang w:eastAsia="en-GB"/>
        </w:rPr>
      </w:pPr>
      <w:r w:rsidRPr="006206EB">
        <w:rPr>
          <w:rFonts w:ascii="Arial" w:eastAsia="Times New Roman" w:hAnsi="Arial" w:cs="Arial"/>
          <w:color w:val="000000"/>
          <w:sz w:val="20"/>
          <w:szCs w:val="20"/>
          <w:lang w:eastAsia="en-GB"/>
        </w:rPr>
        <w:t>Across the soil types and climate scenarios, the chances of successfully sowing winter wheat between October and December ranged from 28 to 76%, whilst harvesting was predicted to be less impacted by the predicted increases in rainfall.</w:t>
      </w:r>
    </w:p>
    <w:p w14:paraId="6E39434B" w14:textId="77777777" w:rsidR="006206EB" w:rsidRPr="006206EB" w:rsidRDefault="006206EB" w:rsidP="006206EB">
      <w:pPr>
        <w:spacing w:after="400" w:line="306" w:lineRule="atLeast"/>
        <w:textAlignment w:val="baseline"/>
        <w:rPr>
          <w:rFonts w:ascii="Arial" w:eastAsia="Times New Roman" w:hAnsi="Arial" w:cs="Arial"/>
          <w:color w:val="000000"/>
          <w:sz w:val="20"/>
          <w:szCs w:val="20"/>
          <w:lang w:eastAsia="en-GB"/>
        </w:rPr>
      </w:pPr>
      <w:r w:rsidRPr="006206EB">
        <w:rPr>
          <w:rFonts w:ascii="Arial" w:eastAsia="Times New Roman" w:hAnsi="Arial" w:cs="Arial"/>
          <w:color w:val="000000"/>
          <w:sz w:val="20"/>
          <w:szCs w:val="20"/>
          <w:lang w:eastAsia="en-GB"/>
        </w:rPr>
        <w:t>The climate models show the number of heavy rain days, those with more than 2cm of rain, will increase in the southwest from 6, to as many as 17 days a year, by the end of the century.</w:t>
      </w:r>
    </w:p>
    <w:p w14:paraId="25D7950D" w14:textId="77777777" w:rsidR="006206EB" w:rsidRPr="006206EB" w:rsidRDefault="006206EB" w:rsidP="006206EB">
      <w:pPr>
        <w:spacing w:after="400" w:line="306" w:lineRule="atLeast"/>
        <w:textAlignment w:val="baseline"/>
        <w:rPr>
          <w:rFonts w:ascii="Arial" w:eastAsia="Times New Roman" w:hAnsi="Arial" w:cs="Arial"/>
          <w:color w:val="000000"/>
          <w:sz w:val="20"/>
          <w:szCs w:val="20"/>
          <w:lang w:eastAsia="en-GB"/>
        </w:rPr>
      </w:pPr>
      <w:r w:rsidRPr="006206EB">
        <w:rPr>
          <w:rFonts w:ascii="Arial" w:eastAsia="Times New Roman" w:hAnsi="Arial" w:cs="Arial"/>
          <w:color w:val="000000"/>
          <w:sz w:val="20"/>
          <w:szCs w:val="20"/>
          <w:lang w:eastAsia="en-GB"/>
        </w:rPr>
        <w:t>Delays to sowing and failure to harvest a crop in some years due to wet weather made the idea of conversion to arable a “non-starter” for livestock farmers in the southwest, said Dr Wu.</w:t>
      </w:r>
    </w:p>
    <w:p w14:paraId="5A7DD07D" w14:textId="77777777" w:rsidR="006206EB" w:rsidRPr="006206EB" w:rsidRDefault="006206EB" w:rsidP="006206EB">
      <w:pPr>
        <w:spacing w:after="400" w:line="306" w:lineRule="atLeast"/>
        <w:textAlignment w:val="baseline"/>
        <w:rPr>
          <w:rFonts w:ascii="Arial" w:eastAsia="Times New Roman" w:hAnsi="Arial" w:cs="Arial"/>
          <w:color w:val="000000"/>
          <w:sz w:val="20"/>
          <w:szCs w:val="20"/>
          <w:lang w:eastAsia="en-GB"/>
        </w:rPr>
      </w:pPr>
      <w:r w:rsidRPr="006206EB">
        <w:rPr>
          <w:rFonts w:ascii="Arial" w:eastAsia="Times New Roman" w:hAnsi="Arial" w:cs="Arial"/>
          <w:color w:val="000000"/>
          <w:sz w:val="20"/>
          <w:szCs w:val="20"/>
          <w:lang w:eastAsia="en-GB"/>
        </w:rPr>
        <w:t>“But the question still remains – if we are going to eat less meat and rear less livestock, what happens to these farmers and these farming areas?”</w:t>
      </w:r>
    </w:p>
    <w:p w14:paraId="27B4312A" w14:textId="77777777" w:rsidR="006206EB" w:rsidRPr="006206EB" w:rsidRDefault="006206EB" w:rsidP="006206EB">
      <w:pPr>
        <w:spacing w:after="400" w:line="306" w:lineRule="atLeast"/>
        <w:textAlignment w:val="baseline"/>
        <w:rPr>
          <w:rFonts w:ascii="Arial" w:eastAsia="Times New Roman" w:hAnsi="Arial" w:cs="Arial"/>
          <w:color w:val="000000"/>
          <w:sz w:val="20"/>
          <w:szCs w:val="20"/>
          <w:lang w:eastAsia="en-GB"/>
        </w:rPr>
      </w:pPr>
      <w:r w:rsidRPr="006206EB">
        <w:rPr>
          <w:rFonts w:ascii="Arial" w:eastAsia="Times New Roman" w:hAnsi="Arial" w:cs="Arial"/>
          <w:color w:val="000000"/>
          <w:sz w:val="20"/>
          <w:szCs w:val="20"/>
          <w:lang w:eastAsia="en-GB"/>
        </w:rPr>
        <w:lastRenderedPageBreak/>
        <w:t>The study also looked at the implications for soil carbon storage and greenhouse gas emissions if grassland cut three times a year to provide silage, was converted to winter wheat.</w:t>
      </w:r>
    </w:p>
    <w:p w14:paraId="46CEE55C" w14:textId="77777777" w:rsidR="006206EB" w:rsidRPr="006206EB" w:rsidRDefault="006206EB" w:rsidP="006206EB">
      <w:pPr>
        <w:spacing w:after="400" w:line="306" w:lineRule="atLeast"/>
        <w:textAlignment w:val="baseline"/>
        <w:rPr>
          <w:rFonts w:ascii="Arial" w:eastAsia="Times New Roman" w:hAnsi="Arial" w:cs="Arial"/>
          <w:color w:val="000000"/>
          <w:sz w:val="20"/>
          <w:szCs w:val="20"/>
          <w:lang w:eastAsia="en-GB"/>
        </w:rPr>
      </w:pPr>
      <w:r w:rsidRPr="006206EB">
        <w:rPr>
          <w:rFonts w:ascii="Arial" w:eastAsia="Times New Roman" w:hAnsi="Arial" w:cs="Arial"/>
          <w:color w:val="000000"/>
          <w:sz w:val="20"/>
          <w:szCs w:val="20"/>
          <w:lang w:eastAsia="en-GB"/>
        </w:rPr>
        <w:t xml:space="preserve">Including two other greenhouse gases, nitrous </w:t>
      </w:r>
      <w:proofErr w:type="gramStart"/>
      <w:r w:rsidRPr="006206EB">
        <w:rPr>
          <w:rFonts w:ascii="Arial" w:eastAsia="Times New Roman" w:hAnsi="Arial" w:cs="Arial"/>
          <w:color w:val="000000"/>
          <w:sz w:val="20"/>
          <w:szCs w:val="20"/>
          <w:lang w:eastAsia="en-GB"/>
        </w:rPr>
        <w:t>oxide</w:t>
      </w:r>
      <w:proofErr w:type="gramEnd"/>
      <w:r w:rsidRPr="006206EB">
        <w:rPr>
          <w:rFonts w:ascii="Arial" w:eastAsia="Times New Roman" w:hAnsi="Arial" w:cs="Arial"/>
          <w:color w:val="000000"/>
          <w:sz w:val="20"/>
          <w:szCs w:val="20"/>
          <w:lang w:eastAsia="en-GB"/>
        </w:rPr>
        <w:t xml:space="preserve"> and methane, in the calculations, it showed that whilst the average greenhouse gas emissions from soil growing ryegrass were higher than from the same land converted to wheat, this was compensated for by the greater amounts of carbon stored within the ryegrass.</w:t>
      </w:r>
    </w:p>
    <w:p w14:paraId="0A41D0BE" w14:textId="77777777" w:rsidR="006206EB" w:rsidRPr="006206EB" w:rsidRDefault="006206EB" w:rsidP="006206EB">
      <w:pPr>
        <w:spacing w:after="400" w:line="306" w:lineRule="atLeast"/>
        <w:textAlignment w:val="baseline"/>
        <w:rPr>
          <w:rFonts w:ascii="Arial" w:eastAsia="Times New Roman" w:hAnsi="Arial" w:cs="Arial"/>
          <w:color w:val="000000"/>
          <w:sz w:val="20"/>
          <w:szCs w:val="20"/>
          <w:lang w:eastAsia="en-GB"/>
        </w:rPr>
      </w:pPr>
      <w:r w:rsidRPr="006206EB">
        <w:rPr>
          <w:rFonts w:ascii="Arial" w:eastAsia="Times New Roman" w:hAnsi="Arial" w:cs="Arial"/>
          <w:color w:val="000000"/>
          <w:sz w:val="20"/>
          <w:szCs w:val="20"/>
          <w:lang w:eastAsia="en-GB"/>
        </w:rPr>
        <w:t>Grasses return more of this carbon to the soil after they die, and as such, carbon stocks declined annually after converting grassland to wheat by 165 - 280 kg of carbon per hectare, depending on climate scenario and soil type.</w:t>
      </w:r>
    </w:p>
    <w:p w14:paraId="19F1C618" w14:textId="77777777" w:rsidR="006206EB" w:rsidRPr="006206EB" w:rsidRDefault="006206EB" w:rsidP="006206EB">
      <w:pPr>
        <w:spacing w:after="400" w:line="306" w:lineRule="atLeast"/>
        <w:textAlignment w:val="baseline"/>
        <w:rPr>
          <w:rFonts w:ascii="Arial" w:eastAsia="Times New Roman" w:hAnsi="Arial" w:cs="Arial"/>
          <w:color w:val="000000"/>
          <w:sz w:val="20"/>
          <w:szCs w:val="20"/>
          <w:lang w:eastAsia="en-GB"/>
        </w:rPr>
      </w:pPr>
      <w:r w:rsidRPr="006206EB">
        <w:rPr>
          <w:rFonts w:ascii="Arial" w:eastAsia="Times New Roman" w:hAnsi="Arial" w:cs="Arial"/>
          <w:color w:val="000000"/>
          <w:sz w:val="20"/>
          <w:szCs w:val="20"/>
          <w:lang w:eastAsia="en-GB"/>
        </w:rPr>
        <w:t>“Grassland conversion in the region would not be sustainable in terms of carbon sequestration although applications of livestock manure or other organic materials could mitigate soil C losses to some extent,” said Dr Wu</w:t>
      </w:r>
    </w:p>
    <w:p w14:paraId="6B493B9E" w14:textId="77777777" w:rsidR="006206EB" w:rsidRPr="006206EB" w:rsidRDefault="006206EB" w:rsidP="006206EB">
      <w:pPr>
        <w:spacing w:after="400" w:line="306" w:lineRule="atLeast"/>
        <w:textAlignment w:val="baseline"/>
        <w:rPr>
          <w:rFonts w:ascii="Arial" w:eastAsia="Times New Roman" w:hAnsi="Arial" w:cs="Arial"/>
          <w:color w:val="000000"/>
          <w:sz w:val="20"/>
          <w:szCs w:val="20"/>
          <w:lang w:eastAsia="en-GB"/>
        </w:rPr>
      </w:pPr>
      <w:r w:rsidRPr="006206EB">
        <w:rPr>
          <w:rFonts w:ascii="Arial" w:eastAsia="Times New Roman" w:hAnsi="Arial" w:cs="Arial"/>
          <w:color w:val="000000"/>
          <w:sz w:val="20"/>
          <w:szCs w:val="20"/>
          <w:lang w:eastAsia="en-GB"/>
        </w:rPr>
        <w:t>“In terms of storing carbon in the soil, converting grassland to winter wheat is therefore unsustainable in areas with soils and climates similar to the southwest of England, such as many other areas in the UK and northern Europe.”</w:t>
      </w:r>
    </w:p>
    <w:p w14:paraId="608909F2" w14:textId="20B00242" w:rsidR="006206EB" w:rsidRPr="006206EB" w:rsidRDefault="006206EB">
      <w:r w:rsidRPr="00043AD7">
        <w:rPr>
          <w:rFonts w:ascii="Arial" w:eastAsia="Times New Roman" w:hAnsi="Arial" w:cs="Arial"/>
          <w:lang w:eastAsia="en-GB"/>
        </w:rPr>
        <w:t>Publication</w:t>
      </w:r>
      <w:r>
        <w:rPr>
          <w:rFonts w:ascii="Arial" w:eastAsia="Times New Roman" w:hAnsi="Arial" w:cs="Arial"/>
          <w:sz w:val="37"/>
          <w:szCs w:val="37"/>
          <w:lang w:eastAsia="en-GB"/>
        </w:rPr>
        <w:t xml:space="preserve"> </w:t>
      </w:r>
      <w:hyperlink r:id="rId5" w:tgtFrame="_blank" w:history="1">
        <w:r w:rsidRPr="00043AD7">
          <w:rPr>
            <w:rStyle w:val="Hyperlink"/>
            <w:rFonts w:ascii="Arial" w:hAnsi="Arial" w:cs="Arial"/>
            <w:color w:val="auto"/>
            <w:sz w:val="18"/>
            <w:szCs w:val="18"/>
            <w:u w:val="none"/>
            <w:shd w:val="clear" w:color="auto" w:fill="EEEEEE"/>
          </w:rPr>
          <w:t>Projected climate effects on soil workability and trafficability determine</w:t>
        </w:r>
        <w:r w:rsidR="00043AD7">
          <w:rPr>
            <w:rFonts w:ascii="Arial" w:hAnsi="Arial" w:cs="Arial"/>
            <w:sz w:val="18"/>
            <w:szCs w:val="18"/>
            <w:shd w:val="clear" w:color="auto" w:fill="EEEEEE"/>
          </w:rPr>
          <w:t xml:space="preserve"> </w:t>
        </w:r>
        <w:r w:rsidRPr="00043AD7">
          <w:rPr>
            <w:rStyle w:val="Hyperlink"/>
            <w:rFonts w:ascii="Arial" w:hAnsi="Arial" w:cs="Arial"/>
            <w:color w:val="auto"/>
            <w:sz w:val="18"/>
            <w:szCs w:val="18"/>
            <w:u w:val="none"/>
            <w:shd w:val="clear" w:color="auto" w:fill="EEEEEE"/>
          </w:rPr>
          <w:t>the feasibility of converting permanent grassland to arable land</w:t>
        </w:r>
      </w:hyperlink>
      <w:r w:rsidR="00043AD7" w:rsidRPr="00043AD7">
        <w:t xml:space="preserve"> </w:t>
      </w:r>
      <w:r w:rsidR="00043AD7">
        <w:t xml:space="preserve">2022 </w:t>
      </w:r>
      <w:r w:rsidR="00043AD7">
        <w:rPr>
          <w:rFonts w:ascii="Arial" w:hAnsi="Arial" w:cs="Arial"/>
          <w:color w:val="666666"/>
          <w:sz w:val="18"/>
          <w:szCs w:val="18"/>
          <w:shd w:val="clear" w:color="auto" w:fill="F8F8F8"/>
        </w:rPr>
        <w:t>Agricultural Systems, Volume 203</w:t>
      </w:r>
      <w:r w:rsidR="00043AD7">
        <w:rPr>
          <w:rFonts w:ascii="Arial" w:hAnsi="Arial" w:cs="Arial"/>
          <w:color w:val="666666"/>
          <w:sz w:val="18"/>
          <w:szCs w:val="18"/>
          <w:shd w:val="clear" w:color="auto" w:fill="F8F8F8"/>
        </w:rPr>
        <w:t xml:space="preserve"> </w:t>
      </w:r>
      <w:r w:rsidR="00043AD7">
        <w:rPr>
          <w:rFonts w:ascii="Arial" w:hAnsi="Arial" w:cs="Arial"/>
          <w:color w:val="666666"/>
          <w:sz w:val="18"/>
          <w:szCs w:val="18"/>
          <w:shd w:val="clear" w:color="auto" w:fill="F8F8F8"/>
        </w:rPr>
        <w:t>Lianhai Wu, Lu Wu, Ian J. Bingham, Thomas H. Misselbrook</w:t>
      </w:r>
    </w:p>
    <w:sectPr w:rsidR="006206EB" w:rsidRPr="006206EB" w:rsidSect="006206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EB"/>
    <w:rsid w:val="00043AD7"/>
    <w:rsid w:val="00620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B3946"/>
  <w15:chartTrackingRefBased/>
  <w15:docId w15:val="{2822695E-32ED-4D56-A3FE-F2B3EA7B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0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495213">
      <w:bodyDiv w:val="1"/>
      <w:marLeft w:val="0"/>
      <w:marRight w:val="0"/>
      <w:marTop w:val="0"/>
      <w:marBottom w:val="0"/>
      <w:divBdr>
        <w:top w:val="none" w:sz="0" w:space="0" w:color="auto"/>
        <w:left w:val="none" w:sz="0" w:space="0" w:color="auto"/>
        <w:bottom w:val="none" w:sz="0" w:space="0" w:color="auto"/>
        <w:right w:val="none" w:sz="0" w:space="0" w:color="auto"/>
      </w:divBdr>
    </w:div>
    <w:div w:id="1562793349">
      <w:bodyDiv w:val="1"/>
      <w:marLeft w:val="0"/>
      <w:marRight w:val="0"/>
      <w:marTop w:val="0"/>
      <w:marBottom w:val="0"/>
      <w:divBdr>
        <w:top w:val="none" w:sz="0" w:space="0" w:color="auto"/>
        <w:left w:val="none" w:sz="0" w:space="0" w:color="auto"/>
        <w:bottom w:val="none" w:sz="0" w:space="0" w:color="auto"/>
        <w:right w:val="none" w:sz="0" w:space="0" w:color="auto"/>
      </w:divBdr>
      <w:divsChild>
        <w:div w:id="1570994298">
          <w:marLeft w:val="0"/>
          <w:marRight w:val="0"/>
          <w:marTop w:val="0"/>
          <w:marBottom w:val="0"/>
          <w:divBdr>
            <w:top w:val="none" w:sz="0" w:space="0" w:color="auto"/>
            <w:left w:val="none" w:sz="0" w:space="0" w:color="auto"/>
            <w:bottom w:val="none" w:sz="0" w:space="0" w:color="auto"/>
            <w:right w:val="none" w:sz="0" w:space="0" w:color="auto"/>
          </w:divBdr>
          <w:divsChild>
            <w:div w:id="1733389158">
              <w:marLeft w:val="0"/>
              <w:marRight w:val="0"/>
              <w:marTop w:val="0"/>
              <w:marBottom w:val="0"/>
              <w:divBdr>
                <w:top w:val="none" w:sz="0" w:space="0" w:color="auto"/>
                <w:left w:val="none" w:sz="0" w:space="0" w:color="auto"/>
                <w:bottom w:val="none" w:sz="0" w:space="0" w:color="auto"/>
                <w:right w:val="none" w:sz="0" w:space="0" w:color="auto"/>
              </w:divBdr>
              <w:divsChild>
                <w:div w:id="1924794818">
                  <w:marLeft w:val="0"/>
                  <w:marRight w:val="0"/>
                  <w:marTop w:val="0"/>
                  <w:marBottom w:val="0"/>
                  <w:divBdr>
                    <w:top w:val="none" w:sz="0" w:space="0" w:color="auto"/>
                    <w:left w:val="none" w:sz="0" w:space="0" w:color="auto"/>
                    <w:bottom w:val="none" w:sz="0" w:space="0" w:color="auto"/>
                    <w:right w:val="none" w:sz="0" w:space="0" w:color="auto"/>
                  </w:divBdr>
                  <w:divsChild>
                    <w:div w:id="658653225">
                      <w:marLeft w:val="0"/>
                      <w:marRight w:val="0"/>
                      <w:marTop w:val="0"/>
                      <w:marBottom w:val="0"/>
                      <w:divBdr>
                        <w:top w:val="none" w:sz="0" w:space="0" w:color="auto"/>
                        <w:left w:val="none" w:sz="0" w:space="0" w:color="auto"/>
                        <w:bottom w:val="none" w:sz="0" w:space="0" w:color="auto"/>
                        <w:right w:val="none" w:sz="0" w:space="0" w:color="auto"/>
                      </w:divBdr>
                      <w:divsChild>
                        <w:div w:id="87893462">
                          <w:marLeft w:val="-225"/>
                          <w:marRight w:val="-225"/>
                          <w:marTop w:val="0"/>
                          <w:marBottom w:val="0"/>
                          <w:divBdr>
                            <w:top w:val="none" w:sz="0" w:space="0" w:color="auto"/>
                            <w:left w:val="none" w:sz="0" w:space="0" w:color="auto"/>
                            <w:bottom w:val="none" w:sz="0" w:space="0" w:color="auto"/>
                            <w:right w:val="none" w:sz="0" w:space="0" w:color="auto"/>
                          </w:divBdr>
                          <w:divsChild>
                            <w:div w:id="313294106">
                              <w:marLeft w:val="0"/>
                              <w:marRight w:val="0"/>
                              <w:marTop w:val="0"/>
                              <w:marBottom w:val="0"/>
                              <w:divBdr>
                                <w:top w:val="none" w:sz="0" w:space="0" w:color="auto"/>
                                <w:left w:val="none" w:sz="0" w:space="0" w:color="auto"/>
                                <w:bottom w:val="none" w:sz="0" w:space="0" w:color="auto"/>
                                <w:right w:val="none" w:sz="0" w:space="0" w:color="auto"/>
                              </w:divBdr>
                              <w:divsChild>
                                <w:div w:id="1656716170">
                                  <w:marLeft w:val="0"/>
                                  <w:marRight w:val="0"/>
                                  <w:marTop w:val="0"/>
                                  <w:marBottom w:val="0"/>
                                  <w:divBdr>
                                    <w:top w:val="none" w:sz="0" w:space="0" w:color="auto"/>
                                    <w:left w:val="none" w:sz="0" w:space="0" w:color="auto"/>
                                    <w:bottom w:val="none" w:sz="0" w:space="0" w:color="auto"/>
                                    <w:right w:val="none" w:sz="0" w:space="0" w:color="auto"/>
                                  </w:divBdr>
                                  <w:divsChild>
                                    <w:div w:id="320161049">
                                      <w:marLeft w:val="0"/>
                                      <w:marRight w:val="0"/>
                                      <w:marTop w:val="0"/>
                                      <w:marBottom w:val="0"/>
                                      <w:divBdr>
                                        <w:top w:val="none" w:sz="0" w:space="0" w:color="auto"/>
                                        <w:left w:val="none" w:sz="0" w:space="0" w:color="auto"/>
                                        <w:bottom w:val="none" w:sz="0" w:space="0" w:color="auto"/>
                                        <w:right w:val="none" w:sz="0" w:space="0" w:color="auto"/>
                                      </w:divBdr>
                                      <w:divsChild>
                                        <w:div w:id="229922052">
                                          <w:marLeft w:val="0"/>
                                          <w:marRight w:val="0"/>
                                          <w:marTop w:val="0"/>
                                          <w:marBottom w:val="0"/>
                                          <w:divBdr>
                                            <w:top w:val="none" w:sz="0" w:space="0" w:color="auto"/>
                                            <w:left w:val="none" w:sz="0" w:space="0" w:color="auto"/>
                                            <w:bottom w:val="none" w:sz="0" w:space="0" w:color="auto"/>
                                            <w:right w:val="none" w:sz="0" w:space="0" w:color="auto"/>
                                          </w:divBdr>
                                          <w:divsChild>
                                            <w:div w:id="70196797">
                                              <w:marLeft w:val="0"/>
                                              <w:marRight w:val="0"/>
                                              <w:marTop w:val="0"/>
                                              <w:marBottom w:val="0"/>
                                              <w:divBdr>
                                                <w:top w:val="none" w:sz="0" w:space="0" w:color="auto"/>
                                                <w:left w:val="none" w:sz="0" w:space="0" w:color="auto"/>
                                                <w:bottom w:val="none" w:sz="0" w:space="0" w:color="auto"/>
                                                <w:right w:val="none" w:sz="0" w:space="0" w:color="auto"/>
                                              </w:divBdr>
                                              <w:divsChild>
                                                <w:div w:id="1215695946">
                                                  <w:marLeft w:val="0"/>
                                                  <w:marRight w:val="0"/>
                                                  <w:marTop w:val="0"/>
                                                  <w:marBottom w:val="0"/>
                                                  <w:divBdr>
                                                    <w:top w:val="none" w:sz="0" w:space="0" w:color="auto"/>
                                                    <w:left w:val="none" w:sz="0" w:space="0" w:color="auto"/>
                                                    <w:bottom w:val="none" w:sz="0" w:space="0" w:color="auto"/>
                                                    <w:right w:val="none" w:sz="0" w:space="0" w:color="auto"/>
                                                  </w:divBdr>
                                                  <w:divsChild>
                                                    <w:div w:id="563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506272">
                  <w:marLeft w:val="0"/>
                  <w:marRight w:val="0"/>
                  <w:marTop w:val="0"/>
                  <w:marBottom w:val="0"/>
                  <w:divBdr>
                    <w:top w:val="none" w:sz="0" w:space="0" w:color="auto"/>
                    <w:left w:val="none" w:sz="0" w:space="0" w:color="auto"/>
                    <w:bottom w:val="none" w:sz="0" w:space="0" w:color="auto"/>
                    <w:right w:val="none" w:sz="0" w:space="0" w:color="auto"/>
                  </w:divBdr>
                  <w:divsChild>
                    <w:div w:id="1628928033">
                      <w:marLeft w:val="0"/>
                      <w:marRight w:val="0"/>
                      <w:marTop w:val="0"/>
                      <w:marBottom w:val="1200"/>
                      <w:divBdr>
                        <w:top w:val="none" w:sz="0" w:space="0" w:color="auto"/>
                        <w:left w:val="none" w:sz="0" w:space="0" w:color="auto"/>
                        <w:bottom w:val="none" w:sz="0" w:space="0" w:color="auto"/>
                        <w:right w:val="none" w:sz="0" w:space="0" w:color="auto"/>
                      </w:divBdr>
                      <w:divsChild>
                        <w:div w:id="1415123535">
                          <w:marLeft w:val="0"/>
                          <w:marRight w:val="0"/>
                          <w:marTop w:val="0"/>
                          <w:marBottom w:val="0"/>
                          <w:divBdr>
                            <w:top w:val="none" w:sz="0" w:space="0" w:color="auto"/>
                            <w:left w:val="none" w:sz="0" w:space="0" w:color="auto"/>
                            <w:bottom w:val="none" w:sz="0" w:space="0" w:color="auto"/>
                            <w:right w:val="none" w:sz="0" w:space="0" w:color="auto"/>
                          </w:divBdr>
                          <w:divsChild>
                            <w:div w:id="93597418">
                              <w:marLeft w:val="0"/>
                              <w:marRight w:val="0"/>
                              <w:marTop w:val="0"/>
                              <w:marBottom w:val="0"/>
                              <w:divBdr>
                                <w:top w:val="none" w:sz="0" w:space="0" w:color="auto"/>
                                <w:left w:val="none" w:sz="0" w:space="0" w:color="auto"/>
                                <w:bottom w:val="none" w:sz="0" w:space="0" w:color="auto"/>
                                <w:right w:val="none" w:sz="0" w:space="0" w:color="auto"/>
                              </w:divBdr>
                              <w:divsChild>
                                <w:div w:id="1654484385">
                                  <w:marLeft w:val="0"/>
                                  <w:marRight w:val="0"/>
                                  <w:marTop w:val="0"/>
                                  <w:marBottom w:val="0"/>
                                  <w:divBdr>
                                    <w:top w:val="none" w:sz="0" w:space="0" w:color="auto"/>
                                    <w:left w:val="none" w:sz="0" w:space="0" w:color="auto"/>
                                    <w:bottom w:val="none" w:sz="0" w:space="0" w:color="auto"/>
                                    <w:right w:val="none" w:sz="0" w:space="0" w:color="auto"/>
                                  </w:divBdr>
                                </w:div>
                                <w:div w:id="1797210810">
                                  <w:marLeft w:val="0"/>
                                  <w:marRight w:val="0"/>
                                  <w:marTop w:val="0"/>
                                  <w:marBottom w:val="0"/>
                                  <w:divBdr>
                                    <w:top w:val="none" w:sz="0" w:space="0" w:color="auto"/>
                                    <w:left w:val="none" w:sz="0" w:space="0" w:color="auto"/>
                                    <w:bottom w:val="none" w:sz="0" w:space="0" w:color="auto"/>
                                    <w:right w:val="none" w:sz="0" w:space="0" w:color="auto"/>
                                  </w:divBdr>
                                </w:div>
                                <w:div w:id="21436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iencedirect.com/science/article/pii/S0308521X22001366?dgcid=rss_sd_all" TargetMode="External"/><Relationship Id="rId4" Type="http://schemas.openxmlformats.org/officeDocument/2006/relationships/hyperlink" Target="https://www.sciencedirect.com/science/article/pii/S0308521X22001366?via%3Di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2022-09-20T08:49:00Z</dcterms:created>
  <dcterms:modified xsi:type="dcterms:W3CDTF">2022-09-20T09:13:00Z</dcterms:modified>
</cp:coreProperties>
</file>