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9593" w14:textId="27685D9E" w:rsidR="003B2990" w:rsidRDefault="003B2990">
      <w:pPr>
        <w:jc w:val="center"/>
        <w:rPr>
          <w:rFonts w:ascii="Calibri" w:eastAsia="Calibri" w:hAnsi="Calibri" w:cs="Calibri"/>
          <w:b/>
          <w:i/>
          <w:color w:val="222222"/>
          <w:u w:val="single"/>
        </w:rPr>
      </w:pPr>
    </w:p>
    <w:p w14:paraId="72434446" w14:textId="77777777" w:rsidR="003B2990" w:rsidRDefault="003B2990">
      <w:pPr>
        <w:jc w:val="center"/>
        <w:rPr>
          <w:rFonts w:ascii="Calibri" w:eastAsia="Calibri" w:hAnsi="Calibri" w:cs="Calibri"/>
          <w:b/>
          <w:i/>
          <w:color w:val="222222"/>
          <w:u w:val="single"/>
        </w:rPr>
      </w:pPr>
    </w:p>
    <w:p w14:paraId="00000002" w14:textId="3F2DDD50" w:rsidR="00D33902" w:rsidRPr="005469CD" w:rsidRDefault="003B2990">
      <w:pPr>
        <w:jc w:val="center"/>
        <w:rPr>
          <w:rFonts w:asciiTheme="majorHAnsi" w:eastAsia="Calibri" w:hAnsiTheme="majorHAnsi" w:cstheme="majorHAnsi"/>
          <w:b/>
          <w:i/>
          <w:color w:val="222222"/>
          <w:sz w:val="24"/>
          <w:szCs w:val="24"/>
          <w:u w:val="single"/>
        </w:rPr>
      </w:pPr>
      <w:r w:rsidRPr="005469CD">
        <w:rPr>
          <w:rFonts w:asciiTheme="majorHAnsi" w:eastAsia="Calibri" w:hAnsiTheme="majorHAnsi" w:cstheme="majorHAnsi"/>
          <w:b/>
          <w:i/>
          <w:color w:val="222222"/>
          <w:sz w:val="24"/>
          <w:szCs w:val="24"/>
          <w:u w:val="single"/>
        </w:rPr>
        <w:t>A stealth health approach to dietary fiber</w:t>
      </w:r>
      <w:r w:rsidR="007A38E3" w:rsidRPr="005469CD">
        <w:rPr>
          <w:rFonts w:asciiTheme="majorHAnsi" w:eastAsia="Calibri" w:hAnsiTheme="majorHAnsi" w:cstheme="majorHAnsi"/>
          <w:b/>
          <w:i/>
          <w:color w:val="222222"/>
          <w:sz w:val="24"/>
          <w:szCs w:val="24"/>
          <w:u w:val="single"/>
        </w:rPr>
        <w:t xml:space="preserve"> </w:t>
      </w:r>
    </w:p>
    <w:p w14:paraId="00000003" w14:textId="68739B38" w:rsidR="00D33902" w:rsidRPr="005469CD" w:rsidRDefault="00B461E1">
      <w:pPr>
        <w:rPr>
          <w:rFonts w:asciiTheme="majorHAnsi" w:eastAsia="Calibri" w:hAnsiTheme="majorHAnsi" w:cstheme="majorHAnsi"/>
          <w:color w:val="222222"/>
          <w:sz w:val="24"/>
          <w:szCs w:val="24"/>
          <w:vertAlign w:val="superscript"/>
        </w:rPr>
      </w:pPr>
      <w:r w:rsidRPr="005469CD">
        <w:rPr>
          <w:rFonts w:asciiTheme="majorHAnsi" w:eastAsia="Calibri" w:hAnsiTheme="majorHAnsi" w:cstheme="majorHAnsi"/>
          <w:color w:val="222222"/>
          <w:sz w:val="24"/>
          <w:szCs w:val="24"/>
        </w:rPr>
        <w:t xml:space="preserve">Stephen </w:t>
      </w:r>
      <w:proofErr w:type="gramStart"/>
      <w:r w:rsidRPr="005469CD">
        <w:rPr>
          <w:rFonts w:asciiTheme="majorHAnsi" w:eastAsia="Calibri" w:hAnsiTheme="majorHAnsi" w:cstheme="majorHAnsi"/>
          <w:color w:val="222222"/>
          <w:sz w:val="24"/>
          <w:szCs w:val="24"/>
        </w:rPr>
        <w:t>Baenziger</w:t>
      </w:r>
      <w:r w:rsidRPr="005469CD">
        <w:rPr>
          <w:rFonts w:asciiTheme="majorHAnsi" w:eastAsia="Calibri" w:hAnsiTheme="majorHAnsi" w:cstheme="majorHAnsi"/>
          <w:color w:val="222222"/>
          <w:sz w:val="24"/>
          <w:szCs w:val="24"/>
          <w:vertAlign w:val="superscript"/>
        </w:rPr>
        <w:t>[</w:t>
      </w:r>
      <w:proofErr w:type="gramEnd"/>
      <w:r w:rsidRPr="005469CD">
        <w:rPr>
          <w:rFonts w:asciiTheme="majorHAnsi" w:eastAsia="Calibri" w:hAnsiTheme="majorHAnsi" w:cstheme="majorHAnsi"/>
          <w:color w:val="222222"/>
          <w:sz w:val="24"/>
          <w:szCs w:val="24"/>
          <w:vertAlign w:val="superscript"/>
        </w:rPr>
        <w:t>1]</w:t>
      </w:r>
      <w:r w:rsidRPr="005469CD">
        <w:rPr>
          <w:rFonts w:asciiTheme="majorHAnsi" w:eastAsia="Calibri" w:hAnsiTheme="majorHAnsi" w:cstheme="majorHAnsi"/>
          <w:color w:val="222222"/>
          <w:sz w:val="24"/>
          <w:szCs w:val="24"/>
        </w:rPr>
        <w:t>, Katherine Frels</w:t>
      </w:r>
      <w:r w:rsidRPr="005469CD">
        <w:rPr>
          <w:rFonts w:asciiTheme="majorHAnsi" w:eastAsia="Calibri" w:hAnsiTheme="majorHAnsi" w:cstheme="majorHAnsi"/>
          <w:color w:val="222222"/>
          <w:sz w:val="24"/>
          <w:szCs w:val="24"/>
          <w:vertAlign w:val="superscript"/>
        </w:rPr>
        <w:t>[</w:t>
      </w:r>
      <w:r w:rsidR="00B87913" w:rsidRPr="005469CD">
        <w:rPr>
          <w:rFonts w:asciiTheme="majorHAnsi" w:eastAsia="Calibri" w:hAnsiTheme="majorHAnsi" w:cstheme="majorHAnsi"/>
          <w:color w:val="222222"/>
          <w:sz w:val="24"/>
          <w:szCs w:val="24"/>
          <w:vertAlign w:val="superscript"/>
        </w:rPr>
        <w:t>1</w:t>
      </w:r>
      <w:r w:rsidRPr="005469CD">
        <w:rPr>
          <w:rFonts w:asciiTheme="majorHAnsi" w:eastAsia="Calibri" w:hAnsiTheme="majorHAnsi" w:cstheme="majorHAnsi"/>
          <w:color w:val="222222"/>
          <w:sz w:val="24"/>
          <w:szCs w:val="24"/>
          <w:vertAlign w:val="superscript"/>
        </w:rPr>
        <w:t>]</w:t>
      </w:r>
      <w:r w:rsidRPr="005469CD">
        <w:rPr>
          <w:rFonts w:asciiTheme="majorHAnsi" w:eastAsia="Calibri" w:hAnsiTheme="majorHAnsi" w:cstheme="majorHAnsi"/>
          <w:color w:val="222222"/>
          <w:sz w:val="24"/>
          <w:szCs w:val="24"/>
        </w:rPr>
        <w:t>, Steve Greenspan</w:t>
      </w:r>
      <w:r w:rsidRPr="005469CD">
        <w:rPr>
          <w:rFonts w:asciiTheme="majorHAnsi" w:eastAsia="Calibri" w:hAnsiTheme="majorHAnsi" w:cstheme="majorHAnsi"/>
          <w:color w:val="222222"/>
          <w:sz w:val="24"/>
          <w:szCs w:val="24"/>
          <w:vertAlign w:val="superscript"/>
        </w:rPr>
        <w:t>[</w:t>
      </w:r>
      <w:r w:rsidR="00B87913" w:rsidRPr="005469CD">
        <w:rPr>
          <w:rFonts w:asciiTheme="majorHAnsi" w:eastAsia="Calibri" w:hAnsiTheme="majorHAnsi" w:cstheme="majorHAnsi"/>
          <w:color w:val="222222"/>
          <w:sz w:val="24"/>
          <w:szCs w:val="24"/>
          <w:vertAlign w:val="superscript"/>
        </w:rPr>
        <w:t>2</w:t>
      </w:r>
      <w:r w:rsidRPr="005469CD">
        <w:rPr>
          <w:rFonts w:asciiTheme="majorHAnsi" w:eastAsia="Calibri" w:hAnsiTheme="majorHAnsi" w:cstheme="majorHAnsi"/>
          <w:color w:val="222222"/>
          <w:sz w:val="24"/>
          <w:szCs w:val="24"/>
          <w:vertAlign w:val="superscript"/>
        </w:rPr>
        <w:t>]</w:t>
      </w:r>
      <w:r w:rsidRPr="005469CD">
        <w:rPr>
          <w:rFonts w:asciiTheme="majorHAnsi" w:eastAsia="Calibri" w:hAnsiTheme="majorHAnsi" w:cstheme="majorHAnsi"/>
          <w:color w:val="222222"/>
          <w:sz w:val="24"/>
          <w:szCs w:val="24"/>
        </w:rPr>
        <w:t>,  Julie Jones</w:t>
      </w:r>
      <w:r w:rsidRPr="005469CD">
        <w:rPr>
          <w:rFonts w:asciiTheme="majorHAnsi" w:eastAsia="Calibri" w:hAnsiTheme="majorHAnsi" w:cstheme="majorHAnsi"/>
          <w:color w:val="222222"/>
          <w:sz w:val="24"/>
          <w:szCs w:val="24"/>
          <w:vertAlign w:val="superscript"/>
        </w:rPr>
        <w:t>[</w:t>
      </w:r>
      <w:r w:rsidR="00B87913" w:rsidRPr="005469CD">
        <w:rPr>
          <w:rFonts w:asciiTheme="majorHAnsi" w:eastAsia="Calibri" w:hAnsiTheme="majorHAnsi" w:cstheme="majorHAnsi"/>
          <w:color w:val="222222"/>
          <w:sz w:val="24"/>
          <w:szCs w:val="24"/>
          <w:vertAlign w:val="superscript"/>
        </w:rPr>
        <w:t>3</w:t>
      </w:r>
      <w:r w:rsidRPr="005469CD">
        <w:rPr>
          <w:rFonts w:asciiTheme="majorHAnsi" w:eastAsia="Calibri" w:hAnsiTheme="majorHAnsi" w:cstheme="majorHAnsi"/>
          <w:color w:val="222222"/>
          <w:sz w:val="24"/>
          <w:szCs w:val="24"/>
          <w:vertAlign w:val="superscript"/>
        </w:rPr>
        <w:t>]</w:t>
      </w:r>
      <w:r w:rsidRPr="005469CD">
        <w:rPr>
          <w:rFonts w:asciiTheme="majorHAnsi" w:eastAsia="Calibri" w:hAnsiTheme="majorHAnsi" w:cstheme="majorHAnsi"/>
          <w:color w:val="222222"/>
          <w:sz w:val="24"/>
          <w:szCs w:val="24"/>
        </w:rPr>
        <w:t>, Alison Lovegrove</w:t>
      </w:r>
      <w:r w:rsidRPr="005469CD">
        <w:rPr>
          <w:rFonts w:asciiTheme="majorHAnsi" w:eastAsia="Calibri" w:hAnsiTheme="majorHAnsi" w:cstheme="majorHAnsi"/>
          <w:color w:val="222222"/>
          <w:sz w:val="24"/>
          <w:szCs w:val="24"/>
          <w:vertAlign w:val="superscript"/>
        </w:rPr>
        <w:t>[</w:t>
      </w:r>
      <w:r w:rsidR="00B87913" w:rsidRPr="005469CD">
        <w:rPr>
          <w:rFonts w:asciiTheme="majorHAnsi" w:eastAsia="Calibri" w:hAnsiTheme="majorHAnsi" w:cstheme="majorHAnsi"/>
          <w:color w:val="222222"/>
          <w:sz w:val="24"/>
          <w:szCs w:val="24"/>
          <w:vertAlign w:val="superscript"/>
        </w:rPr>
        <w:t>4</w:t>
      </w:r>
      <w:r w:rsidRPr="005469CD">
        <w:rPr>
          <w:rFonts w:asciiTheme="majorHAnsi" w:eastAsia="Calibri" w:hAnsiTheme="majorHAnsi" w:cstheme="majorHAnsi"/>
          <w:color w:val="222222"/>
          <w:sz w:val="24"/>
          <w:szCs w:val="24"/>
          <w:vertAlign w:val="superscript"/>
        </w:rPr>
        <w:t>]</w:t>
      </w:r>
      <w:r w:rsidRPr="005469CD">
        <w:rPr>
          <w:rFonts w:asciiTheme="majorHAnsi" w:eastAsia="Calibri" w:hAnsiTheme="majorHAnsi" w:cstheme="majorHAnsi"/>
          <w:color w:val="222222"/>
          <w:sz w:val="24"/>
          <w:szCs w:val="24"/>
        </w:rPr>
        <w:t>, Devin Rose</w:t>
      </w:r>
      <w:r w:rsidRPr="005469CD">
        <w:rPr>
          <w:rFonts w:asciiTheme="majorHAnsi" w:eastAsia="Calibri" w:hAnsiTheme="majorHAnsi" w:cstheme="majorHAnsi"/>
          <w:color w:val="222222"/>
          <w:sz w:val="24"/>
          <w:szCs w:val="24"/>
          <w:vertAlign w:val="superscript"/>
        </w:rPr>
        <w:t>[</w:t>
      </w:r>
      <w:r w:rsidR="00B87913" w:rsidRPr="005469CD">
        <w:rPr>
          <w:rFonts w:asciiTheme="majorHAnsi" w:eastAsia="Calibri" w:hAnsiTheme="majorHAnsi" w:cstheme="majorHAnsi"/>
          <w:color w:val="222222"/>
          <w:sz w:val="24"/>
          <w:szCs w:val="24"/>
          <w:vertAlign w:val="superscript"/>
        </w:rPr>
        <w:t>1</w:t>
      </w:r>
      <w:r w:rsidRPr="005469CD">
        <w:rPr>
          <w:rFonts w:asciiTheme="majorHAnsi" w:eastAsia="Calibri" w:hAnsiTheme="majorHAnsi" w:cstheme="majorHAnsi"/>
          <w:color w:val="222222"/>
          <w:sz w:val="24"/>
          <w:szCs w:val="24"/>
          <w:vertAlign w:val="superscript"/>
        </w:rPr>
        <w:t>]</w:t>
      </w:r>
      <w:r w:rsidRPr="005469CD">
        <w:rPr>
          <w:rFonts w:asciiTheme="majorHAnsi" w:eastAsia="Calibri" w:hAnsiTheme="majorHAnsi" w:cstheme="majorHAnsi"/>
          <w:color w:val="222222"/>
          <w:sz w:val="24"/>
          <w:szCs w:val="24"/>
        </w:rPr>
        <w:t>, Peter Shewry</w:t>
      </w:r>
      <w:r w:rsidRPr="005469CD">
        <w:rPr>
          <w:rFonts w:asciiTheme="majorHAnsi" w:eastAsia="Calibri" w:hAnsiTheme="majorHAnsi" w:cstheme="majorHAnsi"/>
          <w:color w:val="222222"/>
          <w:sz w:val="24"/>
          <w:szCs w:val="24"/>
          <w:vertAlign w:val="superscript"/>
        </w:rPr>
        <w:t>[</w:t>
      </w:r>
      <w:r w:rsidR="00DF26FF" w:rsidRPr="005469CD">
        <w:rPr>
          <w:rFonts w:asciiTheme="majorHAnsi" w:eastAsia="Calibri" w:hAnsiTheme="majorHAnsi" w:cstheme="majorHAnsi"/>
          <w:color w:val="222222"/>
          <w:sz w:val="24"/>
          <w:szCs w:val="24"/>
          <w:vertAlign w:val="superscript"/>
        </w:rPr>
        <w:t>4</w:t>
      </w:r>
      <w:r w:rsidRPr="005469CD">
        <w:rPr>
          <w:rFonts w:asciiTheme="majorHAnsi" w:eastAsia="Calibri" w:hAnsiTheme="majorHAnsi" w:cstheme="majorHAnsi"/>
          <w:color w:val="222222"/>
          <w:sz w:val="24"/>
          <w:szCs w:val="24"/>
          <w:vertAlign w:val="superscript"/>
        </w:rPr>
        <w:t>]</w:t>
      </w:r>
      <w:r w:rsidRPr="005469CD">
        <w:rPr>
          <w:rFonts w:asciiTheme="majorHAnsi" w:eastAsia="Calibri" w:hAnsiTheme="majorHAnsi" w:cstheme="majorHAnsi"/>
          <w:color w:val="222222"/>
          <w:sz w:val="24"/>
          <w:szCs w:val="24"/>
        </w:rPr>
        <w:t>, Rod Wallace</w:t>
      </w:r>
      <w:r w:rsidRPr="005469CD">
        <w:rPr>
          <w:rFonts w:asciiTheme="majorHAnsi" w:eastAsia="Calibri" w:hAnsiTheme="majorHAnsi" w:cstheme="majorHAnsi"/>
          <w:color w:val="222222"/>
          <w:sz w:val="24"/>
          <w:szCs w:val="24"/>
          <w:vertAlign w:val="superscript"/>
        </w:rPr>
        <w:t>[</w:t>
      </w:r>
      <w:r w:rsidR="00B87913" w:rsidRPr="005469CD">
        <w:rPr>
          <w:rFonts w:asciiTheme="majorHAnsi" w:eastAsia="Calibri" w:hAnsiTheme="majorHAnsi" w:cstheme="majorHAnsi"/>
          <w:color w:val="222222"/>
          <w:sz w:val="24"/>
          <w:szCs w:val="24"/>
          <w:vertAlign w:val="superscript"/>
        </w:rPr>
        <w:t>2</w:t>
      </w:r>
      <w:r w:rsidRPr="005469CD">
        <w:rPr>
          <w:rFonts w:asciiTheme="majorHAnsi" w:eastAsia="Calibri" w:hAnsiTheme="majorHAnsi" w:cstheme="majorHAnsi"/>
          <w:color w:val="222222"/>
          <w:sz w:val="24"/>
          <w:szCs w:val="24"/>
          <w:vertAlign w:val="superscript"/>
        </w:rPr>
        <w:t>]</w:t>
      </w:r>
    </w:p>
    <w:p w14:paraId="00000004" w14:textId="77777777" w:rsidR="00D33902" w:rsidRPr="005469CD" w:rsidRDefault="00B461E1">
      <w:pPr>
        <w:rPr>
          <w:rFonts w:asciiTheme="majorHAnsi" w:eastAsia="Calibri" w:hAnsiTheme="majorHAnsi" w:cstheme="majorHAnsi"/>
          <w:b/>
          <w:i/>
          <w:color w:val="FF0000"/>
          <w:sz w:val="24"/>
          <w:szCs w:val="24"/>
        </w:rPr>
      </w:pPr>
      <w:r w:rsidRPr="005469CD">
        <w:rPr>
          <w:rFonts w:asciiTheme="majorHAnsi" w:eastAsia="Calibri" w:hAnsiTheme="majorHAnsi" w:cstheme="majorHAnsi"/>
          <w:color w:val="FF0000"/>
          <w:sz w:val="24"/>
          <w:szCs w:val="24"/>
        </w:rPr>
        <w:t xml:space="preserve"> </w:t>
      </w:r>
    </w:p>
    <w:p w14:paraId="09410313" w14:textId="77777777" w:rsidR="0095116F" w:rsidRPr="005469CD" w:rsidRDefault="0095116F" w:rsidP="0095116F">
      <w:pPr>
        <w:rPr>
          <w:rFonts w:asciiTheme="majorHAnsi" w:eastAsia="Times New Roman" w:hAnsiTheme="majorHAnsi" w:cstheme="majorHAnsi"/>
          <w:color w:val="888888"/>
          <w:sz w:val="24"/>
          <w:szCs w:val="24"/>
          <w:lang w:val="en-US" w:eastAsia="en-US"/>
        </w:rPr>
      </w:pPr>
      <w:r w:rsidRPr="005469CD">
        <w:rPr>
          <w:rStyle w:val="hgkelc"/>
          <w:rFonts w:asciiTheme="majorHAnsi" w:hAnsiTheme="majorHAnsi" w:cstheme="majorHAnsi"/>
          <w:bCs/>
          <w:sz w:val="24"/>
          <w:szCs w:val="24"/>
        </w:rPr>
        <w:t xml:space="preserve">The authors declare that they have no known competing financial interests or personal relationships that could have appeared to influence the work reported in this paper, but acknowledge they are members of the Coalition for Grain Fiber or the Foundation for Innovation for Healthy Foods and some are scientific advisors to </w:t>
      </w:r>
      <w:r w:rsidRPr="005469CD">
        <w:rPr>
          <w:rFonts w:asciiTheme="majorHAnsi" w:eastAsia="Times New Roman" w:hAnsiTheme="majorHAnsi" w:cstheme="majorHAnsi"/>
          <w:sz w:val="24"/>
          <w:szCs w:val="24"/>
          <w:lang w:val="en-US" w:eastAsia="en-US"/>
        </w:rPr>
        <w:t>Grains Foods Foundation, IL CEREALES (Latin American Organization), Grupo Bimbo, and Quality Carbohydrate Coalition.</w:t>
      </w:r>
    </w:p>
    <w:p w14:paraId="1E1FA39B" w14:textId="77777777" w:rsidR="0095116F" w:rsidRPr="005469CD" w:rsidRDefault="0095116F" w:rsidP="0095116F">
      <w:pPr>
        <w:spacing w:line="240" w:lineRule="auto"/>
        <w:rPr>
          <w:rFonts w:asciiTheme="majorHAnsi" w:eastAsia="Times New Roman" w:hAnsiTheme="majorHAnsi" w:cstheme="majorHAnsi"/>
          <w:color w:val="888888"/>
          <w:sz w:val="24"/>
          <w:szCs w:val="24"/>
          <w:lang w:val="en-US" w:eastAsia="en-US"/>
        </w:rPr>
      </w:pPr>
    </w:p>
    <w:p w14:paraId="1954D6DC" w14:textId="20990AA5" w:rsidR="003B2990" w:rsidRPr="005469CD" w:rsidRDefault="003B2990">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To the Editor,</w:t>
      </w:r>
    </w:p>
    <w:p w14:paraId="654303EA" w14:textId="507A0ED5" w:rsidR="00FD2F90" w:rsidRPr="005469CD" w:rsidRDefault="003B2990" w:rsidP="00FD2F90">
      <w:pPr>
        <w:rPr>
          <w:rFonts w:asciiTheme="majorHAnsi" w:eastAsia="Calibri" w:hAnsiTheme="majorHAnsi" w:cstheme="majorHAnsi"/>
          <w:color w:val="FF0000"/>
          <w:sz w:val="24"/>
          <w:szCs w:val="24"/>
        </w:rPr>
      </w:pPr>
      <w:r w:rsidRPr="005469CD">
        <w:rPr>
          <w:rFonts w:asciiTheme="majorHAnsi" w:eastAsia="Calibri" w:hAnsiTheme="majorHAnsi" w:cstheme="majorHAnsi"/>
          <w:color w:val="222222"/>
          <w:sz w:val="24"/>
          <w:szCs w:val="24"/>
        </w:rPr>
        <w:t>Average dietary fiber</w:t>
      </w:r>
      <w:r w:rsidR="00B461E1" w:rsidRPr="005469CD">
        <w:rPr>
          <w:rFonts w:asciiTheme="majorHAnsi" w:eastAsia="Calibri" w:hAnsiTheme="majorHAnsi" w:cstheme="majorHAnsi"/>
          <w:color w:val="222222"/>
          <w:sz w:val="24"/>
          <w:szCs w:val="24"/>
        </w:rPr>
        <w:t xml:space="preserve"> intakes have increased little in the past twenty years in many countries</w:t>
      </w:r>
      <w:r w:rsidRPr="005469CD">
        <w:rPr>
          <w:rFonts w:asciiTheme="majorHAnsi" w:eastAsia="Calibri" w:hAnsiTheme="majorHAnsi" w:cstheme="majorHAnsi"/>
          <w:color w:val="222222"/>
          <w:sz w:val="24"/>
          <w:szCs w:val="24"/>
        </w:rPr>
        <w:t>,</w:t>
      </w:r>
      <w:r w:rsidR="00B461E1" w:rsidRPr="005469CD">
        <w:rPr>
          <w:rFonts w:asciiTheme="majorHAnsi" w:eastAsia="Calibri" w:hAnsiTheme="majorHAnsi" w:cstheme="majorHAnsi"/>
          <w:color w:val="222222"/>
          <w:sz w:val="24"/>
          <w:szCs w:val="24"/>
        </w:rPr>
        <w:t xml:space="preserve"> including the USA</w:t>
      </w:r>
      <w:r w:rsidR="00FD2F90" w:rsidRPr="005469CD">
        <w:rPr>
          <w:rFonts w:asciiTheme="majorHAnsi" w:eastAsia="Calibri" w:hAnsiTheme="majorHAnsi" w:cstheme="majorHAnsi"/>
          <w:color w:val="222222"/>
          <w:sz w:val="24"/>
          <w:szCs w:val="24"/>
        </w:rPr>
        <w:t xml:space="preserve"> [</w:t>
      </w:r>
      <w:r w:rsidR="00EE4AD5" w:rsidRPr="005469CD">
        <w:rPr>
          <w:rFonts w:asciiTheme="majorHAnsi" w:hAnsiTheme="majorHAnsi" w:cstheme="majorHAnsi"/>
          <w:sz w:val="24"/>
          <w:szCs w:val="24"/>
        </w:rPr>
        <w:t>1</w:t>
      </w:r>
      <w:r w:rsidR="009518FF" w:rsidRPr="005469CD">
        <w:rPr>
          <w:rFonts w:asciiTheme="majorHAnsi" w:eastAsia="Calibri" w:hAnsiTheme="majorHAnsi" w:cstheme="majorHAnsi"/>
          <w:color w:val="222222"/>
          <w:sz w:val="24"/>
          <w:szCs w:val="24"/>
        </w:rPr>
        <w:t>]</w:t>
      </w:r>
      <w:r w:rsidR="00B461E1" w:rsidRPr="005469CD">
        <w:rPr>
          <w:rFonts w:asciiTheme="majorHAnsi" w:eastAsia="Calibri" w:hAnsiTheme="majorHAnsi" w:cstheme="majorHAnsi"/>
          <w:color w:val="222222"/>
          <w:sz w:val="24"/>
          <w:szCs w:val="24"/>
        </w:rPr>
        <w:t xml:space="preserve">. Multi-million-dollar campaigns promoting fruits, vegetables, whole grains, and other foods high in fiber have </w:t>
      </w:r>
      <w:r w:rsidRPr="005469CD">
        <w:rPr>
          <w:rFonts w:asciiTheme="majorHAnsi" w:eastAsia="Calibri" w:hAnsiTheme="majorHAnsi" w:cstheme="majorHAnsi"/>
          <w:color w:val="222222"/>
          <w:sz w:val="24"/>
          <w:szCs w:val="24"/>
        </w:rPr>
        <w:t xml:space="preserve">delivered </w:t>
      </w:r>
      <w:r w:rsidR="00B461E1" w:rsidRPr="005469CD">
        <w:rPr>
          <w:rFonts w:asciiTheme="majorHAnsi" w:eastAsia="Calibri" w:hAnsiTheme="majorHAnsi" w:cstheme="majorHAnsi"/>
          <w:color w:val="222222"/>
          <w:sz w:val="24"/>
          <w:szCs w:val="24"/>
        </w:rPr>
        <w:t xml:space="preserve">only small changes </w:t>
      </w:r>
      <w:r w:rsidR="00EE4AD5" w:rsidRPr="005469CD">
        <w:rPr>
          <w:rFonts w:asciiTheme="majorHAnsi" w:eastAsia="Calibri" w:hAnsiTheme="majorHAnsi" w:cstheme="majorHAnsi"/>
          <w:color w:val="222222"/>
          <w:sz w:val="24"/>
          <w:szCs w:val="24"/>
        </w:rPr>
        <w:t>[2]</w:t>
      </w:r>
      <w:r w:rsidRPr="005469CD">
        <w:rPr>
          <w:rFonts w:asciiTheme="majorHAnsi" w:eastAsia="Calibri" w:hAnsiTheme="majorHAnsi" w:cstheme="majorHAnsi"/>
          <w:color w:val="222222"/>
          <w:sz w:val="24"/>
          <w:szCs w:val="24"/>
        </w:rPr>
        <w:t xml:space="preserve">, and consumers have not changed from traditional staples to whole-grain options </w:t>
      </w:r>
      <w:r w:rsidR="00EE4AD5" w:rsidRPr="005469CD">
        <w:rPr>
          <w:rFonts w:asciiTheme="majorHAnsi" w:eastAsia="Calibri" w:hAnsiTheme="majorHAnsi" w:cstheme="majorHAnsi"/>
          <w:color w:val="222222"/>
          <w:sz w:val="24"/>
          <w:szCs w:val="24"/>
        </w:rPr>
        <w:t>[3]</w:t>
      </w:r>
      <w:r w:rsidR="00B461E1" w:rsidRPr="005469CD">
        <w:rPr>
          <w:rFonts w:asciiTheme="majorHAnsi" w:eastAsia="Calibri" w:hAnsiTheme="majorHAnsi" w:cstheme="majorHAnsi"/>
          <w:color w:val="222222"/>
          <w:sz w:val="24"/>
          <w:szCs w:val="24"/>
        </w:rPr>
        <w:t xml:space="preserve">. </w:t>
      </w:r>
      <w:r w:rsidRPr="005469CD">
        <w:rPr>
          <w:rFonts w:asciiTheme="majorHAnsi" w:eastAsia="Calibri" w:hAnsiTheme="majorHAnsi" w:cstheme="majorHAnsi"/>
          <w:color w:val="222222"/>
          <w:sz w:val="24"/>
          <w:szCs w:val="24"/>
        </w:rPr>
        <w:t>UK millers report that c</w:t>
      </w:r>
      <w:r w:rsidR="00FD2F90" w:rsidRPr="005469CD">
        <w:rPr>
          <w:rFonts w:asciiTheme="majorHAnsi" w:eastAsia="Calibri" w:hAnsiTheme="majorHAnsi" w:cstheme="majorHAnsi"/>
          <w:color w:val="222222"/>
          <w:sz w:val="24"/>
          <w:szCs w:val="24"/>
        </w:rPr>
        <w:t>onsumption of whole-wheat bread ha</w:t>
      </w:r>
      <w:r w:rsidR="00F673E7" w:rsidRPr="005469CD">
        <w:rPr>
          <w:rFonts w:asciiTheme="majorHAnsi" w:eastAsia="Calibri" w:hAnsiTheme="majorHAnsi" w:cstheme="majorHAnsi"/>
          <w:color w:val="222222"/>
          <w:sz w:val="24"/>
          <w:szCs w:val="24"/>
        </w:rPr>
        <w:t>s</w:t>
      </w:r>
      <w:r w:rsidR="00FD2F90" w:rsidRPr="005469CD">
        <w:rPr>
          <w:rFonts w:asciiTheme="majorHAnsi" w:eastAsia="Calibri" w:hAnsiTheme="majorHAnsi" w:cstheme="majorHAnsi"/>
          <w:color w:val="222222"/>
          <w:sz w:val="24"/>
          <w:szCs w:val="24"/>
        </w:rPr>
        <w:t xml:space="preserve"> </w:t>
      </w:r>
      <w:proofErr w:type="gramStart"/>
      <w:r w:rsidRPr="005469CD">
        <w:rPr>
          <w:rFonts w:asciiTheme="majorHAnsi" w:eastAsia="Calibri" w:hAnsiTheme="majorHAnsi" w:cstheme="majorHAnsi"/>
          <w:color w:val="222222"/>
          <w:sz w:val="24"/>
          <w:szCs w:val="24"/>
        </w:rPr>
        <w:t>actually declined</w:t>
      </w:r>
      <w:proofErr w:type="gramEnd"/>
      <w:r w:rsidRPr="005469CD">
        <w:rPr>
          <w:rFonts w:asciiTheme="majorHAnsi" w:eastAsia="Calibri" w:hAnsiTheme="majorHAnsi" w:cstheme="majorHAnsi"/>
          <w:color w:val="222222"/>
          <w:sz w:val="24"/>
          <w:szCs w:val="24"/>
        </w:rPr>
        <w:t xml:space="preserve"> over the past decade [</w:t>
      </w:r>
      <w:r w:rsidR="009518FF" w:rsidRPr="005469CD">
        <w:rPr>
          <w:rFonts w:asciiTheme="majorHAnsi" w:eastAsia="Calibri" w:hAnsiTheme="majorHAnsi" w:cstheme="majorHAnsi"/>
          <w:color w:val="222222"/>
          <w:sz w:val="24"/>
          <w:szCs w:val="24"/>
        </w:rPr>
        <w:t>personal communication with Dr. P. Shewry</w:t>
      </w:r>
      <w:r w:rsidRPr="005469CD">
        <w:rPr>
          <w:rFonts w:asciiTheme="majorHAnsi" w:eastAsia="Calibri" w:hAnsiTheme="majorHAnsi" w:cstheme="majorHAnsi"/>
          <w:color w:val="222222"/>
          <w:sz w:val="24"/>
          <w:szCs w:val="24"/>
        </w:rPr>
        <w:t>]</w:t>
      </w:r>
      <w:r w:rsidR="00AB44FF" w:rsidRPr="005469CD">
        <w:rPr>
          <w:rFonts w:asciiTheme="majorHAnsi" w:eastAsia="Calibri" w:hAnsiTheme="majorHAnsi" w:cstheme="majorHAnsi"/>
          <w:color w:val="222222"/>
          <w:sz w:val="24"/>
          <w:szCs w:val="24"/>
        </w:rPr>
        <w:t xml:space="preserve">.  </w:t>
      </w:r>
      <w:r w:rsidRPr="005469CD">
        <w:rPr>
          <w:rFonts w:asciiTheme="majorHAnsi" w:eastAsia="Calibri" w:hAnsiTheme="majorHAnsi" w:cstheme="majorHAnsi"/>
          <w:color w:val="222222"/>
          <w:sz w:val="24"/>
          <w:szCs w:val="24"/>
        </w:rPr>
        <w:t xml:space="preserve"> </w:t>
      </w:r>
      <w:r w:rsidR="00AB44FF" w:rsidRPr="005469CD">
        <w:rPr>
          <w:rFonts w:asciiTheme="majorHAnsi" w:eastAsia="Calibri" w:hAnsiTheme="majorHAnsi" w:cstheme="majorHAnsi"/>
          <w:color w:val="222222"/>
          <w:sz w:val="24"/>
          <w:szCs w:val="24"/>
        </w:rPr>
        <w:t xml:space="preserve">In the US, white flour, which is lower in fiber, accounts for nearly 40% of the fiber intake </w:t>
      </w:r>
      <w:r w:rsidR="00EE4AD5" w:rsidRPr="005469CD">
        <w:rPr>
          <w:rFonts w:asciiTheme="majorHAnsi" w:eastAsia="Calibri" w:hAnsiTheme="majorHAnsi" w:cstheme="majorHAnsi"/>
          <w:color w:val="222222"/>
          <w:sz w:val="24"/>
          <w:szCs w:val="24"/>
        </w:rPr>
        <w:t>[4]</w:t>
      </w:r>
      <w:r w:rsidR="00AB44FF" w:rsidRPr="005469CD">
        <w:rPr>
          <w:rFonts w:asciiTheme="majorHAnsi" w:eastAsia="Calibri" w:hAnsiTheme="majorHAnsi" w:cstheme="majorHAnsi"/>
          <w:color w:val="222222"/>
          <w:sz w:val="24"/>
          <w:szCs w:val="24"/>
        </w:rPr>
        <w:t xml:space="preserve">. </w:t>
      </w:r>
      <w:r w:rsidR="00FD2F90" w:rsidRPr="005469CD">
        <w:rPr>
          <w:rFonts w:asciiTheme="majorHAnsi" w:eastAsia="Calibri" w:hAnsiTheme="majorHAnsi" w:cstheme="majorHAnsi"/>
          <w:color w:val="222222"/>
          <w:sz w:val="24"/>
          <w:szCs w:val="24"/>
        </w:rPr>
        <w:t xml:space="preserve"> We believe that s</w:t>
      </w:r>
      <w:r w:rsidR="00B461E1" w:rsidRPr="005469CD">
        <w:rPr>
          <w:rFonts w:asciiTheme="majorHAnsi" w:eastAsia="Calibri" w:hAnsiTheme="majorHAnsi" w:cstheme="majorHAnsi"/>
          <w:color w:val="222222"/>
          <w:sz w:val="24"/>
          <w:szCs w:val="24"/>
        </w:rPr>
        <w:t>ince motivating consumers to change food choices has proven difficult, changing food itself —</w:t>
      </w:r>
      <w:r w:rsidR="00FD2F90" w:rsidRPr="005469CD">
        <w:rPr>
          <w:rFonts w:asciiTheme="majorHAnsi" w:eastAsia="Calibri" w:hAnsiTheme="majorHAnsi" w:cstheme="majorHAnsi"/>
          <w:color w:val="222222"/>
          <w:sz w:val="24"/>
          <w:szCs w:val="24"/>
        </w:rPr>
        <w:t xml:space="preserve"> a</w:t>
      </w:r>
      <w:r w:rsidR="00B461E1" w:rsidRPr="005469CD">
        <w:rPr>
          <w:rFonts w:asciiTheme="majorHAnsi" w:eastAsia="Calibri" w:hAnsiTheme="majorHAnsi" w:cstheme="majorHAnsi"/>
          <w:color w:val="222222"/>
          <w:sz w:val="24"/>
          <w:szCs w:val="24"/>
        </w:rPr>
        <w:t xml:space="preserve"> so-called “stealth health” approach — could</w:t>
      </w:r>
      <w:r w:rsidR="00FD2F90" w:rsidRPr="005469CD">
        <w:rPr>
          <w:rFonts w:asciiTheme="majorHAnsi" w:eastAsia="Calibri" w:hAnsiTheme="majorHAnsi" w:cstheme="majorHAnsi"/>
          <w:color w:val="222222"/>
          <w:sz w:val="24"/>
          <w:szCs w:val="24"/>
        </w:rPr>
        <w:t xml:space="preserve"> be a useful strategy to increase fiber in the foods people choose to eat.</w:t>
      </w:r>
      <w:r w:rsidR="00B461E1" w:rsidRPr="005469CD">
        <w:rPr>
          <w:rFonts w:asciiTheme="majorHAnsi" w:eastAsia="Calibri" w:hAnsiTheme="majorHAnsi" w:cstheme="majorHAnsi"/>
          <w:color w:val="FF0000"/>
          <w:sz w:val="24"/>
          <w:szCs w:val="24"/>
        </w:rPr>
        <w:t xml:space="preserve"> </w:t>
      </w:r>
    </w:p>
    <w:p w14:paraId="3507D386" w14:textId="77777777" w:rsidR="00FD2F90" w:rsidRPr="005469CD" w:rsidRDefault="00FD2F90" w:rsidP="00FD2F90">
      <w:pPr>
        <w:rPr>
          <w:rFonts w:asciiTheme="majorHAnsi" w:eastAsia="Calibri" w:hAnsiTheme="majorHAnsi" w:cstheme="majorHAnsi"/>
          <w:color w:val="222222"/>
          <w:sz w:val="24"/>
          <w:szCs w:val="24"/>
        </w:rPr>
      </w:pPr>
    </w:p>
    <w:p w14:paraId="00000013" w14:textId="4D4F23A0"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 </w:t>
      </w:r>
      <w:r w:rsidR="002B6287" w:rsidRPr="005469CD">
        <w:rPr>
          <w:rFonts w:asciiTheme="majorHAnsi" w:eastAsia="Calibri" w:hAnsiTheme="majorHAnsi" w:cstheme="majorHAnsi"/>
          <w:color w:val="222222"/>
          <w:sz w:val="24"/>
          <w:szCs w:val="24"/>
        </w:rPr>
        <w:t>S</w:t>
      </w:r>
      <w:r w:rsidRPr="005469CD">
        <w:rPr>
          <w:rFonts w:asciiTheme="majorHAnsi" w:eastAsia="Calibri" w:hAnsiTheme="majorHAnsi" w:cstheme="majorHAnsi"/>
          <w:color w:val="222222"/>
          <w:sz w:val="24"/>
          <w:szCs w:val="24"/>
        </w:rPr>
        <w:t>ocioeconomic status, education, accessibility</w:t>
      </w:r>
      <w:r w:rsidR="0035547D" w:rsidRPr="005469CD">
        <w:rPr>
          <w:rFonts w:asciiTheme="majorHAnsi" w:eastAsia="Calibri" w:hAnsiTheme="majorHAnsi" w:cstheme="majorHAnsi"/>
          <w:color w:val="222222"/>
          <w:sz w:val="24"/>
          <w:szCs w:val="24"/>
        </w:rPr>
        <w:t>, nutrition, tradition, ethnic and cultural preferences</w:t>
      </w:r>
      <w:r w:rsidRPr="005469CD">
        <w:rPr>
          <w:rFonts w:asciiTheme="majorHAnsi" w:eastAsia="Calibri" w:hAnsiTheme="majorHAnsi" w:cstheme="majorHAnsi"/>
          <w:color w:val="222222"/>
          <w:sz w:val="24"/>
          <w:szCs w:val="24"/>
        </w:rPr>
        <w:t xml:space="preserve"> all inform </w:t>
      </w:r>
      <w:r w:rsidR="0035547D" w:rsidRPr="005469CD">
        <w:rPr>
          <w:rFonts w:asciiTheme="majorHAnsi" w:eastAsia="Calibri" w:hAnsiTheme="majorHAnsi" w:cstheme="majorHAnsi"/>
          <w:color w:val="222222"/>
          <w:sz w:val="24"/>
          <w:szCs w:val="24"/>
        </w:rPr>
        <w:t>food choice</w:t>
      </w:r>
      <w:r w:rsidRPr="005469CD">
        <w:rPr>
          <w:rFonts w:asciiTheme="majorHAnsi" w:eastAsia="Calibri" w:hAnsiTheme="majorHAnsi" w:cstheme="majorHAnsi"/>
          <w:color w:val="222222"/>
          <w:sz w:val="24"/>
          <w:szCs w:val="24"/>
        </w:rPr>
        <w:t>. But the most important food attributes are sensory — color, texture, and taste — and these can be influenced by food chemistry. Consumers recognize that whole wheat bread appears and tastes different than white bread.</w:t>
      </w:r>
    </w:p>
    <w:p w14:paraId="00000014" w14:textId="77777777"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 </w:t>
      </w:r>
    </w:p>
    <w:p w14:paraId="7BF405C0" w14:textId="57B4587A" w:rsidR="00F10B6C" w:rsidRPr="005469CD" w:rsidRDefault="0035547D" w:rsidP="00F10B6C">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F</w:t>
      </w:r>
      <w:r w:rsidR="00B461E1" w:rsidRPr="005469CD">
        <w:rPr>
          <w:rFonts w:asciiTheme="majorHAnsi" w:eastAsia="Calibri" w:hAnsiTheme="majorHAnsi" w:cstheme="majorHAnsi"/>
          <w:color w:val="222222"/>
          <w:sz w:val="24"/>
          <w:szCs w:val="24"/>
        </w:rPr>
        <w:t>ood science</w:t>
      </w:r>
      <w:r w:rsidRPr="005469CD">
        <w:rPr>
          <w:rFonts w:asciiTheme="majorHAnsi" w:eastAsia="Calibri" w:hAnsiTheme="majorHAnsi" w:cstheme="majorHAnsi"/>
          <w:color w:val="222222"/>
          <w:sz w:val="24"/>
          <w:szCs w:val="24"/>
        </w:rPr>
        <w:t xml:space="preserve"> has the potential to</w:t>
      </w:r>
      <w:r w:rsidR="00B461E1" w:rsidRPr="005469CD">
        <w:rPr>
          <w:rFonts w:asciiTheme="majorHAnsi" w:eastAsia="Calibri" w:hAnsiTheme="majorHAnsi" w:cstheme="majorHAnsi"/>
          <w:color w:val="222222"/>
          <w:sz w:val="24"/>
          <w:szCs w:val="24"/>
        </w:rPr>
        <w:t xml:space="preserve"> deliver greater nutrients of concern in commonly eaten ingredients while preserving consumers’ food experiences. </w:t>
      </w:r>
      <w:r w:rsidR="00AB44FF" w:rsidRPr="005469CD">
        <w:rPr>
          <w:rFonts w:asciiTheme="majorHAnsi" w:eastAsia="Calibri" w:hAnsiTheme="majorHAnsi" w:cstheme="majorHAnsi"/>
          <w:color w:val="222222"/>
          <w:sz w:val="24"/>
          <w:szCs w:val="24"/>
        </w:rPr>
        <w:t xml:space="preserve">The enrichment and fortification of commonly ingested foods with vitamins and minerals known to be at risk in a population is </w:t>
      </w:r>
      <w:proofErr w:type="gramStart"/>
      <w:r w:rsidR="00AB44FF" w:rsidRPr="005469CD">
        <w:rPr>
          <w:rFonts w:asciiTheme="majorHAnsi" w:eastAsia="Calibri" w:hAnsiTheme="majorHAnsi" w:cstheme="majorHAnsi"/>
          <w:color w:val="222222"/>
          <w:sz w:val="24"/>
          <w:szCs w:val="24"/>
        </w:rPr>
        <w:t>a strategy governments</w:t>
      </w:r>
      <w:proofErr w:type="gramEnd"/>
      <w:r w:rsidR="00AB44FF" w:rsidRPr="005469CD">
        <w:rPr>
          <w:rFonts w:asciiTheme="majorHAnsi" w:eastAsia="Calibri" w:hAnsiTheme="majorHAnsi" w:cstheme="majorHAnsi"/>
          <w:color w:val="222222"/>
          <w:sz w:val="24"/>
          <w:szCs w:val="24"/>
        </w:rPr>
        <w:t xml:space="preserve"> use to address nutritional insufficiencies. With such a strategy consumers’ food experience remained unchanged and the inadequate nutrient intake was addressed.  </w:t>
      </w:r>
      <w:r w:rsidR="00B461E1" w:rsidRPr="005469CD">
        <w:rPr>
          <w:rFonts w:asciiTheme="majorHAnsi" w:eastAsia="Calibri" w:hAnsiTheme="majorHAnsi" w:cstheme="majorHAnsi"/>
          <w:color w:val="222222"/>
          <w:sz w:val="24"/>
          <w:szCs w:val="24"/>
        </w:rPr>
        <w:t xml:space="preserve"> In the US, for example, iodine </w:t>
      </w:r>
      <w:r w:rsidRPr="005469CD">
        <w:rPr>
          <w:rFonts w:asciiTheme="majorHAnsi" w:eastAsia="Calibri" w:hAnsiTheme="majorHAnsi" w:cstheme="majorHAnsi"/>
          <w:color w:val="222222"/>
          <w:sz w:val="24"/>
          <w:szCs w:val="24"/>
        </w:rPr>
        <w:t xml:space="preserve">was added </w:t>
      </w:r>
      <w:r w:rsidR="00B461E1" w:rsidRPr="005469CD">
        <w:rPr>
          <w:rFonts w:asciiTheme="majorHAnsi" w:eastAsia="Calibri" w:hAnsiTheme="majorHAnsi" w:cstheme="majorHAnsi"/>
          <w:color w:val="222222"/>
          <w:sz w:val="24"/>
          <w:szCs w:val="24"/>
        </w:rPr>
        <w:t>to salt to address goiter, and enriching and fortifying refined grains with B vitamins such as niacin eliminated the pellagra formerly endemic in southeastern states. The addition of folic acid</w:t>
      </w:r>
      <w:r w:rsidRPr="005469CD">
        <w:rPr>
          <w:rFonts w:asciiTheme="majorHAnsi" w:eastAsia="Calibri" w:hAnsiTheme="majorHAnsi" w:cstheme="majorHAnsi"/>
          <w:color w:val="222222"/>
          <w:sz w:val="24"/>
          <w:szCs w:val="24"/>
        </w:rPr>
        <w:t xml:space="preserve"> to</w:t>
      </w:r>
      <w:r w:rsidR="002B6287" w:rsidRPr="005469CD">
        <w:rPr>
          <w:rFonts w:asciiTheme="majorHAnsi" w:eastAsia="Calibri" w:hAnsiTheme="majorHAnsi" w:cstheme="majorHAnsi"/>
          <w:color w:val="222222"/>
          <w:sz w:val="24"/>
          <w:szCs w:val="24"/>
        </w:rPr>
        <w:t xml:space="preserve"> cereal grain products</w:t>
      </w:r>
      <w:r w:rsidRPr="005469CD">
        <w:rPr>
          <w:rFonts w:asciiTheme="majorHAnsi" w:eastAsia="Calibri" w:hAnsiTheme="majorHAnsi" w:cstheme="majorHAnsi"/>
          <w:color w:val="222222"/>
          <w:sz w:val="24"/>
          <w:szCs w:val="24"/>
        </w:rPr>
        <w:t xml:space="preserve"> </w:t>
      </w:r>
      <w:r w:rsidR="00B461E1" w:rsidRPr="005469CD">
        <w:rPr>
          <w:rFonts w:asciiTheme="majorHAnsi" w:eastAsia="Calibri" w:hAnsiTheme="majorHAnsi" w:cstheme="majorHAnsi"/>
          <w:color w:val="222222"/>
          <w:sz w:val="24"/>
          <w:szCs w:val="24"/>
        </w:rPr>
        <w:t xml:space="preserve">reduced spina bifida and birth defects in North America by nearly 50%. </w:t>
      </w:r>
      <w:r w:rsidR="00F10B6C" w:rsidRPr="005469CD">
        <w:rPr>
          <w:rFonts w:asciiTheme="majorHAnsi" w:eastAsia="Calibri" w:hAnsiTheme="majorHAnsi" w:cstheme="majorHAnsi"/>
          <w:color w:val="222222"/>
          <w:sz w:val="24"/>
          <w:szCs w:val="24"/>
        </w:rPr>
        <w:t xml:space="preserve">Since the addition of fiber can dramatically impact the texture and palatability of foods, the addition of fiber to foods creates </w:t>
      </w:r>
      <w:r w:rsidR="00F10B6C" w:rsidRPr="005469CD">
        <w:rPr>
          <w:rFonts w:asciiTheme="majorHAnsi" w:eastAsia="Calibri" w:hAnsiTheme="majorHAnsi" w:cstheme="majorHAnsi"/>
          <w:color w:val="222222"/>
          <w:sz w:val="24"/>
          <w:szCs w:val="24"/>
        </w:rPr>
        <w:lastRenderedPageBreak/>
        <w:t>challenges to the food scientist and the plant breeder not seen with previous enrichment or fortification.</w:t>
      </w:r>
    </w:p>
    <w:p w14:paraId="00000019" w14:textId="77777777"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 </w:t>
      </w:r>
    </w:p>
    <w:p w14:paraId="164BC641" w14:textId="649E86F5" w:rsidR="00AB44FF" w:rsidRPr="005469CD" w:rsidRDefault="00B461E1" w:rsidP="00AB44FF">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Breeders are making exciting progress by selecting and crossing wheat with </w:t>
      </w:r>
      <w:r w:rsidR="002B6287" w:rsidRPr="005469CD">
        <w:rPr>
          <w:rFonts w:asciiTheme="majorHAnsi" w:eastAsia="Calibri" w:hAnsiTheme="majorHAnsi" w:cstheme="majorHAnsi"/>
          <w:color w:val="222222"/>
          <w:sz w:val="24"/>
          <w:szCs w:val="24"/>
        </w:rPr>
        <w:t xml:space="preserve">naturally </w:t>
      </w:r>
      <w:r w:rsidR="00F30374" w:rsidRPr="005469CD">
        <w:rPr>
          <w:rFonts w:asciiTheme="majorHAnsi" w:eastAsia="Calibri" w:hAnsiTheme="majorHAnsi" w:cstheme="majorHAnsi"/>
          <w:color w:val="222222"/>
          <w:sz w:val="24"/>
          <w:szCs w:val="24"/>
        </w:rPr>
        <w:t xml:space="preserve">(non-GMO) </w:t>
      </w:r>
      <w:r w:rsidRPr="005469CD">
        <w:rPr>
          <w:rFonts w:asciiTheme="majorHAnsi" w:eastAsia="Calibri" w:hAnsiTheme="majorHAnsi" w:cstheme="majorHAnsi"/>
          <w:color w:val="222222"/>
          <w:sz w:val="24"/>
          <w:szCs w:val="24"/>
        </w:rPr>
        <w:t>higher-than-average levels of different types of fiber</w:t>
      </w:r>
      <w:r w:rsidR="00261A33" w:rsidRPr="005469CD">
        <w:rPr>
          <w:rFonts w:asciiTheme="majorHAnsi" w:eastAsia="Calibri" w:hAnsiTheme="majorHAnsi" w:cstheme="majorHAnsi"/>
          <w:color w:val="222222"/>
          <w:sz w:val="24"/>
          <w:szCs w:val="24"/>
        </w:rPr>
        <w:t>, creating</w:t>
      </w:r>
      <w:r w:rsidRPr="005469CD">
        <w:rPr>
          <w:rFonts w:asciiTheme="majorHAnsi" w:eastAsia="Calibri" w:hAnsiTheme="majorHAnsi" w:cstheme="majorHAnsi"/>
          <w:color w:val="222222"/>
          <w:sz w:val="24"/>
          <w:szCs w:val="24"/>
        </w:rPr>
        <w:t xml:space="preserve"> a palette of food application</w:t>
      </w:r>
      <w:r w:rsidR="00261A33" w:rsidRPr="005469CD">
        <w:rPr>
          <w:rFonts w:asciiTheme="majorHAnsi" w:eastAsia="Calibri" w:hAnsiTheme="majorHAnsi" w:cstheme="majorHAnsi"/>
          <w:color w:val="222222"/>
          <w:sz w:val="24"/>
          <w:szCs w:val="24"/>
        </w:rPr>
        <w:t>s</w:t>
      </w:r>
      <w:r w:rsidRPr="005469CD">
        <w:rPr>
          <w:rFonts w:asciiTheme="majorHAnsi" w:eastAsia="Calibri" w:hAnsiTheme="majorHAnsi" w:cstheme="majorHAnsi"/>
          <w:color w:val="222222"/>
          <w:sz w:val="24"/>
          <w:szCs w:val="24"/>
        </w:rPr>
        <w:t xml:space="preserve"> and nutrition choices for millers and bakers. </w:t>
      </w:r>
      <w:r w:rsidR="00F10B6C" w:rsidRPr="005469CD">
        <w:rPr>
          <w:rFonts w:asciiTheme="majorHAnsi" w:eastAsia="Calibri" w:hAnsiTheme="majorHAnsi" w:cstheme="majorHAnsi"/>
          <w:color w:val="222222"/>
          <w:sz w:val="24"/>
          <w:szCs w:val="24"/>
        </w:rPr>
        <w:t xml:space="preserve"> Wheat experts have compared cultivars and identified those that naturally deliver high levels of the major fiber component in the starchy endosperm of the grain. The endosperm is the part of the grain used to make refined (white) flour and its major fiber component is called arabinoxylan (AX)</w:t>
      </w:r>
      <w:r w:rsidR="00261A33" w:rsidRPr="005469CD">
        <w:rPr>
          <w:rFonts w:asciiTheme="majorHAnsi" w:eastAsia="Calibri" w:hAnsiTheme="majorHAnsi" w:cstheme="majorHAnsi"/>
          <w:color w:val="222222"/>
          <w:sz w:val="24"/>
          <w:szCs w:val="24"/>
        </w:rPr>
        <w:t xml:space="preserve"> [</w:t>
      </w:r>
      <w:r w:rsidR="00EE4AD5" w:rsidRPr="005469CD">
        <w:rPr>
          <w:rFonts w:asciiTheme="majorHAnsi" w:eastAsia="Calibri" w:hAnsiTheme="majorHAnsi" w:cstheme="majorHAnsi"/>
          <w:color w:val="222222"/>
          <w:sz w:val="24"/>
          <w:szCs w:val="24"/>
        </w:rPr>
        <w:t>5</w:t>
      </w:r>
      <w:r w:rsidR="00664C43" w:rsidRPr="005469CD">
        <w:rPr>
          <w:rFonts w:asciiTheme="majorHAnsi" w:eastAsia="Calibri" w:hAnsiTheme="majorHAnsi" w:cstheme="majorHAnsi"/>
          <w:color w:val="222222"/>
          <w:sz w:val="24"/>
          <w:szCs w:val="24"/>
        </w:rPr>
        <w:t>,</w:t>
      </w:r>
      <w:r w:rsidR="00EE4AD5" w:rsidRPr="005469CD">
        <w:rPr>
          <w:rFonts w:asciiTheme="majorHAnsi" w:eastAsia="Calibri" w:hAnsiTheme="majorHAnsi" w:cstheme="majorHAnsi"/>
          <w:color w:val="222222"/>
          <w:sz w:val="24"/>
          <w:szCs w:val="24"/>
        </w:rPr>
        <w:t>6]</w:t>
      </w:r>
      <w:r w:rsidR="00812786" w:rsidRPr="005469CD">
        <w:rPr>
          <w:rFonts w:asciiTheme="majorHAnsi" w:eastAsia="Calibri" w:hAnsiTheme="majorHAnsi" w:cstheme="majorHAnsi"/>
          <w:color w:val="222222"/>
          <w:sz w:val="24"/>
          <w:szCs w:val="24"/>
        </w:rPr>
        <w:t>. By selecting wheat genotypes with higher levels of AX</w:t>
      </w:r>
      <w:r w:rsidR="00B03598" w:rsidRPr="005469CD">
        <w:rPr>
          <w:rFonts w:asciiTheme="majorHAnsi" w:eastAsia="Calibri" w:hAnsiTheme="majorHAnsi" w:cstheme="majorHAnsi"/>
          <w:color w:val="222222"/>
          <w:sz w:val="24"/>
          <w:szCs w:val="24"/>
        </w:rPr>
        <w:t>,</w:t>
      </w:r>
      <w:r w:rsidR="00812786" w:rsidRPr="005469CD">
        <w:rPr>
          <w:rFonts w:asciiTheme="majorHAnsi" w:eastAsia="Calibri" w:hAnsiTheme="majorHAnsi" w:cstheme="majorHAnsi"/>
          <w:color w:val="222222"/>
          <w:sz w:val="24"/>
          <w:szCs w:val="24"/>
        </w:rPr>
        <w:t xml:space="preserve"> breeders can increase fiber levels in whole-grain foods </w:t>
      </w:r>
      <w:proofErr w:type="gramStart"/>
      <w:r w:rsidR="00B03598" w:rsidRPr="005469CD">
        <w:rPr>
          <w:rFonts w:asciiTheme="majorHAnsi" w:eastAsia="Calibri" w:hAnsiTheme="majorHAnsi" w:cstheme="majorHAnsi"/>
          <w:color w:val="222222"/>
          <w:sz w:val="24"/>
          <w:szCs w:val="24"/>
        </w:rPr>
        <w:t>and</w:t>
      </w:r>
      <w:r w:rsidR="00812786" w:rsidRPr="005469CD">
        <w:rPr>
          <w:rFonts w:asciiTheme="majorHAnsi" w:eastAsia="Calibri" w:hAnsiTheme="majorHAnsi" w:cstheme="majorHAnsi"/>
          <w:color w:val="222222"/>
          <w:sz w:val="24"/>
          <w:szCs w:val="24"/>
        </w:rPr>
        <w:t xml:space="preserve"> also</w:t>
      </w:r>
      <w:proofErr w:type="gramEnd"/>
      <w:r w:rsidR="00812786" w:rsidRPr="005469CD">
        <w:rPr>
          <w:rFonts w:asciiTheme="majorHAnsi" w:eastAsia="Calibri" w:hAnsiTheme="majorHAnsi" w:cstheme="majorHAnsi"/>
          <w:color w:val="222222"/>
          <w:sz w:val="24"/>
          <w:szCs w:val="24"/>
        </w:rPr>
        <w:t xml:space="preserve"> increase the total fiber content in white flour by about 25% compared to currently popular </w:t>
      </w:r>
      <w:proofErr w:type="spellStart"/>
      <w:r w:rsidR="00664C43" w:rsidRPr="005469CD">
        <w:rPr>
          <w:rFonts w:asciiTheme="majorHAnsi" w:eastAsia="Calibri" w:hAnsiTheme="majorHAnsi" w:cstheme="majorHAnsi"/>
          <w:color w:val="222222"/>
          <w:sz w:val="24"/>
          <w:szCs w:val="24"/>
        </w:rPr>
        <w:t>cutivars</w:t>
      </w:r>
      <w:proofErr w:type="spellEnd"/>
      <w:r w:rsidR="00664C43" w:rsidRPr="005469CD">
        <w:rPr>
          <w:rFonts w:asciiTheme="majorHAnsi" w:eastAsia="Calibri" w:hAnsiTheme="majorHAnsi" w:cstheme="majorHAnsi"/>
          <w:color w:val="222222"/>
          <w:sz w:val="24"/>
          <w:szCs w:val="24"/>
        </w:rPr>
        <w:t xml:space="preserve"> </w:t>
      </w:r>
      <w:r w:rsidR="0040286F" w:rsidRPr="005469CD">
        <w:rPr>
          <w:rFonts w:asciiTheme="majorHAnsi" w:eastAsia="Calibri" w:hAnsiTheme="majorHAnsi" w:cstheme="majorHAnsi"/>
          <w:color w:val="222222"/>
          <w:sz w:val="24"/>
          <w:szCs w:val="24"/>
        </w:rPr>
        <w:t xml:space="preserve">resulting in </w:t>
      </w:r>
      <w:r w:rsidR="006F5CE6" w:rsidRPr="005469CD">
        <w:rPr>
          <w:rFonts w:asciiTheme="majorHAnsi" w:eastAsia="Calibri" w:hAnsiTheme="majorHAnsi" w:cstheme="majorHAnsi"/>
          <w:color w:val="222222"/>
          <w:sz w:val="24"/>
          <w:szCs w:val="24"/>
        </w:rPr>
        <w:t>up to 3 grams per day of additional fiber</w:t>
      </w:r>
      <w:r w:rsidR="00812786" w:rsidRPr="005469CD">
        <w:rPr>
          <w:rFonts w:asciiTheme="majorHAnsi" w:eastAsia="Calibri" w:hAnsiTheme="majorHAnsi" w:cstheme="majorHAnsi"/>
          <w:color w:val="222222"/>
          <w:sz w:val="24"/>
          <w:szCs w:val="24"/>
        </w:rPr>
        <w:t xml:space="preserve"> </w:t>
      </w:r>
      <w:r w:rsidR="00EE4AD5" w:rsidRPr="005469CD">
        <w:rPr>
          <w:rFonts w:asciiTheme="majorHAnsi" w:eastAsia="Calibri" w:hAnsiTheme="majorHAnsi" w:cstheme="majorHAnsi"/>
          <w:color w:val="222222"/>
          <w:sz w:val="24"/>
          <w:szCs w:val="24"/>
        </w:rPr>
        <w:t>[7]</w:t>
      </w:r>
      <w:r w:rsidR="00812786" w:rsidRPr="005469CD">
        <w:rPr>
          <w:rFonts w:asciiTheme="majorHAnsi" w:eastAsia="Calibri" w:hAnsiTheme="majorHAnsi" w:cstheme="majorHAnsi"/>
          <w:color w:val="222222"/>
          <w:sz w:val="24"/>
          <w:szCs w:val="24"/>
        </w:rPr>
        <w:t>. Future efforts to increase AX should deliver an increase of 50% in the total fiber content of white flour, with a corresponding effect on whole-grain</w:t>
      </w:r>
      <w:r w:rsidR="00B03598" w:rsidRPr="005469CD">
        <w:rPr>
          <w:rFonts w:asciiTheme="majorHAnsi" w:eastAsia="Calibri" w:hAnsiTheme="majorHAnsi" w:cstheme="majorHAnsi"/>
          <w:color w:val="222222"/>
          <w:sz w:val="24"/>
          <w:szCs w:val="24"/>
        </w:rPr>
        <w:t xml:space="preserve"> products</w:t>
      </w:r>
      <w:r w:rsidR="00812786" w:rsidRPr="005469CD">
        <w:rPr>
          <w:rFonts w:asciiTheme="majorHAnsi" w:eastAsia="Calibri" w:hAnsiTheme="majorHAnsi" w:cstheme="majorHAnsi"/>
          <w:color w:val="222222"/>
          <w:sz w:val="24"/>
          <w:szCs w:val="24"/>
        </w:rPr>
        <w:t xml:space="preserve">. </w:t>
      </w:r>
      <w:r w:rsidR="00AB44FF" w:rsidRPr="005469CD">
        <w:rPr>
          <w:rFonts w:asciiTheme="majorHAnsi" w:eastAsia="Calibri" w:hAnsiTheme="majorHAnsi" w:cstheme="majorHAnsi"/>
          <w:color w:val="222222"/>
          <w:sz w:val="24"/>
          <w:szCs w:val="24"/>
        </w:rPr>
        <w:t xml:space="preserve"> Modern high yielding cultivars contain more AX than older types indicating that there is no significant yield drag (Lovegrove et al, 2020) and hence no effect on cost of production while evaluation of </w:t>
      </w:r>
      <w:r w:rsidR="002B0514" w:rsidRPr="005469CD">
        <w:rPr>
          <w:rFonts w:asciiTheme="majorHAnsi" w:eastAsia="Calibri" w:hAnsiTheme="majorHAnsi" w:cstheme="majorHAnsi"/>
          <w:color w:val="222222"/>
          <w:sz w:val="24"/>
          <w:szCs w:val="24"/>
        </w:rPr>
        <w:t>cultivars</w:t>
      </w:r>
      <w:r w:rsidR="00AB44FF" w:rsidRPr="005469CD">
        <w:rPr>
          <w:rFonts w:asciiTheme="majorHAnsi" w:eastAsia="Calibri" w:hAnsiTheme="majorHAnsi" w:cstheme="majorHAnsi"/>
          <w:color w:val="222222"/>
          <w:sz w:val="24"/>
          <w:szCs w:val="24"/>
        </w:rPr>
        <w:t xml:space="preserve"> and breeding lines with high and low AX in the UK has shown similar performance to current commercially popular wheat </w:t>
      </w:r>
      <w:r w:rsidR="002B0514" w:rsidRPr="005469CD">
        <w:rPr>
          <w:rFonts w:asciiTheme="majorHAnsi" w:eastAsia="Calibri" w:hAnsiTheme="majorHAnsi" w:cstheme="majorHAnsi"/>
          <w:color w:val="222222"/>
          <w:sz w:val="24"/>
          <w:szCs w:val="24"/>
        </w:rPr>
        <w:t>cultivars</w:t>
      </w:r>
      <w:r w:rsidR="00AB44FF" w:rsidRPr="005469CD">
        <w:rPr>
          <w:rFonts w:asciiTheme="majorHAnsi" w:eastAsia="Calibri" w:hAnsiTheme="majorHAnsi" w:cstheme="majorHAnsi"/>
          <w:color w:val="222222"/>
          <w:sz w:val="24"/>
          <w:szCs w:val="24"/>
        </w:rPr>
        <w:t xml:space="preserve"> when producing the most common grain food in America: white bread </w:t>
      </w:r>
    </w:p>
    <w:p w14:paraId="0000001D" w14:textId="77777777"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 </w:t>
      </w:r>
    </w:p>
    <w:p w14:paraId="0000001E" w14:textId="1695B201"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Several research programs are also breeding cultivars with increased amylose </w:t>
      </w:r>
      <w:r w:rsidR="00812786" w:rsidRPr="005469CD">
        <w:rPr>
          <w:rFonts w:asciiTheme="majorHAnsi" w:eastAsia="Calibri" w:hAnsiTheme="majorHAnsi" w:cstheme="majorHAnsi"/>
          <w:color w:val="222222"/>
          <w:sz w:val="24"/>
          <w:szCs w:val="24"/>
        </w:rPr>
        <w:t>[</w:t>
      </w:r>
      <w:r w:rsidR="00EE4AD5" w:rsidRPr="005469CD">
        <w:rPr>
          <w:rFonts w:asciiTheme="majorHAnsi" w:hAnsiTheme="majorHAnsi" w:cstheme="majorHAnsi"/>
          <w:color w:val="222222"/>
          <w:sz w:val="24"/>
          <w:szCs w:val="24"/>
        </w:rPr>
        <w:t>8,9</w:t>
      </w:r>
      <w:r w:rsidR="00812786" w:rsidRPr="005469CD">
        <w:rPr>
          <w:rFonts w:asciiTheme="majorHAnsi" w:eastAsia="Calibri" w:hAnsiTheme="majorHAnsi" w:cstheme="majorHAnsi"/>
          <w:color w:val="222222"/>
          <w:sz w:val="24"/>
          <w:szCs w:val="24"/>
        </w:rPr>
        <w:t>]</w:t>
      </w:r>
      <w:r w:rsidRPr="005469CD">
        <w:rPr>
          <w:rFonts w:asciiTheme="majorHAnsi" w:eastAsia="Calibri" w:hAnsiTheme="majorHAnsi" w:cstheme="majorHAnsi"/>
          <w:color w:val="222222"/>
          <w:sz w:val="24"/>
          <w:szCs w:val="24"/>
        </w:rPr>
        <w:t xml:space="preserve">, a component of starch which is resistant to digestion in the small intestine in processed foods and therefore contributes to the fiber fraction. High amylose wheat </w:t>
      </w:r>
      <w:r w:rsidR="002B0514" w:rsidRPr="005469CD">
        <w:rPr>
          <w:rFonts w:asciiTheme="majorHAnsi" w:eastAsia="Calibri" w:hAnsiTheme="majorHAnsi" w:cstheme="majorHAnsi"/>
          <w:color w:val="222222"/>
          <w:sz w:val="24"/>
          <w:szCs w:val="24"/>
        </w:rPr>
        <w:t>cultivars</w:t>
      </w:r>
      <w:r w:rsidRPr="005469CD">
        <w:rPr>
          <w:rFonts w:asciiTheme="majorHAnsi" w:eastAsia="Calibri" w:hAnsiTheme="majorHAnsi" w:cstheme="majorHAnsi"/>
          <w:color w:val="222222"/>
          <w:sz w:val="24"/>
          <w:szCs w:val="24"/>
        </w:rPr>
        <w:t xml:space="preserve"> are already commercially </w:t>
      </w:r>
      <w:proofErr w:type="gramStart"/>
      <w:r w:rsidRPr="005469CD">
        <w:rPr>
          <w:rFonts w:asciiTheme="majorHAnsi" w:eastAsia="Calibri" w:hAnsiTheme="majorHAnsi" w:cstheme="majorHAnsi"/>
          <w:color w:val="222222"/>
          <w:sz w:val="24"/>
          <w:szCs w:val="24"/>
        </w:rPr>
        <w:t>available</w:t>
      </w:r>
      <w:proofErr w:type="gramEnd"/>
      <w:r w:rsidR="00F6577D" w:rsidRPr="005469CD">
        <w:rPr>
          <w:rFonts w:asciiTheme="majorHAnsi" w:eastAsia="Calibri" w:hAnsiTheme="majorHAnsi" w:cstheme="majorHAnsi"/>
          <w:color w:val="222222"/>
          <w:sz w:val="24"/>
          <w:szCs w:val="24"/>
        </w:rPr>
        <w:t xml:space="preserve"> </w:t>
      </w:r>
      <w:r w:rsidR="00F10B6C" w:rsidRPr="005469CD">
        <w:rPr>
          <w:rFonts w:asciiTheme="majorHAnsi" w:eastAsia="Calibri" w:hAnsiTheme="majorHAnsi" w:cstheme="majorHAnsi"/>
          <w:color w:val="222222"/>
          <w:sz w:val="24"/>
          <w:szCs w:val="24"/>
        </w:rPr>
        <w:t xml:space="preserve">and some breads and other grain-based foods are found in some markets </w:t>
      </w:r>
      <w:r w:rsidR="00812786" w:rsidRPr="005469CD">
        <w:rPr>
          <w:rFonts w:asciiTheme="majorHAnsi" w:eastAsia="Calibri" w:hAnsiTheme="majorHAnsi" w:cstheme="majorHAnsi"/>
          <w:color w:val="222222"/>
          <w:sz w:val="24"/>
          <w:szCs w:val="24"/>
        </w:rPr>
        <w:t>[</w:t>
      </w:r>
      <w:r w:rsidR="00EE4AD5" w:rsidRPr="005469CD">
        <w:rPr>
          <w:rFonts w:asciiTheme="majorHAnsi" w:eastAsia="Calibri" w:hAnsiTheme="majorHAnsi" w:cstheme="majorHAnsi"/>
          <w:color w:val="222222"/>
          <w:sz w:val="24"/>
          <w:szCs w:val="24"/>
        </w:rPr>
        <w:t>11</w:t>
      </w:r>
      <w:r w:rsidR="00812786" w:rsidRPr="005469CD">
        <w:rPr>
          <w:rFonts w:asciiTheme="majorHAnsi" w:eastAsia="Calibri" w:hAnsiTheme="majorHAnsi" w:cstheme="majorHAnsi"/>
          <w:color w:val="222222"/>
          <w:sz w:val="24"/>
          <w:szCs w:val="24"/>
        </w:rPr>
        <w:t>].</w:t>
      </w:r>
    </w:p>
    <w:p w14:paraId="00000021" w14:textId="07DA80EC" w:rsidR="00D33902" w:rsidRPr="005469CD" w:rsidRDefault="00B461E1">
      <w:pPr>
        <w:rPr>
          <w:rFonts w:asciiTheme="majorHAnsi" w:eastAsia="Calibri" w:hAnsiTheme="majorHAnsi" w:cstheme="majorHAnsi"/>
          <w:strike/>
          <w:sz w:val="24"/>
          <w:szCs w:val="24"/>
        </w:rPr>
      </w:pPr>
      <w:r w:rsidRPr="005469CD">
        <w:rPr>
          <w:rFonts w:asciiTheme="majorHAnsi" w:eastAsia="Calibri" w:hAnsiTheme="majorHAnsi" w:cstheme="majorHAnsi"/>
          <w:b/>
          <w:color w:val="222222"/>
          <w:sz w:val="24"/>
          <w:szCs w:val="24"/>
        </w:rPr>
        <w:t xml:space="preserve"> </w:t>
      </w:r>
    </w:p>
    <w:p w14:paraId="00000025" w14:textId="6EB4BDAC" w:rsidR="00D33902" w:rsidRPr="005469CD" w:rsidRDefault="00F10B6C">
      <w:pPr>
        <w:rPr>
          <w:rFonts w:asciiTheme="majorHAnsi" w:eastAsia="Calibri" w:hAnsiTheme="majorHAnsi" w:cstheme="majorHAnsi"/>
          <w:color w:val="222222"/>
          <w:sz w:val="24"/>
          <w:szCs w:val="24"/>
        </w:rPr>
      </w:pPr>
      <w:r w:rsidRPr="005469CD">
        <w:rPr>
          <w:rFonts w:asciiTheme="majorHAnsi" w:eastAsia="Calibri" w:hAnsiTheme="majorHAnsi" w:cstheme="majorHAnsi"/>
          <w:color w:val="3C4043"/>
          <w:sz w:val="24"/>
          <w:szCs w:val="24"/>
        </w:rPr>
        <w:t xml:space="preserve">More research is needed.  More nutritional research is needed to determine the </w:t>
      </w:r>
      <w:proofErr w:type="spellStart"/>
      <w:r w:rsidRPr="005469CD">
        <w:rPr>
          <w:rFonts w:asciiTheme="majorHAnsi" w:eastAsia="Calibri" w:hAnsiTheme="majorHAnsi" w:cstheme="majorHAnsi"/>
          <w:color w:val="3C4043"/>
          <w:sz w:val="24"/>
          <w:szCs w:val="24"/>
        </w:rPr>
        <w:t>phsiological</w:t>
      </w:r>
      <w:proofErr w:type="spellEnd"/>
      <w:r w:rsidRPr="005469CD">
        <w:rPr>
          <w:rFonts w:asciiTheme="majorHAnsi" w:eastAsia="Calibri" w:hAnsiTheme="majorHAnsi" w:cstheme="majorHAnsi"/>
          <w:color w:val="3C4043"/>
          <w:sz w:val="24"/>
          <w:szCs w:val="24"/>
        </w:rPr>
        <w:t xml:space="preserve"> roles of AX, and resistant starch and other types of fiber when consumed both individually and in combination as part of various foodstuffs and diets.  Food intake studies are needed to quantify their impact on total dietary fiber nutriture and to test whether this effort reduces the significant ‘fiber gap’. Food science research is needed to better understand their functional role in food applications. </w:t>
      </w:r>
      <w:r w:rsidR="00B461E1" w:rsidRPr="005469CD">
        <w:rPr>
          <w:rFonts w:asciiTheme="majorHAnsi" w:eastAsia="Calibri" w:hAnsiTheme="majorHAnsi" w:cstheme="majorHAnsi"/>
          <w:color w:val="3C4043"/>
          <w:sz w:val="24"/>
          <w:szCs w:val="24"/>
        </w:rPr>
        <w:t>To create an aligned food supply chain, resources must be made available for wide-spread planting and food production of higher-fiber grains.</w:t>
      </w:r>
      <w:r w:rsidR="00893D40" w:rsidRPr="005469CD">
        <w:rPr>
          <w:rFonts w:asciiTheme="majorHAnsi" w:eastAsia="Calibri" w:hAnsiTheme="majorHAnsi" w:cstheme="majorHAnsi"/>
          <w:color w:val="3C4043"/>
          <w:sz w:val="24"/>
          <w:szCs w:val="24"/>
        </w:rPr>
        <w:t xml:space="preserve"> </w:t>
      </w:r>
      <w:r w:rsidR="00B461E1" w:rsidRPr="005469CD">
        <w:rPr>
          <w:rFonts w:asciiTheme="majorHAnsi" w:eastAsia="Calibri" w:hAnsiTheme="majorHAnsi" w:cstheme="majorHAnsi"/>
          <w:color w:val="222222"/>
          <w:sz w:val="24"/>
          <w:szCs w:val="24"/>
        </w:rPr>
        <w:t xml:space="preserve">Groups that recognize the value of increasing dietary fiber for public health should fund high fiber grain development and implementation. </w:t>
      </w:r>
      <w:r w:rsidR="00572DAB" w:rsidRPr="005469CD">
        <w:rPr>
          <w:rFonts w:asciiTheme="majorHAnsi" w:eastAsia="Calibri" w:hAnsiTheme="majorHAnsi" w:cstheme="majorHAnsi"/>
          <w:color w:val="222222"/>
          <w:sz w:val="24"/>
          <w:szCs w:val="24"/>
        </w:rPr>
        <w:t>A</w:t>
      </w:r>
      <w:r w:rsidR="00B461E1" w:rsidRPr="005469CD">
        <w:rPr>
          <w:rFonts w:asciiTheme="majorHAnsi" w:eastAsia="Calibri" w:hAnsiTheme="majorHAnsi" w:cstheme="majorHAnsi"/>
          <w:color w:val="222222"/>
          <w:sz w:val="24"/>
          <w:szCs w:val="24"/>
        </w:rPr>
        <w:t xml:space="preserve"> novel collaboration between agri-food, government, healthcare, and researchers could ensure that key stakeholders, including farmers and consumers, benefit without an impact on consumer prices. </w:t>
      </w:r>
    </w:p>
    <w:p w14:paraId="781495BF" w14:textId="77777777" w:rsidR="00893D40" w:rsidRPr="005469CD" w:rsidRDefault="00893D40">
      <w:pPr>
        <w:rPr>
          <w:rFonts w:asciiTheme="majorHAnsi" w:eastAsia="Calibri" w:hAnsiTheme="majorHAnsi" w:cstheme="majorHAnsi"/>
          <w:color w:val="222222"/>
          <w:sz w:val="24"/>
          <w:szCs w:val="24"/>
        </w:rPr>
      </w:pPr>
    </w:p>
    <w:p w14:paraId="00000027" w14:textId="176AA9F3" w:rsidR="00D33902" w:rsidRPr="005469CD" w:rsidRDefault="00572DAB">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lastRenderedPageBreak/>
        <w:t>O</w:t>
      </w:r>
      <w:r w:rsidR="00B461E1" w:rsidRPr="005469CD">
        <w:rPr>
          <w:rFonts w:asciiTheme="majorHAnsi" w:eastAsia="Calibri" w:hAnsiTheme="majorHAnsi" w:cstheme="majorHAnsi"/>
          <w:color w:val="222222"/>
          <w:sz w:val="24"/>
          <w:szCs w:val="24"/>
        </w:rPr>
        <w:t xml:space="preserve">rganizations incentivizing grain fiber must be clear about what they’re purchasing. </w:t>
      </w:r>
      <w:r w:rsidR="00F10B6C" w:rsidRPr="005469CD">
        <w:rPr>
          <w:rFonts w:asciiTheme="majorHAnsi" w:eastAsia="Calibri" w:hAnsiTheme="majorHAnsi" w:cstheme="majorHAnsi"/>
          <w:color w:val="222222"/>
          <w:sz w:val="24"/>
          <w:szCs w:val="24"/>
        </w:rPr>
        <w:t xml:space="preserve">For acceptance by all sectors- agriculture, industry, bakers, millers, nutritionists and food professionals, standards must be developed for operations, commercial </w:t>
      </w:r>
      <w:r w:rsidR="00EE4AD5" w:rsidRPr="005469CD">
        <w:rPr>
          <w:rFonts w:asciiTheme="majorHAnsi" w:eastAsia="Calibri" w:hAnsiTheme="majorHAnsi" w:cstheme="majorHAnsi"/>
          <w:color w:val="222222"/>
          <w:sz w:val="24"/>
          <w:szCs w:val="24"/>
        </w:rPr>
        <w:t>agreements, and</w:t>
      </w:r>
      <w:r w:rsidR="00F10B6C" w:rsidRPr="005469CD">
        <w:rPr>
          <w:rFonts w:asciiTheme="majorHAnsi" w:eastAsia="Calibri" w:hAnsiTheme="majorHAnsi" w:cstheme="majorHAnsi"/>
          <w:color w:val="222222"/>
          <w:sz w:val="24"/>
          <w:szCs w:val="24"/>
        </w:rPr>
        <w:t xml:space="preserve"> communication. </w:t>
      </w:r>
      <w:r w:rsidR="00B461E1" w:rsidRPr="005469CD">
        <w:rPr>
          <w:rFonts w:asciiTheme="majorHAnsi" w:eastAsia="Calibri" w:hAnsiTheme="majorHAnsi" w:cstheme="majorHAnsi"/>
          <w:color w:val="222222"/>
          <w:sz w:val="24"/>
          <w:szCs w:val="24"/>
        </w:rPr>
        <w:t xml:space="preserve">These standards should be determined by key stakeholders, including agricultural and nutrition scientists, farmers and other members of the agri-food and nutrition supply chain, healthcare professionals, community leaders, and regulators. The socio-economists </w:t>
      </w:r>
      <w:r w:rsidR="00794D5B" w:rsidRPr="005469CD">
        <w:rPr>
          <w:rFonts w:asciiTheme="majorHAnsi" w:eastAsia="Calibri" w:hAnsiTheme="majorHAnsi" w:cstheme="majorHAnsi"/>
          <w:color w:val="222222"/>
          <w:sz w:val="24"/>
          <w:szCs w:val="24"/>
        </w:rPr>
        <w:t>connected</w:t>
      </w:r>
      <w:r w:rsidR="00B461E1" w:rsidRPr="005469CD">
        <w:rPr>
          <w:rFonts w:asciiTheme="majorHAnsi" w:eastAsia="Calibri" w:hAnsiTheme="majorHAnsi" w:cstheme="majorHAnsi"/>
          <w:color w:val="222222"/>
          <w:sz w:val="24"/>
          <w:szCs w:val="24"/>
        </w:rPr>
        <w:t xml:space="preserve"> with these groups can provide data and analytic models to prioritize required grain breeding, food science, nutrition, and healthcare research, development, and implementation; identify any unintended consequences; and measure health and economic impact. Together, such a coalition can agree on needed standards and other methods of coordination. </w:t>
      </w:r>
    </w:p>
    <w:p w14:paraId="00000028" w14:textId="77777777"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 </w:t>
      </w:r>
    </w:p>
    <w:p w14:paraId="00000029" w14:textId="6B147BE8"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For the wheat supply chain, efforts to improve the nutritional content of key staple foods can also contribute to brand loyalty, bolster industry perception, and demonstrate a desire to be socially responsible. </w:t>
      </w:r>
    </w:p>
    <w:p w14:paraId="0000002B" w14:textId="4AD85D57" w:rsidR="00D33902" w:rsidRPr="005469CD" w:rsidRDefault="00D33902" w:rsidP="007A38E3">
      <w:pPr>
        <w:rPr>
          <w:rFonts w:asciiTheme="majorHAnsi" w:eastAsia="Calibri" w:hAnsiTheme="majorHAnsi" w:cstheme="majorHAnsi"/>
          <w:b/>
          <w:sz w:val="24"/>
          <w:szCs w:val="24"/>
        </w:rPr>
      </w:pPr>
    </w:p>
    <w:p w14:paraId="41162EDA" w14:textId="572F26C4" w:rsidR="00F10B6C" w:rsidRPr="005469CD" w:rsidRDefault="00B461E1" w:rsidP="00F10B6C">
      <w:pPr>
        <w:rPr>
          <w:rFonts w:asciiTheme="majorHAnsi" w:eastAsia="Calibri" w:hAnsiTheme="majorHAnsi" w:cstheme="majorHAnsi"/>
          <w:sz w:val="24"/>
          <w:szCs w:val="24"/>
        </w:rPr>
      </w:pPr>
      <w:r w:rsidRPr="005469CD">
        <w:rPr>
          <w:rFonts w:asciiTheme="majorHAnsi" w:eastAsia="Calibri" w:hAnsiTheme="majorHAnsi" w:cstheme="majorHAnsi"/>
          <w:color w:val="222222"/>
          <w:sz w:val="24"/>
          <w:szCs w:val="24"/>
        </w:rPr>
        <w:t xml:space="preserve">The US Dietary Guidelines Committee designated dietary fiber an “under-consumed nutrient of concern” </w:t>
      </w:r>
      <w:r w:rsidR="00EE4AD5" w:rsidRPr="005469CD">
        <w:rPr>
          <w:rFonts w:asciiTheme="majorHAnsi" w:eastAsia="Calibri" w:hAnsiTheme="majorHAnsi" w:cstheme="majorHAnsi"/>
          <w:color w:val="222222"/>
          <w:sz w:val="24"/>
          <w:szCs w:val="24"/>
        </w:rPr>
        <w:t>[9]</w:t>
      </w:r>
      <w:r w:rsidRPr="005469CD">
        <w:rPr>
          <w:rFonts w:asciiTheme="majorHAnsi" w:eastAsia="Calibri" w:hAnsiTheme="majorHAnsi" w:cstheme="majorHAnsi"/>
          <w:color w:val="222222"/>
          <w:sz w:val="24"/>
          <w:szCs w:val="24"/>
        </w:rPr>
        <w:t xml:space="preserve">. </w:t>
      </w:r>
      <w:r w:rsidR="00F10B6C" w:rsidRPr="005469CD">
        <w:rPr>
          <w:rFonts w:asciiTheme="majorHAnsi" w:eastAsia="Calibri" w:hAnsiTheme="majorHAnsi" w:cstheme="majorHAnsi"/>
          <w:sz w:val="24"/>
          <w:szCs w:val="24"/>
        </w:rPr>
        <w:t xml:space="preserve">Recent studies showing differences in fiber amounts in various wheat </w:t>
      </w:r>
      <w:r w:rsidR="002B0514" w:rsidRPr="005469CD">
        <w:rPr>
          <w:rFonts w:asciiTheme="majorHAnsi" w:eastAsia="Calibri" w:hAnsiTheme="majorHAnsi" w:cstheme="majorHAnsi"/>
          <w:color w:val="222222"/>
          <w:sz w:val="24"/>
          <w:szCs w:val="24"/>
        </w:rPr>
        <w:t>cultivars</w:t>
      </w:r>
      <w:r w:rsidR="00F10B6C" w:rsidRPr="005469CD">
        <w:rPr>
          <w:rFonts w:asciiTheme="majorHAnsi" w:eastAsia="Calibri" w:hAnsiTheme="majorHAnsi" w:cstheme="majorHAnsi"/>
          <w:sz w:val="24"/>
          <w:szCs w:val="24"/>
        </w:rPr>
        <w:t xml:space="preserve"> provided a basis for agri-food technology and related infrastructure </w:t>
      </w:r>
      <w:r w:rsidR="002B0514" w:rsidRPr="005469CD">
        <w:rPr>
          <w:rFonts w:asciiTheme="majorHAnsi" w:eastAsia="Calibri" w:hAnsiTheme="majorHAnsi" w:cstheme="majorHAnsi"/>
          <w:sz w:val="24"/>
          <w:szCs w:val="24"/>
        </w:rPr>
        <w:t>for stealth health</w:t>
      </w:r>
      <w:r w:rsidR="00F10B6C" w:rsidRPr="005469CD">
        <w:rPr>
          <w:rFonts w:asciiTheme="majorHAnsi" w:eastAsia="Calibri" w:hAnsiTheme="majorHAnsi" w:cstheme="majorHAnsi"/>
          <w:sz w:val="24"/>
          <w:szCs w:val="24"/>
        </w:rPr>
        <w:t xml:space="preserve"> </w:t>
      </w:r>
      <w:r w:rsidR="002B0514" w:rsidRPr="005469CD">
        <w:rPr>
          <w:rFonts w:asciiTheme="majorHAnsi" w:eastAsia="Calibri" w:hAnsiTheme="majorHAnsi" w:cstheme="majorHAnsi"/>
          <w:sz w:val="24"/>
          <w:szCs w:val="24"/>
        </w:rPr>
        <w:t xml:space="preserve">to </w:t>
      </w:r>
      <w:r w:rsidR="00F10B6C" w:rsidRPr="005469CD">
        <w:rPr>
          <w:rFonts w:asciiTheme="majorHAnsi" w:eastAsia="Calibri" w:hAnsiTheme="majorHAnsi" w:cstheme="majorHAnsi"/>
          <w:sz w:val="24"/>
          <w:szCs w:val="24"/>
        </w:rPr>
        <w:t xml:space="preserve">increase fibers in desired foods. Government, healthcare, and other organizations who understand the importance of dietary fiber to nutrition and public health should incentivize this increased fiber incorporation. </w:t>
      </w:r>
    </w:p>
    <w:p w14:paraId="0000002D" w14:textId="77777777" w:rsidR="00D33902" w:rsidRPr="005469CD" w:rsidRDefault="00D33902">
      <w:pPr>
        <w:rPr>
          <w:rFonts w:asciiTheme="majorHAnsi" w:eastAsia="Calibri" w:hAnsiTheme="majorHAnsi" w:cstheme="majorHAnsi"/>
          <w:sz w:val="24"/>
          <w:szCs w:val="24"/>
        </w:rPr>
      </w:pPr>
    </w:p>
    <w:p w14:paraId="5002FE4D" w14:textId="67952FD9" w:rsidR="00F75D7C"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The Coalition for Grain Fiber (CGF), </w:t>
      </w:r>
      <w:r w:rsidR="0007518E" w:rsidRPr="005469CD">
        <w:rPr>
          <w:rFonts w:asciiTheme="majorHAnsi" w:eastAsia="Calibri" w:hAnsiTheme="majorHAnsi" w:cstheme="majorHAnsi"/>
          <w:color w:val="222222"/>
          <w:sz w:val="24"/>
          <w:szCs w:val="24"/>
        </w:rPr>
        <w:t xml:space="preserve">the first initiative of </w:t>
      </w:r>
      <w:r w:rsidRPr="005469CD">
        <w:rPr>
          <w:rFonts w:asciiTheme="majorHAnsi" w:eastAsia="Calibri" w:hAnsiTheme="majorHAnsi" w:cstheme="majorHAnsi"/>
          <w:color w:val="222222"/>
          <w:sz w:val="24"/>
          <w:szCs w:val="24"/>
        </w:rPr>
        <w:t xml:space="preserve">a recently established nonprofit, gathers over 60 international scientists and professionals committed to transforming the food industry by prioritizing the role of nutrition in overall health. CGF is adopting the approach described in this article </w:t>
      </w:r>
      <w:r w:rsidR="00DF26FF" w:rsidRPr="005469CD">
        <w:rPr>
          <w:rFonts w:asciiTheme="majorHAnsi" w:eastAsia="Calibri" w:hAnsiTheme="majorHAnsi" w:cstheme="majorHAnsi"/>
          <w:color w:val="222222"/>
          <w:sz w:val="24"/>
          <w:szCs w:val="24"/>
        </w:rPr>
        <w:t xml:space="preserve">by the Foundation for Innovation in Healthy Food </w:t>
      </w:r>
      <w:r w:rsidR="00EE4AD5" w:rsidRPr="005469CD">
        <w:rPr>
          <w:rFonts w:asciiTheme="majorHAnsi" w:eastAsia="Calibri" w:hAnsiTheme="majorHAnsi" w:cstheme="majorHAnsi"/>
          <w:color w:val="222222"/>
          <w:sz w:val="24"/>
          <w:szCs w:val="24"/>
        </w:rPr>
        <w:t>[12]</w:t>
      </w:r>
      <w:r w:rsidRPr="005469CD">
        <w:rPr>
          <w:rFonts w:asciiTheme="majorHAnsi" w:eastAsia="Calibri" w:hAnsiTheme="majorHAnsi" w:cstheme="majorHAnsi"/>
          <w:color w:val="222222"/>
          <w:sz w:val="24"/>
          <w:szCs w:val="24"/>
        </w:rPr>
        <w:t>, with detailed planning for the effort already begun.</w:t>
      </w:r>
      <w:r w:rsidR="00DF26FF" w:rsidRPr="005469CD">
        <w:rPr>
          <w:rFonts w:asciiTheme="majorHAnsi" w:eastAsia="Calibri" w:hAnsiTheme="majorHAnsi" w:cstheme="majorHAnsi"/>
          <w:sz w:val="24"/>
          <w:szCs w:val="24"/>
        </w:rPr>
        <w:t xml:space="preserve">  </w:t>
      </w:r>
      <w:r w:rsidR="00F75D7C" w:rsidRPr="00FE53BC">
        <w:rPr>
          <w:rFonts w:asciiTheme="majorHAnsi" w:hAnsiTheme="majorHAnsi" w:cstheme="majorHAnsi"/>
          <w:sz w:val="24"/>
          <w:szCs w:val="24"/>
        </w:rPr>
        <w:t xml:space="preserve">This approach has the potential to reduce the fiber gap and mitigate chronic disease risk and significantly decrease </w:t>
      </w:r>
      <w:r w:rsidR="00F75D7C" w:rsidRPr="00FE53BC">
        <w:rPr>
          <w:rFonts w:asciiTheme="majorHAnsi" w:hAnsiTheme="majorHAnsi" w:cstheme="majorHAnsi"/>
          <w:color w:val="222222"/>
          <w:sz w:val="24"/>
          <w:szCs w:val="24"/>
        </w:rPr>
        <w:t xml:space="preserve">healthcare costs. It also has potential to benefit all socioeconomic groups, while not requiring a change in </w:t>
      </w:r>
      <w:r w:rsidR="00F75D7C" w:rsidRPr="005469CD">
        <w:rPr>
          <w:rFonts w:asciiTheme="majorHAnsi" w:eastAsia="Calibri" w:hAnsiTheme="majorHAnsi" w:cstheme="majorHAnsi"/>
          <w:color w:val="222222"/>
          <w:sz w:val="24"/>
          <w:szCs w:val="24"/>
        </w:rPr>
        <w:t xml:space="preserve">consumer behavior.  </w:t>
      </w:r>
    </w:p>
    <w:p w14:paraId="00000031" w14:textId="5CA1DCD6"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Fiber may be available from many sources today — but it remains an insufficient part of people’s diets. Good science and “stealth health” can change that</w:t>
      </w:r>
      <w:r w:rsidR="00572DAB" w:rsidRPr="005469CD">
        <w:rPr>
          <w:rFonts w:asciiTheme="majorHAnsi" w:eastAsia="Calibri" w:hAnsiTheme="majorHAnsi" w:cstheme="majorHAnsi"/>
          <w:color w:val="222222"/>
          <w:sz w:val="24"/>
          <w:szCs w:val="24"/>
        </w:rPr>
        <w:t>.</w:t>
      </w:r>
      <w:r w:rsidRPr="005469CD">
        <w:rPr>
          <w:rFonts w:asciiTheme="majorHAnsi" w:eastAsia="Calibri" w:hAnsiTheme="majorHAnsi" w:cstheme="majorHAnsi"/>
          <w:color w:val="222222"/>
          <w:sz w:val="24"/>
          <w:szCs w:val="24"/>
        </w:rPr>
        <w:t xml:space="preserve"> </w:t>
      </w:r>
    </w:p>
    <w:p w14:paraId="00000032" w14:textId="77777777"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 </w:t>
      </w:r>
    </w:p>
    <w:p w14:paraId="4EADB088" w14:textId="77777777" w:rsidR="00664C43" w:rsidRPr="005469CD" w:rsidRDefault="00664C43">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br w:type="page"/>
      </w:r>
    </w:p>
    <w:p w14:paraId="00000035" w14:textId="22AC7FC0"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lastRenderedPageBreak/>
        <w:t>References</w:t>
      </w:r>
    </w:p>
    <w:p w14:paraId="3A344E7A" w14:textId="77777777" w:rsidR="008D12EF" w:rsidRPr="005469CD" w:rsidRDefault="008D12EF" w:rsidP="008D12EF">
      <w:pPr>
        <w:pStyle w:val="ListParagraph"/>
        <w:numPr>
          <w:ilvl w:val="0"/>
          <w:numId w:val="2"/>
        </w:numPr>
        <w:rPr>
          <w:rFonts w:asciiTheme="majorHAnsi" w:hAnsiTheme="majorHAnsi" w:cstheme="majorHAnsi"/>
          <w:sz w:val="24"/>
          <w:szCs w:val="24"/>
        </w:rPr>
      </w:pPr>
      <w:r w:rsidRPr="005469CD">
        <w:rPr>
          <w:rFonts w:asciiTheme="majorHAnsi" w:hAnsiTheme="majorHAnsi" w:cstheme="majorHAnsi"/>
          <w:sz w:val="24"/>
          <w:szCs w:val="24"/>
        </w:rPr>
        <w:t xml:space="preserve">Global Dietary Database. (2018). Dietary Intake of Foods and Nutrients by Country. Retrieved October 11, 2022, from </w:t>
      </w:r>
      <w:hyperlink r:id="rId8" w:tgtFrame="_blank" w:history="1">
        <w:r w:rsidRPr="005469CD">
          <w:rPr>
            <w:rStyle w:val="Hyperlink"/>
            <w:rFonts w:asciiTheme="majorHAnsi" w:hAnsiTheme="majorHAnsi" w:cstheme="majorHAnsi"/>
            <w:sz w:val="24"/>
            <w:szCs w:val="24"/>
          </w:rPr>
          <w:t>https://www.globaldietarydatabase.org/our-data/data-visualizations/dietary-data-country</w:t>
        </w:r>
      </w:hyperlink>
      <w:r w:rsidRPr="005469CD">
        <w:rPr>
          <w:rFonts w:asciiTheme="majorHAnsi" w:hAnsiTheme="majorHAnsi" w:cstheme="majorHAnsi"/>
          <w:sz w:val="24"/>
          <w:szCs w:val="24"/>
        </w:rPr>
        <w:t>.</w:t>
      </w:r>
    </w:p>
    <w:p w14:paraId="17B68754" w14:textId="1EE5B99A" w:rsidR="008D12EF" w:rsidRPr="005469CD" w:rsidRDefault="008D12EF" w:rsidP="008D12EF">
      <w:pPr>
        <w:pStyle w:val="ListParagraph"/>
        <w:numPr>
          <w:ilvl w:val="0"/>
          <w:numId w:val="2"/>
        </w:num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Han, S., Wu, L., Wang, W., Li, N., &amp; Wu, X. (2019). Trends in dietary nutrients by demographic characteristics and BMI among US adults, 2003–2016. Nutrients, 11(11), 2617. </w:t>
      </w:r>
      <w:hyperlink r:id="rId9" w:history="1">
        <w:r w:rsidRPr="005469CD">
          <w:rPr>
            <w:rStyle w:val="Hyperlink"/>
            <w:rFonts w:asciiTheme="majorHAnsi" w:eastAsia="Calibri" w:hAnsiTheme="majorHAnsi" w:cstheme="majorHAnsi"/>
            <w:sz w:val="24"/>
            <w:szCs w:val="24"/>
          </w:rPr>
          <w:t>https://doi.org/10.3390/nu11112617</w:t>
        </w:r>
      </w:hyperlink>
      <w:r w:rsidRPr="005469CD">
        <w:rPr>
          <w:rFonts w:asciiTheme="majorHAnsi" w:eastAsia="Calibri" w:hAnsiTheme="majorHAnsi" w:cstheme="majorHAnsi"/>
          <w:color w:val="222222"/>
          <w:sz w:val="24"/>
          <w:szCs w:val="24"/>
        </w:rPr>
        <w:t>.</w:t>
      </w:r>
    </w:p>
    <w:p w14:paraId="00000036" w14:textId="442DFC9F" w:rsidR="00D33902" w:rsidRPr="005469CD" w:rsidRDefault="00B461E1" w:rsidP="008D12EF">
      <w:pPr>
        <w:pStyle w:val="ListParagraph"/>
        <w:numPr>
          <w:ilvl w:val="0"/>
          <w:numId w:val="2"/>
        </w:num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Ahluwalia, N., Herrick, K.A., Terry, A.L., &amp; Hughes, J.P. (2019). Contribution of whole grains to total grains intake among adults aged 20 and over: United States, 2013–2016. National Center for Health Statistics. Retrieved October 10, 2022, from </w:t>
      </w:r>
      <w:hyperlink r:id="rId10" w:history="1">
        <w:r w:rsidR="008D12EF" w:rsidRPr="005469CD">
          <w:rPr>
            <w:rStyle w:val="Hyperlink"/>
            <w:rFonts w:asciiTheme="majorHAnsi" w:eastAsia="Calibri" w:hAnsiTheme="majorHAnsi" w:cstheme="majorHAnsi"/>
            <w:sz w:val="24"/>
            <w:szCs w:val="24"/>
          </w:rPr>
          <w:t>https://www.cdc.gov/nchs/products/databriefs/db341.htm</w:t>
        </w:r>
      </w:hyperlink>
      <w:r w:rsidRPr="005469CD">
        <w:rPr>
          <w:rFonts w:asciiTheme="majorHAnsi" w:eastAsia="Calibri" w:hAnsiTheme="majorHAnsi" w:cstheme="majorHAnsi"/>
          <w:color w:val="222222"/>
          <w:sz w:val="24"/>
          <w:szCs w:val="24"/>
        </w:rPr>
        <w:t>.</w:t>
      </w:r>
    </w:p>
    <w:p w14:paraId="6BE3E947" w14:textId="5CC3A829" w:rsidR="008D12EF" w:rsidRPr="005469CD" w:rsidRDefault="008D12EF" w:rsidP="008D12EF">
      <w:pPr>
        <w:pStyle w:val="ListParagraph"/>
        <w:numPr>
          <w:ilvl w:val="0"/>
          <w:numId w:val="2"/>
        </w:numPr>
        <w:rPr>
          <w:rFonts w:asciiTheme="majorHAnsi" w:eastAsia="Calibri" w:hAnsiTheme="majorHAnsi" w:cstheme="majorHAnsi"/>
          <w:color w:val="222222"/>
          <w:sz w:val="24"/>
          <w:szCs w:val="24"/>
        </w:rPr>
      </w:pPr>
      <w:r w:rsidRPr="00FE53BC">
        <w:rPr>
          <w:rFonts w:asciiTheme="majorHAnsi" w:hAnsiTheme="majorHAnsi" w:cstheme="majorHAnsi"/>
          <w:sz w:val="24"/>
          <w:szCs w:val="24"/>
        </w:rPr>
        <w:t xml:space="preserve">Kranz, S., Dodd, K.W., Juan, W.Y., Johnson, L.K., &amp; Jahns, L.  (2017). Whole grains contribute only a small proportion of dietary fiber to the U.S. diet. Nutrients (9), 153. </w:t>
      </w:r>
      <w:hyperlink r:id="rId11" w:history="1">
        <w:r w:rsidRPr="005469CD">
          <w:rPr>
            <w:rStyle w:val="Hyperlink"/>
            <w:rFonts w:asciiTheme="majorHAnsi" w:eastAsia="Calibri" w:hAnsiTheme="majorHAnsi" w:cstheme="majorHAnsi"/>
            <w:sz w:val="24"/>
            <w:szCs w:val="24"/>
          </w:rPr>
          <w:t>https://doi.org/10.3390/nu9020153</w:t>
        </w:r>
      </w:hyperlink>
    </w:p>
    <w:p w14:paraId="42EAD9DB" w14:textId="01F236D9" w:rsidR="008D12EF" w:rsidRPr="005469CD" w:rsidRDefault="008D12EF" w:rsidP="008D12EF">
      <w:pPr>
        <w:pStyle w:val="ListParagraph"/>
        <w:numPr>
          <w:ilvl w:val="0"/>
          <w:numId w:val="2"/>
        </w:num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Hazard, B., Trafford, K., Lovegrove, A., Griffiths, S., Uauy, C., &amp; Shewry, P. (2020). Strategies to improve wheat for human health. Nature Food, 1, 475–480. https://doi.org/10.1038/s43016-020-0134-6.</w:t>
      </w:r>
    </w:p>
    <w:p w14:paraId="1CC0FA61" w14:textId="77777777" w:rsidR="008D12EF" w:rsidRPr="005469CD" w:rsidRDefault="008D12EF" w:rsidP="008D12EF">
      <w:pPr>
        <w:pStyle w:val="ListParagraph"/>
        <w:numPr>
          <w:ilvl w:val="0"/>
          <w:numId w:val="2"/>
        </w:numPr>
        <w:spacing w:line="240" w:lineRule="auto"/>
        <w:rPr>
          <w:rFonts w:asciiTheme="majorHAnsi" w:eastAsia="Times New Roman" w:hAnsiTheme="majorHAnsi" w:cstheme="majorHAnsi"/>
          <w:color w:val="000000"/>
          <w:sz w:val="24"/>
          <w:szCs w:val="24"/>
          <w:lang w:val="en-US" w:eastAsia="en-US"/>
        </w:rPr>
      </w:pPr>
      <w:r w:rsidRPr="005469CD">
        <w:rPr>
          <w:rFonts w:asciiTheme="majorHAnsi" w:eastAsia="Times New Roman" w:hAnsiTheme="majorHAnsi" w:cstheme="majorHAnsi"/>
          <w:color w:val="000000"/>
          <w:sz w:val="24"/>
          <w:szCs w:val="24"/>
          <w:lang w:val="en-US" w:eastAsia="en-US"/>
        </w:rPr>
        <w:t>Shewry, P., and Hey, S. (2015). The contributions of wheat to human diet and health. Food and Energy Security. 4(3): 178-202.</w:t>
      </w:r>
    </w:p>
    <w:p w14:paraId="32520B6B" w14:textId="407ACA4F" w:rsidR="008D12EF" w:rsidRPr="005469CD" w:rsidRDefault="002343BA" w:rsidP="00A76AAC">
      <w:pPr>
        <w:pStyle w:val="ListParagraph"/>
        <w:spacing w:line="240" w:lineRule="auto"/>
        <w:rPr>
          <w:rFonts w:asciiTheme="majorHAnsi" w:eastAsia="Times New Roman" w:hAnsiTheme="majorHAnsi" w:cstheme="majorHAnsi"/>
          <w:color w:val="000000"/>
          <w:sz w:val="24"/>
          <w:szCs w:val="24"/>
          <w:lang w:val="en-US" w:eastAsia="en-US"/>
        </w:rPr>
      </w:pPr>
      <w:hyperlink r:id="rId12" w:history="1">
        <w:r w:rsidR="008D12EF" w:rsidRPr="005469CD">
          <w:rPr>
            <w:rStyle w:val="Hyperlink"/>
            <w:rFonts w:asciiTheme="majorHAnsi" w:eastAsia="Times New Roman" w:hAnsiTheme="majorHAnsi" w:cstheme="majorHAnsi"/>
            <w:sz w:val="24"/>
            <w:szCs w:val="24"/>
            <w:lang w:val="en-US" w:eastAsia="en-US"/>
          </w:rPr>
          <w:t>https://www.ncbi.nlm.nih.gov/pmc/articles/PMC4998136/</w:t>
        </w:r>
      </w:hyperlink>
    </w:p>
    <w:p w14:paraId="613723A6" w14:textId="77777777" w:rsidR="008D12EF" w:rsidRPr="005469CD" w:rsidRDefault="008D12EF" w:rsidP="008D12EF">
      <w:pPr>
        <w:pStyle w:val="ListParagraph"/>
        <w:numPr>
          <w:ilvl w:val="0"/>
          <w:numId w:val="2"/>
        </w:num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Rothamsted Research. (2022, April 25). High fiber white bread inches closer. Retrieved October 11, 2022, from https://www.rothamsted.ac.uk/news/high-fibre-white-bread-inches-closer.</w:t>
      </w:r>
    </w:p>
    <w:p w14:paraId="51DBABE7" w14:textId="77777777" w:rsidR="008D12EF" w:rsidRPr="005469CD" w:rsidRDefault="008D12EF" w:rsidP="008D12EF">
      <w:pPr>
        <w:pStyle w:val="ListParagraph"/>
        <w:numPr>
          <w:ilvl w:val="0"/>
          <w:numId w:val="2"/>
        </w:num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Lovegrove, A., Pellny, T.K., Hassall, K. L., Plummer, A., Wood, A., Bellisai, A., Przewieslik-</w:t>
      </w:r>
      <w:proofErr w:type="gramStart"/>
      <w:r w:rsidRPr="005469CD">
        <w:rPr>
          <w:rFonts w:asciiTheme="majorHAnsi" w:eastAsia="Calibri" w:hAnsiTheme="majorHAnsi" w:cstheme="majorHAnsi"/>
          <w:color w:val="222222"/>
          <w:sz w:val="24"/>
          <w:szCs w:val="24"/>
        </w:rPr>
        <w:t>Allen,  A.</w:t>
      </w:r>
      <w:proofErr w:type="gramEnd"/>
      <w:r w:rsidRPr="005469CD">
        <w:rPr>
          <w:rFonts w:asciiTheme="majorHAnsi" w:eastAsia="Calibri" w:hAnsiTheme="majorHAnsi" w:cstheme="majorHAnsi"/>
          <w:color w:val="222222"/>
          <w:sz w:val="24"/>
          <w:szCs w:val="24"/>
        </w:rPr>
        <w:t xml:space="preserve">, Burridge, A.J., Ward, J.L. &amp; Shewry, P.R. (2020). Historical changes in the contents and compositions of </w:t>
      </w:r>
      <w:proofErr w:type="spellStart"/>
      <w:r w:rsidRPr="005469CD">
        <w:rPr>
          <w:rFonts w:asciiTheme="majorHAnsi" w:eastAsia="Calibri" w:hAnsiTheme="majorHAnsi" w:cstheme="majorHAnsi"/>
          <w:color w:val="222222"/>
          <w:sz w:val="24"/>
          <w:szCs w:val="24"/>
        </w:rPr>
        <w:t>fibre</w:t>
      </w:r>
      <w:proofErr w:type="spellEnd"/>
      <w:r w:rsidRPr="005469CD">
        <w:rPr>
          <w:rFonts w:asciiTheme="majorHAnsi" w:eastAsia="Calibri" w:hAnsiTheme="majorHAnsi" w:cstheme="majorHAnsi"/>
          <w:color w:val="222222"/>
          <w:sz w:val="24"/>
          <w:szCs w:val="24"/>
        </w:rPr>
        <w:t xml:space="preserve"> components and polar metabolites in white wheat flour.  Scientific Reports, 10, 5920. https://doi.org/10.1038/s41598-020-62777-3</w:t>
      </w:r>
    </w:p>
    <w:p w14:paraId="2D0D4F3F" w14:textId="77777777" w:rsidR="008D12EF" w:rsidRPr="005469CD" w:rsidRDefault="008D12EF" w:rsidP="008D12EF">
      <w:pPr>
        <w:pStyle w:val="ListParagraph"/>
        <w:numPr>
          <w:ilvl w:val="0"/>
          <w:numId w:val="2"/>
        </w:num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United States Department of Agriculture (USDA). (2022). Wheat breeding and molecular genetics. Research, Education and Economics Information System. Retrieved October 11, 2022, from https://reeis.usda.gov/web/crisprojectpages/0175703-wheat-breeding-and-molecular-genetics.html.</w:t>
      </w:r>
    </w:p>
    <w:p w14:paraId="7FABE08F" w14:textId="77777777" w:rsidR="008D12EF" w:rsidRPr="005469CD" w:rsidRDefault="008D12EF" w:rsidP="008D12EF">
      <w:pPr>
        <w:pStyle w:val="ListParagraph"/>
        <w:numPr>
          <w:ilvl w:val="0"/>
          <w:numId w:val="2"/>
        </w:numPr>
        <w:rPr>
          <w:rFonts w:asciiTheme="majorHAnsi" w:eastAsia="Calibri" w:hAnsiTheme="majorHAnsi" w:cstheme="majorHAnsi"/>
          <w:color w:val="222222"/>
          <w:sz w:val="24"/>
          <w:szCs w:val="24"/>
        </w:rPr>
      </w:pPr>
      <w:proofErr w:type="spellStart"/>
      <w:r w:rsidRPr="005469CD">
        <w:rPr>
          <w:rFonts w:asciiTheme="majorHAnsi" w:eastAsia="Calibri" w:hAnsiTheme="majorHAnsi" w:cstheme="majorHAnsi"/>
          <w:color w:val="222222"/>
          <w:sz w:val="24"/>
          <w:szCs w:val="24"/>
        </w:rPr>
        <w:t>Schönhofen</w:t>
      </w:r>
      <w:proofErr w:type="spellEnd"/>
      <w:r w:rsidRPr="005469CD">
        <w:rPr>
          <w:rFonts w:asciiTheme="majorHAnsi" w:eastAsia="Calibri" w:hAnsiTheme="majorHAnsi" w:cstheme="majorHAnsi"/>
          <w:color w:val="222222"/>
          <w:sz w:val="24"/>
          <w:szCs w:val="24"/>
        </w:rPr>
        <w:t xml:space="preserve">, A., Zhang, X., &amp; Dubcovsky, J. (2017). Combined mutations in five wheat STARCH BRANCHING ENZYME II genes improve resistant starch but affect grain yield and bread-making quality. Journal of Cereal Science, 75, 165–174. </w:t>
      </w:r>
      <w:hyperlink r:id="rId13" w:history="1">
        <w:r w:rsidRPr="005469CD">
          <w:rPr>
            <w:rStyle w:val="Hyperlink"/>
            <w:rFonts w:asciiTheme="majorHAnsi" w:eastAsia="Calibri" w:hAnsiTheme="majorHAnsi" w:cstheme="majorHAnsi"/>
            <w:sz w:val="24"/>
            <w:szCs w:val="24"/>
          </w:rPr>
          <w:t>https://doi.org/10.1016/j.jcs.2017.03.028</w:t>
        </w:r>
      </w:hyperlink>
      <w:r w:rsidRPr="005469CD">
        <w:rPr>
          <w:rFonts w:asciiTheme="majorHAnsi" w:eastAsia="Calibri" w:hAnsiTheme="majorHAnsi" w:cstheme="majorHAnsi"/>
          <w:color w:val="222222"/>
          <w:sz w:val="24"/>
          <w:szCs w:val="24"/>
        </w:rPr>
        <w:t>.</w:t>
      </w:r>
    </w:p>
    <w:p w14:paraId="095614D2" w14:textId="77777777" w:rsidR="008D12EF" w:rsidRPr="005469CD" w:rsidRDefault="008D12EF" w:rsidP="008D12EF">
      <w:pPr>
        <w:pStyle w:val="ListParagraph"/>
        <w:numPr>
          <w:ilvl w:val="0"/>
          <w:numId w:val="2"/>
        </w:num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Bay State Milling. (2022). A high-fiber flour with big benefits. Retrieved October 11, 2022, from https://baystatemilling.com/healthsense/.</w:t>
      </w:r>
    </w:p>
    <w:p w14:paraId="46696979" w14:textId="77777777" w:rsidR="008D12EF" w:rsidRPr="005469CD" w:rsidRDefault="008D12EF" w:rsidP="00A76AAC">
      <w:pPr>
        <w:rPr>
          <w:rFonts w:asciiTheme="majorHAnsi" w:eastAsia="Calibri" w:hAnsiTheme="majorHAnsi" w:cstheme="majorHAnsi"/>
          <w:color w:val="222222"/>
          <w:sz w:val="24"/>
          <w:szCs w:val="24"/>
        </w:rPr>
      </w:pPr>
    </w:p>
    <w:p w14:paraId="55000EBD" w14:textId="39B48D86" w:rsidR="008D12EF" w:rsidRPr="005469CD" w:rsidRDefault="008D12EF" w:rsidP="008D12EF">
      <w:pPr>
        <w:pStyle w:val="ListParagraph"/>
        <w:numPr>
          <w:ilvl w:val="0"/>
          <w:numId w:val="2"/>
        </w:num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lastRenderedPageBreak/>
        <w:t>Foundation for Innovation in Healthy Food (FIHF). Coalition for Grain Fiber. Retrieved October 11, 2022, from https://fihf.org/coalition-for-grain-fiber/</w:t>
      </w:r>
    </w:p>
    <w:p w14:paraId="00000070" w14:textId="77777777" w:rsidR="00D33902" w:rsidRPr="005469CD" w:rsidRDefault="00B461E1">
      <w:pPr>
        <w:rPr>
          <w:rFonts w:asciiTheme="majorHAnsi" w:eastAsia="Calibri" w:hAnsiTheme="majorHAnsi" w:cstheme="majorHAnsi"/>
          <w:color w:val="222222"/>
          <w:sz w:val="24"/>
          <w:szCs w:val="24"/>
        </w:rPr>
      </w:pPr>
      <w:r w:rsidRPr="005469CD">
        <w:rPr>
          <w:rFonts w:asciiTheme="majorHAnsi" w:eastAsia="Calibri" w:hAnsiTheme="majorHAnsi" w:cstheme="majorHAnsi"/>
          <w:color w:val="222222"/>
          <w:sz w:val="24"/>
          <w:szCs w:val="24"/>
        </w:rPr>
        <w:t xml:space="preserve"> </w:t>
      </w:r>
    </w:p>
    <w:p w14:paraId="298C9D45" w14:textId="77777777" w:rsidR="00B87913" w:rsidRPr="005469CD" w:rsidRDefault="00B461E1" w:rsidP="00B87913">
      <w:pPr>
        <w:rPr>
          <w:rFonts w:asciiTheme="majorHAnsi" w:hAnsiTheme="majorHAnsi" w:cstheme="majorHAnsi"/>
          <w:color w:val="1155CC"/>
          <w:sz w:val="24"/>
          <w:szCs w:val="24"/>
          <w:u w:val="single"/>
        </w:rPr>
      </w:pPr>
      <w:r w:rsidRPr="005469CD">
        <w:rPr>
          <w:rFonts w:asciiTheme="majorHAnsi" w:eastAsia="Calibri" w:hAnsiTheme="majorHAnsi" w:cstheme="majorHAnsi"/>
          <w:color w:val="222222"/>
          <w:sz w:val="24"/>
          <w:szCs w:val="24"/>
        </w:rPr>
        <w:t xml:space="preserve"> </w:t>
      </w:r>
      <w:r w:rsidR="00B87913" w:rsidRPr="005469CD">
        <w:rPr>
          <w:rFonts w:asciiTheme="majorHAnsi" w:hAnsiTheme="majorHAnsi" w:cstheme="majorHAnsi"/>
          <w:color w:val="000000" w:themeColor="text1"/>
          <w:sz w:val="24"/>
          <w:szCs w:val="24"/>
          <w:u w:val="single"/>
        </w:rPr>
        <w:t>Acknowledgements</w:t>
      </w:r>
    </w:p>
    <w:p w14:paraId="127A26F4" w14:textId="77777777" w:rsidR="00B87913" w:rsidRPr="005469CD" w:rsidRDefault="00B87913" w:rsidP="00B87913">
      <w:pPr>
        <w:rPr>
          <w:rFonts w:asciiTheme="majorHAnsi" w:hAnsiTheme="majorHAnsi" w:cstheme="majorHAnsi"/>
          <w:color w:val="1155CC"/>
          <w:sz w:val="24"/>
          <w:szCs w:val="24"/>
          <w:u w:val="single"/>
        </w:rPr>
      </w:pPr>
      <w:r w:rsidRPr="005469CD">
        <w:rPr>
          <w:rFonts w:asciiTheme="majorHAnsi" w:hAnsiTheme="majorHAnsi" w:cstheme="majorHAnsi"/>
          <w:sz w:val="24"/>
          <w:szCs w:val="24"/>
        </w:rPr>
        <w:t xml:space="preserve">The authors thank Jorge Dubcovsky for comments on an earlier version, Jenny </w:t>
      </w:r>
      <w:proofErr w:type="spellStart"/>
      <w:r w:rsidRPr="005469CD">
        <w:rPr>
          <w:rFonts w:asciiTheme="majorHAnsi" w:hAnsiTheme="majorHAnsi" w:cstheme="majorHAnsi"/>
          <w:sz w:val="24"/>
          <w:szCs w:val="24"/>
        </w:rPr>
        <w:t>Bartoy</w:t>
      </w:r>
      <w:proofErr w:type="spellEnd"/>
      <w:r w:rsidRPr="005469CD">
        <w:rPr>
          <w:rFonts w:asciiTheme="majorHAnsi" w:hAnsiTheme="majorHAnsi" w:cstheme="majorHAnsi"/>
          <w:sz w:val="24"/>
          <w:szCs w:val="24"/>
        </w:rPr>
        <w:t xml:space="preserve"> for editing, and Michael O’ Flaherty for research assistance. Of course, any errors are the authors.   </w:t>
      </w:r>
    </w:p>
    <w:p w14:paraId="00000075" w14:textId="6620606E" w:rsidR="00D33902" w:rsidRPr="005469CD" w:rsidRDefault="00D33902">
      <w:pPr>
        <w:rPr>
          <w:rFonts w:asciiTheme="majorHAnsi" w:hAnsiTheme="majorHAnsi" w:cstheme="majorHAnsi"/>
          <w:sz w:val="24"/>
          <w:szCs w:val="24"/>
        </w:rPr>
      </w:pPr>
    </w:p>
    <w:p w14:paraId="28548331" w14:textId="1660144B" w:rsidR="0095116F" w:rsidRPr="005469CD" w:rsidRDefault="0095116F" w:rsidP="0095116F">
      <w:pPr>
        <w:rPr>
          <w:rFonts w:asciiTheme="majorHAnsi" w:hAnsiTheme="majorHAnsi" w:cstheme="majorHAnsi"/>
          <w:color w:val="1155CC"/>
          <w:sz w:val="24"/>
          <w:szCs w:val="24"/>
          <w:u w:val="single"/>
        </w:rPr>
      </w:pPr>
      <w:r w:rsidRPr="005469CD">
        <w:rPr>
          <w:rFonts w:asciiTheme="majorHAnsi" w:hAnsiTheme="majorHAnsi" w:cstheme="majorHAnsi"/>
          <w:color w:val="800080"/>
          <w:sz w:val="24"/>
          <w:szCs w:val="24"/>
          <w:vertAlign w:val="superscript"/>
        </w:rPr>
        <w:t>[1]</w:t>
      </w:r>
      <w:hyperlink r:id="rId14">
        <w:r w:rsidRPr="005469CD">
          <w:rPr>
            <w:rFonts w:asciiTheme="majorHAnsi" w:hAnsiTheme="majorHAnsi" w:cstheme="majorHAnsi"/>
            <w:color w:val="1155CC"/>
            <w:sz w:val="24"/>
            <w:szCs w:val="24"/>
            <w:u w:val="single"/>
          </w:rPr>
          <w:t xml:space="preserve"> University of Nebraska</w:t>
        </w:r>
      </w:hyperlink>
      <w:r w:rsidRPr="005469CD">
        <w:rPr>
          <w:rFonts w:asciiTheme="majorHAnsi" w:hAnsiTheme="majorHAnsi" w:cstheme="majorHAnsi"/>
          <w:sz w:val="24"/>
          <w:szCs w:val="24"/>
        </w:rPr>
        <w:t>-Linco</w:t>
      </w:r>
      <w:r w:rsidR="00B87913" w:rsidRPr="005469CD">
        <w:rPr>
          <w:rFonts w:asciiTheme="majorHAnsi" w:hAnsiTheme="majorHAnsi" w:cstheme="majorHAnsi"/>
          <w:sz w:val="24"/>
          <w:szCs w:val="24"/>
        </w:rPr>
        <w:t>ln,</w:t>
      </w:r>
      <w:r w:rsidRPr="005469CD">
        <w:rPr>
          <w:rFonts w:asciiTheme="majorHAnsi" w:hAnsiTheme="majorHAnsi" w:cstheme="majorHAnsi"/>
          <w:color w:val="1155CC"/>
          <w:sz w:val="24"/>
          <w:szCs w:val="24"/>
          <w:u w:val="single"/>
        </w:rPr>
        <w:t xml:space="preserve"> Lincoln, NE, USA</w:t>
      </w:r>
    </w:p>
    <w:p w14:paraId="3BD338C3" w14:textId="6A47DE9D" w:rsidR="0095116F" w:rsidRPr="005469CD" w:rsidRDefault="0095116F" w:rsidP="0095116F">
      <w:pPr>
        <w:rPr>
          <w:rFonts w:asciiTheme="majorHAnsi" w:hAnsiTheme="majorHAnsi" w:cstheme="majorHAnsi"/>
          <w:color w:val="1155CC"/>
          <w:sz w:val="24"/>
          <w:szCs w:val="24"/>
          <w:u w:val="single"/>
        </w:rPr>
      </w:pPr>
      <w:r w:rsidRPr="005469CD">
        <w:rPr>
          <w:rFonts w:asciiTheme="majorHAnsi" w:hAnsiTheme="majorHAnsi" w:cstheme="majorHAnsi"/>
          <w:color w:val="800080"/>
          <w:sz w:val="24"/>
          <w:szCs w:val="24"/>
          <w:vertAlign w:val="superscript"/>
        </w:rPr>
        <w:t>[2]</w:t>
      </w:r>
      <w:r w:rsidRPr="005469CD">
        <w:rPr>
          <w:rFonts w:asciiTheme="majorHAnsi" w:hAnsiTheme="majorHAnsi" w:cstheme="majorHAnsi"/>
          <w:sz w:val="24"/>
          <w:szCs w:val="24"/>
        </w:rPr>
        <w:t xml:space="preserve"> </w:t>
      </w:r>
      <w:hyperlink r:id="rId15">
        <w:r w:rsidRPr="005469CD">
          <w:rPr>
            <w:rFonts w:asciiTheme="majorHAnsi" w:hAnsiTheme="majorHAnsi" w:cstheme="majorHAnsi"/>
            <w:color w:val="1155CC"/>
            <w:sz w:val="24"/>
            <w:szCs w:val="24"/>
            <w:u w:val="single"/>
          </w:rPr>
          <w:t>Foundation for Innovation in Healthy Food</w:t>
        </w:r>
      </w:hyperlink>
      <w:r w:rsidRPr="005469CD">
        <w:rPr>
          <w:rFonts w:asciiTheme="majorHAnsi" w:hAnsiTheme="majorHAnsi" w:cstheme="majorHAnsi"/>
          <w:color w:val="1155CC"/>
          <w:sz w:val="24"/>
          <w:szCs w:val="24"/>
          <w:u w:val="single"/>
        </w:rPr>
        <w:t>, Wilmington, DE, USA</w:t>
      </w:r>
    </w:p>
    <w:p w14:paraId="3135595F" w14:textId="598D2855" w:rsidR="0095116F" w:rsidRPr="005469CD" w:rsidRDefault="0095116F" w:rsidP="0095116F">
      <w:pPr>
        <w:rPr>
          <w:rFonts w:asciiTheme="majorHAnsi" w:hAnsiTheme="majorHAnsi" w:cstheme="majorHAnsi"/>
          <w:color w:val="1155CC"/>
          <w:sz w:val="24"/>
          <w:szCs w:val="24"/>
          <w:u w:val="single"/>
        </w:rPr>
      </w:pPr>
      <w:r w:rsidRPr="005469CD">
        <w:rPr>
          <w:rFonts w:asciiTheme="majorHAnsi" w:hAnsiTheme="majorHAnsi" w:cstheme="majorHAnsi"/>
          <w:color w:val="800080"/>
          <w:sz w:val="24"/>
          <w:szCs w:val="24"/>
          <w:vertAlign w:val="superscript"/>
        </w:rPr>
        <w:t>[</w:t>
      </w:r>
      <w:r w:rsidR="00B87913" w:rsidRPr="005469CD">
        <w:rPr>
          <w:rFonts w:asciiTheme="majorHAnsi" w:hAnsiTheme="majorHAnsi" w:cstheme="majorHAnsi"/>
          <w:color w:val="800080"/>
          <w:sz w:val="24"/>
          <w:szCs w:val="24"/>
          <w:vertAlign w:val="superscript"/>
        </w:rPr>
        <w:t>3</w:t>
      </w:r>
      <w:r w:rsidRPr="005469CD">
        <w:rPr>
          <w:rFonts w:asciiTheme="majorHAnsi" w:hAnsiTheme="majorHAnsi" w:cstheme="majorHAnsi"/>
          <w:color w:val="800080"/>
          <w:sz w:val="24"/>
          <w:szCs w:val="24"/>
          <w:vertAlign w:val="superscript"/>
        </w:rPr>
        <w:t>]</w:t>
      </w:r>
      <w:r w:rsidRPr="005469CD">
        <w:rPr>
          <w:rFonts w:asciiTheme="majorHAnsi" w:hAnsiTheme="majorHAnsi" w:cstheme="majorHAnsi"/>
          <w:sz w:val="24"/>
          <w:szCs w:val="24"/>
        </w:rPr>
        <w:t xml:space="preserve"> </w:t>
      </w:r>
      <w:hyperlink r:id="rId16">
        <w:r w:rsidRPr="005469CD">
          <w:rPr>
            <w:rFonts w:asciiTheme="majorHAnsi" w:hAnsiTheme="majorHAnsi" w:cstheme="majorHAnsi"/>
            <w:color w:val="1155CC"/>
            <w:sz w:val="24"/>
            <w:szCs w:val="24"/>
            <w:u w:val="single"/>
          </w:rPr>
          <w:t>College of St. Catherine, Emeritus</w:t>
        </w:r>
      </w:hyperlink>
      <w:r w:rsidRPr="005469CD">
        <w:rPr>
          <w:rFonts w:asciiTheme="majorHAnsi" w:hAnsiTheme="majorHAnsi" w:cstheme="majorHAnsi"/>
          <w:color w:val="1155CC"/>
          <w:sz w:val="24"/>
          <w:szCs w:val="24"/>
          <w:u w:val="single"/>
        </w:rPr>
        <w:t>, St. Paul, MN, USA</w:t>
      </w:r>
    </w:p>
    <w:p w14:paraId="66B264C1" w14:textId="7B472F78" w:rsidR="0095116F" w:rsidRPr="005469CD" w:rsidRDefault="0095116F" w:rsidP="0095116F">
      <w:pPr>
        <w:rPr>
          <w:rFonts w:asciiTheme="majorHAnsi" w:hAnsiTheme="majorHAnsi" w:cstheme="majorHAnsi"/>
          <w:color w:val="1155CC"/>
          <w:sz w:val="24"/>
          <w:szCs w:val="24"/>
          <w:u w:val="single"/>
        </w:rPr>
      </w:pPr>
      <w:r w:rsidRPr="005469CD">
        <w:rPr>
          <w:rFonts w:asciiTheme="majorHAnsi" w:hAnsiTheme="majorHAnsi" w:cstheme="majorHAnsi"/>
          <w:color w:val="800080"/>
          <w:sz w:val="24"/>
          <w:szCs w:val="24"/>
          <w:vertAlign w:val="superscript"/>
        </w:rPr>
        <w:t>[</w:t>
      </w:r>
      <w:r w:rsidR="00B87913" w:rsidRPr="005469CD">
        <w:rPr>
          <w:rFonts w:asciiTheme="majorHAnsi" w:hAnsiTheme="majorHAnsi" w:cstheme="majorHAnsi"/>
          <w:color w:val="800080"/>
          <w:sz w:val="24"/>
          <w:szCs w:val="24"/>
          <w:vertAlign w:val="superscript"/>
        </w:rPr>
        <w:t>4</w:t>
      </w:r>
      <w:r w:rsidRPr="005469CD">
        <w:rPr>
          <w:rFonts w:asciiTheme="majorHAnsi" w:hAnsiTheme="majorHAnsi" w:cstheme="majorHAnsi"/>
          <w:color w:val="800080"/>
          <w:sz w:val="24"/>
          <w:szCs w:val="24"/>
          <w:vertAlign w:val="superscript"/>
        </w:rPr>
        <w:t>]</w:t>
      </w:r>
      <w:r w:rsidRPr="005469CD">
        <w:rPr>
          <w:rFonts w:asciiTheme="majorHAnsi" w:hAnsiTheme="majorHAnsi" w:cstheme="majorHAnsi"/>
          <w:sz w:val="24"/>
          <w:szCs w:val="24"/>
        </w:rPr>
        <w:t xml:space="preserve"> </w:t>
      </w:r>
      <w:hyperlink r:id="rId17">
        <w:r w:rsidRPr="005469CD">
          <w:rPr>
            <w:rFonts w:asciiTheme="majorHAnsi" w:hAnsiTheme="majorHAnsi" w:cstheme="majorHAnsi"/>
            <w:color w:val="1155CC"/>
            <w:sz w:val="24"/>
            <w:szCs w:val="24"/>
            <w:u w:val="single"/>
          </w:rPr>
          <w:t>Rothamsted Research</w:t>
        </w:r>
      </w:hyperlink>
      <w:r w:rsidRPr="005469CD">
        <w:rPr>
          <w:rFonts w:asciiTheme="majorHAnsi" w:hAnsiTheme="majorHAnsi" w:cstheme="majorHAnsi"/>
          <w:color w:val="1155CC"/>
          <w:sz w:val="24"/>
          <w:szCs w:val="24"/>
          <w:u w:val="single"/>
        </w:rPr>
        <w:t xml:space="preserve">, </w:t>
      </w:r>
      <w:proofErr w:type="spellStart"/>
      <w:r w:rsidRPr="005469CD">
        <w:rPr>
          <w:rFonts w:asciiTheme="majorHAnsi" w:hAnsiTheme="majorHAnsi" w:cstheme="majorHAnsi"/>
          <w:color w:val="1155CC"/>
          <w:sz w:val="24"/>
          <w:szCs w:val="24"/>
          <w:u w:val="single"/>
        </w:rPr>
        <w:t>Harpenden</w:t>
      </w:r>
      <w:proofErr w:type="spellEnd"/>
      <w:r w:rsidRPr="005469CD">
        <w:rPr>
          <w:rFonts w:asciiTheme="majorHAnsi" w:hAnsiTheme="majorHAnsi" w:cstheme="majorHAnsi"/>
          <w:color w:val="1155CC"/>
          <w:sz w:val="24"/>
          <w:szCs w:val="24"/>
          <w:u w:val="single"/>
        </w:rPr>
        <w:t xml:space="preserve">, </w:t>
      </w:r>
      <w:proofErr w:type="spellStart"/>
      <w:r w:rsidRPr="005469CD">
        <w:rPr>
          <w:rFonts w:asciiTheme="majorHAnsi" w:hAnsiTheme="majorHAnsi" w:cstheme="majorHAnsi"/>
          <w:color w:val="1155CC"/>
          <w:sz w:val="24"/>
          <w:szCs w:val="24"/>
          <w:u w:val="single"/>
        </w:rPr>
        <w:t>Herts.</w:t>
      </w:r>
      <w:proofErr w:type="spellEnd"/>
      <w:r w:rsidRPr="005469CD">
        <w:rPr>
          <w:rFonts w:asciiTheme="majorHAnsi" w:hAnsiTheme="majorHAnsi" w:cstheme="majorHAnsi"/>
          <w:color w:val="1155CC"/>
          <w:sz w:val="24"/>
          <w:szCs w:val="24"/>
          <w:u w:val="single"/>
        </w:rPr>
        <w:t>, UK</w:t>
      </w:r>
    </w:p>
    <w:p w14:paraId="24BD9B23" w14:textId="77777777" w:rsidR="00F10B6C" w:rsidRPr="005469CD" w:rsidRDefault="00F10B6C" w:rsidP="0095116F">
      <w:pPr>
        <w:rPr>
          <w:rFonts w:asciiTheme="majorHAnsi" w:hAnsiTheme="majorHAnsi" w:cstheme="majorHAnsi"/>
          <w:color w:val="1155CC"/>
          <w:sz w:val="24"/>
          <w:szCs w:val="24"/>
          <w:u w:val="single"/>
        </w:rPr>
      </w:pPr>
    </w:p>
    <w:p w14:paraId="0000007F" w14:textId="77777777" w:rsidR="00D33902" w:rsidRPr="005469CD" w:rsidRDefault="00D33902" w:rsidP="00B87913">
      <w:pPr>
        <w:rPr>
          <w:rFonts w:asciiTheme="majorHAnsi" w:hAnsiTheme="majorHAnsi" w:cstheme="majorHAnsi"/>
          <w:sz w:val="24"/>
          <w:szCs w:val="24"/>
        </w:rPr>
      </w:pPr>
    </w:p>
    <w:sectPr w:rsidR="00D33902" w:rsidRPr="005469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073D5"/>
    <w:multiLevelType w:val="hybridMultilevel"/>
    <w:tmpl w:val="9560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06767"/>
    <w:multiLevelType w:val="hybridMultilevel"/>
    <w:tmpl w:val="514A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012710">
    <w:abstractNumId w:val="0"/>
  </w:num>
  <w:num w:numId="2" w16cid:durableId="351880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02"/>
    <w:rsid w:val="0007518E"/>
    <w:rsid w:val="000773FA"/>
    <w:rsid w:val="00094345"/>
    <w:rsid w:val="000D377E"/>
    <w:rsid w:val="000D5C8B"/>
    <w:rsid w:val="001F181F"/>
    <w:rsid w:val="002343BA"/>
    <w:rsid w:val="00261A33"/>
    <w:rsid w:val="00276DF2"/>
    <w:rsid w:val="00277A5B"/>
    <w:rsid w:val="002B0514"/>
    <w:rsid w:val="002B6287"/>
    <w:rsid w:val="0031718A"/>
    <w:rsid w:val="0035547D"/>
    <w:rsid w:val="003B2990"/>
    <w:rsid w:val="0040286F"/>
    <w:rsid w:val="004A418B"/>
    <w:rsid w:val="004A586C"/>
    <w:rsid w:val="00503104"/>
    <w:rsid w:val="00513F67"/>
    <w:rsid w:val="005469CD"/>
    <w:rsid w:val="00572DAB"/>
    <w:rsid w:val="00612580"/>
    <w:rsid w:val="0061394B"/>
    <w:rsid w:val="00664C43"/>
    <w:rsid w:val="0067132A"/>
    <w:rsid w:val="00681540"/>
    <w:rsid w:val="00694308"/>
    <w:rsid w:val="006C34F7"/>
    <w:rsid w:val="006D4D72"/>
    <w:rsid w:val="006E2655"/>
    <w:rsid w:val="006F5CE6"/>
    <w:rsid w:val="00794D5B"/>
    <w:rsid w:val="007A38E3"/>
    <w:rsid w:val="007D3110"/>
    <w:rsid w:val="00812786"/>
    <w:rsid w:val="00837AE0"/>
    <w:rsid w:val="008471B2"/>
    <w:rsid w:val="00893D40"/>
    <w:rsid w:val="008B2FEC"/>
    <w:rsid w:val="008D12EF"/>
    <w:rsid w:val="009329C1"/>
    <w:rsid w:val="0095116F"/>
    <w:rsid w:val="009518FF"/>
    <w:rsid w:val="00993CF2"/>
    <w:rsid w:val="009B6DE4"/>
    <w:rsid w:val="00A7539F"/>
    <w:rsid w:val="00A76AAC"/>
    <w:rsid w:val="00AB44FF"/>
    <w:rsid w:val="00AE6A34"/>
    <w:rsid w:val="00B03389"/>
    <w:rsid w:val="00B03598"/>
    <w:rsid w:val="00B461E1"/>
    <w:rsid w:val="00B87913"/>
    <w:rsid w:val="00C003E9"/>
    <w:rsid w:val="00C911B9"/>
    <w:rsid w:val="00CE53F8"/>
    <w:rsid w:val="00D27722"/>
    <w:rsid w:val="00D33902"/>
    <w:rsid w:val="00D739F7"/>
    <w:rsid w:val="00DC6D80"/>
    <w:rsid w:val="00DF26FF"/>
    <w:rsid w:val="00E00B9A"/>
    <w:rsid w:val="00E15913"/>
    <w:rsid w:val="00EE4AD5"/>
    <w:rsid w:val="00F10B6C"/>
    <w:rsid w:val="00F30374"/>
    <w:rsid w:val="00F6577D"/>
    <w:rsid w:val="00F673E7"/>
    <w:rsid w:val="00F75D7C"/>
    <w:rsid w:val="00FD2F90"/>
    <w:rsid w:val="00FE5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9505"/>
  <w15:docId w15:val="{2739AE1D-AE34-9043-A9D5-00FA7336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B29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990"/>
    <w:rPr>
      <w:rFonts w:ascii="Segoe UI" w:hAnsi="Segoe UI" w:cs="Segoe UI"/>
      <w:sz w:val="18"/>
      <w:szCs w:val="18"/>
    </w:rPr>
  </w:style>
  <w:style w:type="paragraph" w:styleId="Revision">
    <w:name w:val="Revision"/>
    <w:hidden/>
    <w:uiPriority w:val="99"/>
    <w:semiHidden/>
    <w:rsid w:val="002B6287"/>
    <w:pPr>
      <w:spacing w:line="240" w:lineRule="auto"/>
    </w:pPr>
  </w:style>
  <w:style w:type="character" w:styleId="CommentReference">
    <w:name w:val="annotation reference"/>
    <w:basedOn w:val="DefaultParagraphFont"/>
    <w:uiPriority w:val="99"/>
    <w:semiHidden/>
    <w:unhideWhenUsed/>
    <w:rsid w:val="002B6287"/>
    <w:rPr>
      <w:sz w:val="16"/>
      <w:szCs w:val="16"/>
    </w:rPr>
  </w:style>
  <w:style w:type="paragraph" w:styleId="CommentText">
    <w:name w:val="annotation text"/>
    <w:basedOn w:val="Normal"/>
    <w:link w:val="CommentTextChar"/>
    <w:uiPriority w:val="99"/>
    <w:unhideWhenUsed/>
    <w:rsid w:val="002B6287"/>
    <w:pPr>
      <w:spacing w:line="240" w:lineRule="auto"/>
    </w:pPr>
    <w:rPr>
      <w:sz w:val="20"/>
      <w:szCs w:val="20"/>
    </w:rPr>
  </w:style>
  <w:style w:type="character" w:customStyle="1" w:styleId="CommentTextChar">
    <w:name w:val="Comment Text Char"/>
    <w:basedOn w:val="DefaultParagraphFont"/>
    <w:link w:val="CommentText"/>
    <w:uiPriority w:val="99"/>
    <w:rsid w:val="002B6287"/>
    <w:rPr>
      <w:sz w:val="20"/>
      <w:szCs w:val="20"/>
    </w:rPr>
  </w:style>
  <w:style w:type="paragraph" w:styleId="CommentSubject">
    <w:name w:val="annotation subject"/>
    <w:basedOn w:val="CommentText"/>
    <w:next w:val="CommentText"/>
    <w:link w:val="CommentSubjectChar"/>
    <w:uiPriority w:val="99"/>
    <w:semiHidden/>
    <w:unhideWhenUsed/>
    <w:rsid w:val="002B6287"/>
    <w:rPr>
      <w:b/>
      <w:bCs/>
    </w:rPr>
  </w:style>
  <w:style w:type="character" w:customStyle="1" w:styleId="CommentSubjectChar">
    <w:name w:val="Comment Subject Char"/>
    <w:basedOn w:val="CommentTextChar"/>
    <w:link w:val="CommentSubject"/>
    <w:uiPriority w:val="99"/>
    <w:semiHidden/>
    <w:rsid w:val="002B6287"/>
    <w:rPr>
      <w:b/>
      <w:bCs/>
      <w:sz w:val="20"/>
      <w:szCs w:val="20"/>
    </w:rPr>
  </w:style>
  <w:style w:type="character" w:styleId="Hyperlink">
    <w:name w:val="Hyperlink"/>
    <w:basedOn w:val="DefaultParagraphFont"/>
    <w:uiPriority w:val="99"/>
    <w:unhideWhenUsed/>
    <w:rsid w:val="00B03389"/>
    <w:rPr>
      <w:color w:val="0000FF"/>
      <w:u w:val="single"/>
    </w:rPr>
  </w:style>
  <w:style w:type="character" w:styleId="UnresolvedMention">
    <w:name w:val="Unresolved Mention"/>
    <w:basedOn w:val="DefaultParagraphFont"/>
    <w:uiPriority w:val="99"/>
    <w:semiHidden/>
    <w:unhideWhenUsed/>
    <w:rsid w:val="00B03389"/>
    <w:rPr>
      <w:color w:val="605E5C"/>
      <w:shd w:val="clear" w:color="auto" w:fill="E1DFDD"/>
    </w:rPr>
  </w:style>
  <w:style w:type="character" w:customStyle="1" w:styleId="hgkelc">
    <w:name w:val="hgkelc"/>
    <w:basedOn w:val="DefaultParagraphFont"/>
    <w:rsid w:val="0095116F"/>
  </w:style>
  <w:style w:type="paragraph" w:styleId="ListParagraph">
    <w:name w:val="List Paragraph"/>
    <w:basedOn w:val="Normal"/>
    <w:uiPriority w:val="34"/>
    <w:qFormat/>
    <w:rsid w:val="008D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5021">
      <w:bodyDiv w:val="1"/>
      <w:marLeft w:val="0"/>
      <w:marRight w:val="0"/>
      <w:marTop w:val="0"/>
      <w:marBottom w:val="0"/>
      <w:divBdr>
        <w:top w:val="none" w:sz="0" w:space="0" w:color="auto"/>
        <w:left w:val="none" w:sz="0" w:space="0" w:color="auto"/>
        <w:bottom w:val="none" w:sz="0" w:space="0" w:color="auto"/>
        <w:right w:val="none" w:sz="0" w:space="0" w:color="auto"/>
      </w:divBdr>
      <w:divsChild>
        <w:div w:id="1894543188">
          <w:marLeft w:val="0"/>
          <w:marRight w:val="0"/>
          <w:marTop w:val="0"/>
          <w:marBottom w:val="0"/>
          <w:divBdr>
            <w:top w:val="none" w:sz="0" w:space="0" w:color="auto"/>
            <w:left w:val="none" w:sz="0" w:space="0" w:color="auto"/>
            <w:bottom w:val="none" w:sz="0" w:space="0" w:color="auto"/>
            <w:right w:val="none" w:sz="0" w:space="0" w:color="auto"/>
          </w:divBdr>
        </w:div>
      </w:divsChild>
    </w:div>
    <w:div w:id="270867637">
      <w:bodyDiv w:val="1"/>
      <w:marLeft w:val="0"/>
      <w:marRight w:val="0"/>
      <w:marTop w:val="0"/>
      <w:marBottom w:val="0"/>
      <w:divBdr>
        <w:top w:val="none" w:sz="0" w:space="0" w:color="auto"/>
        <w:left w:val="none" w:sz="0" w:space="0" w:color="auto"/>
        <w:bottom w:val="none" w:sz="0" w:space="0" w:color="auto"/>
        <w:right w:val="none" w:sz="0" w:space="0" w:color="auto"/>
      </w:divBdr>
    </w:div>
    <w:div w:id="812868388">
      <w:bodyDiv w:val="1"/>
      <w:marLeft w:val="0"/>
      <w:marRight w:val="0"/>
      <w:marTop w:val="0"/>
      <w:marBottom w:val="0"/>
      <w:divBdr>
        <w:top w:val="none" w:sz="0" w:space="0" w:color="auto"/>
        <w:left w:val="none" w:sz="0" w:space="0" w:color="auto"/>
        <w:bottom w:val="none" w:sz="0" w:space="0" w:color="auto"/>
        <w:right w:val="none" w:sz="0" w:space="0" w:color="auto"/>
      </w:divBdr>
    </w:div>
    <w:div w:id="142542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lobaldietarydatabase.org/our-data/data-visualizations/dietary-data-country" TargetMode="External"/><Relationship Id="rId13" Type="http://schemas.openxmlformats.org/officeDocument/2006/relationships/hyperlink" Target="https://doi.org/10.1016/j.jcs.2017.03.0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bi.nlm.nih.gov/pmc/articles/PMC4998136/" TargetMode="External"/><Relationship Id="rId17" Type="http://schemas.openxmlformats.org/officeDocument/2006/relationships/hyperlink" Target="https://www.researchgate.net/profile/Alison-Lovegrove-2" TargetMode="External"/><Relationship Id="rId2" Type="http://schemas.openxmlformats.org/officeDocument/2006/relationships/customXml" Target="../customXml/item2.xml"/><Relationship Id="rId16" Type="http://schemas.openxmlformats.org/officeDocument/2006/relationships/hyperlink" Target="https://www.researchgate.net/profile/Julie-Jones-8/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90/nu9020153" TargetMode="External"/><Relationship Id="rId5" Type="http://schemas.openxmlformats.org/officeDocument/2006/relationships/styles" Target="styles.xml"/><Relationship Id="rId15" Type="http://schemas.openxmlformats.org/officeDocument/2006/relationships/hyperlink" Target="https://www.researchgate.net/profile/Steve-Greenspan" TargetMode="External"/><Relationship Id="rId10" Type="http://schemas.openxmlformats.org/officeDocument/2006/relationships/hyperlink" Target="https://www.cdc.gov/nchs/products/databriefs/db341.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doi.org/10.3390/nu11112617" TargetMode="External"/><Relationship Id="rId14" Type="http://schemas.openxmlformats.org/officeDocument/2006/relationships/hyperlink" Target="https://www.researchgate.net/profile/P-Baenzi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59B6BD2AB6D49978A93C681357C0B" ma:contentTypeVersion="14" ma:contentTypeDescription="Create a new document." ma:contentTypeScope="" ma:versionID="5a99c328d6fa947808bd9110cfba09ac">
  <xsd:schema xmlns:xsd="http://www.w3.org/2001/XMLSchema" xmlns:xs="http://www.w3.org/2001/XMLSchema" xmlns:p="http://schemas.microsoft.com/office/2006/metadata/properties" xmlns:ns3="ef5dacf0-5ca2-4303-929b-18ae930ec0ef" xmlns:ns4="acb1c047-0ec5-49d2-9ffa-0cda16ada498" targetNamespace="http://schemas.microsoft.com/office/2006/metadata/properties" ma:root="true" ma:fieldsID="45cfaa8985453a0f96722c0bbe3ffa87" ns3:_="" ns4:_="">
    <xsd:import namespace="ef5dacf0-5ca2-4303-929b-18ae930ec0ef"/>
    <xsd:import namespace="acb1c047-0ec5-49d2-9ffa-0cda16ada4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dacf0-5ca2-4303-929b-18ae930ec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b1c047-0ec5-49d2-9ffa-0cda16ada4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DD624-1158-498E-BD1C-9B5531124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dacf0-5ca2-4303-929b-18ae930ec0ef"/>
    <ds:schemaRef ds:uri="acb1c047-0ec5-49d2-9ffa-0cda16a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A8C3C-47D9-4758-9B39-BA2CBC23A9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21484F-1B8B-466D-AB35-E5F865EAE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1767</Words>
  <Characters>10074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Mullen</dc:creator>
  <cp:lastModifiedBy>Chris Whitfield</cp:lastModifiedBy>
  <cp:revision>2</cp:revision>
  <cp:lastPrinted>2022-11-15T13:04:00Z</cp:lastPrinted>
  <dcterms:created xsi:type="dcterms:W3CDTF">2023-10-03T08:32:00Z</dcterms:created>
  <dcterms:modified xsi:type="dcterms:W3CDTF">2023-10-03T08:32:00Z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0x0101003C559B6BD2AB6D49978A93C681357C0B</vt:lpwstr>
  </property>
</Properties>
</file>