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A106C" w14:textId="24809C1B" w:rsidR="00BD00CF" w:rsidRPr="00BD00CF" w:rsidRDefault="00BD00CF" w:rsidP="00111045">
      <w:pPr>
        <w:spacing w:line="360" w:lineRule="auto"/>
        <w:rPr>
          <w:b/>
          <w:bCs/>
          <w:sz w:val="24"/>
          <w:szCs w:val="24"/>
        </w:rPr>
      </w:pPr>
      <w:r w:rsidRPr="00BD00CF">
        <w:rPr>
          <w:b/>
          <w:bCs/>
          <w:sz w:val="24"/>
          <w:szCs w:val="24"/>
        </w:rPr>
        <w:t xml:space="preserve">Construction of a generalised farm typology to aid </w:t>
      </w:r>
      <w:r w:rsidR="002C7A01">
        <w:rPr>
          <w:b/>
          <w:bCs/>
          <w:sz w:val="24"/>
          <w:szCs w:val="24"/>
        </w:rPr>
        <w:t>selection, targeting and scaling</w:t>
      </w:r>
      <w:r w:rsidR="007A15A9">
        <w:rPr>
          <w:b/>
          <w:bCs/>
          <w:sz w:val="24"/>
          <w:szCs w:val="24"/>
        </w:rPr>
        <w:t xml:space="preserve"> </w:t>
      </w:r>
      <w:r w:rsidR="007A15A9" w:rsidRPr="007A15A9">
        <w:rPr>
          <w:b/>
          <w:bCs/>
          <w:color w:val="FF0000"/>
          <w:sz w:val="24"/>
          <w:szCs w:val="24"/>
        </w:rPr>
        <w:t>of onfarm research</w:t>
      </w:r>
    </w:p>
    <w:p w14:paraId="05619F7A" w14:textId="03C18CE0" w:rsidR="006A20B7" w:rsidRPr="006A20B7" w:rsidRDefault="006A20B7" w:rsidP="00111045">
      <w:pPr>
        <w:spacing w:line="360" w:lineRule="auto"/>
        <w:rPr>
          <w:vertAlign w:val="superscript"/>
          <w:lang w:val="en-US"/>
        </w:rPr>
      </w:pPr>
      <w:r>
        <w:t>Kirsty L. Hassall</w:t>
      </w:r>
      <w:r w:rsidRPr="006A20B7">
        <w:rPr>
          <w:vertAlign w:val="superscript"/>
        </w:rPr>
        <w:t>1</w:t>
      </w:r>
      <w:r>
        <w:t>,</w:t>
      </w:r>
      <w:r w:rsidRPr="006A20B7">
        <w:rPr>
          <w:lang w:val="en-US"/>
        </w:rPr>
        <w:t xml:space="preserve"> </w:t>
      </w:r>
      <w:r>
        <w:rPr>
          <w:lang w:val="en-US"/>
        </w:rPr>
        <w:t>Fr</w:t>
      </w:r>
      <w:r w:rsidR="00F6522E">
        <w:rPr>
          <w:lang w:val="en-US"/>
        </w:rPr>
        <w:t>é</w:t>
      </w:r>
      <w:r>
        <w:rPr>
          <w:lang w:val="en-US"/>
        </w:rPr>
        <w:t>d</w:t>
      </w:r>
      <w:r w:rsidR="00F6522E">
        <w:rPr>
          <w:lang w:val="en-US"/>
        </w:rPr>
        <w:t>é</w:t>
      </w:r>
      <w:r>
        <w:rPr>
          <w:lang w:val="en-US"/>
        </w:rPr>
        <w:t>ric</w:t>
      </w:r>
      <w:r w:rsidRPr="006A20B7">
        <w:rPr>
          <w:lang w:val="en-US"/>
        </w:rPr>
        <w:t xml:space="preserve"> </w:t>
      </w:r>
      <w:r>
        <w:rPr>
          <w:lang w:val="en-US"/>
        </w:rPr>
        <w:t>Baudron</w:t>
      </w:r>
      <w:r w:rsidRPr="006A20B7">
        <w:rPr>
          <w:vertAlign w:val="superscript"/>
          <w:lang w:val="en-US"/>
        </w:rPr>
        <w:t>2</w:t>
      </w:r>
      <w:r>
        <w:rPr>
          <w:lang w:val="en-US"/>
        </w:rPr>
        <w:t xml:space="preserve">, </w:t>
      </w:r>
      <w:r w:rsidR="008B1377">
        <w:rPr>
          <w:lang w:val="en-US"/>
        </w:rPr>
        <w:t>Chloe MacLaren</w:t>
      </w:r>
      <w:r w:rsidR="008B1377">
        <w:rPr>
          <w:vertAlign w:val="superscript"/>
          <w:lang w:val="en-US"/>
        </w:rPr>
        <w:t>1</w:t>
      </w:r>
      <w:r w:rsidR="008B1377">
        <w:rPr>
          <w:lang w:val="en-US"/>
        </w:rPr>
        <w:t xml:space="preserve">, </w:t>
      </w:r>
      <w:r>
        <w:rPr>
          <w:lang w:val="en-US"/>
        </w:rPr>
        <w:t>Jill E.</w:t>
      </w:r>
      <w:r w:rsidRPr="006A20B7">
        <w:rPr>
          <w:lang w:val="en-US"/>
        </w:rPr>
        <w:t xml:space="preserve"> </w:t>
      </w:r>
      <w:r>
        <w:rPr>
          <w:lang w:val="en-US"/>
        </w:rPr>
        <w:t>Cairns</w:t>
      </w:r>
      <w:r>
        <w:rPr>
          <w:vertAlign w:val="superscript"/>
          <w:lang w:val="en-US"/>
        </w:rPr>
        <w:t>2</w:t>
      </w:r>
      <w:r>
        <w:rPr>
          <w:lang w:val="en-US"/>
        </w:rPr>
        <w:t>, Thokozile</w:t>
      </w:r>
      <w:r w:rsidRPr="006A20B7">
        <w:rPr>
          <w:lang w:val="en-US"/>
        </w:rPr>
        <w:t xml:space="preserve"> </w:t>
      </w:r>
      <w:r>
        <w:rPr>
          <w:lang w:val="en-US"/>
        </w:rPr>
        <w:t>Ndhlela</w:t>
      </w:r>
      <w:r>
        <w:rPr>
          <w:vertAlign w:val="superscript"/>
          <w:lang w:val="en-US"/>
        </w:rPr>
        <w:t>2</w:t>
      </w:r>
      <w:r>
        <w:rPr>
          <w:lang w:val="en-US"/>
        </w:rPr>
        <w:t>,</w:t>
      </w:r>
      <w:r w:rsidRPr="006A20B7">
        <w:rPr>
          <w:lang w:val="en-US"/>
        </w:rPr>
        <w:t xml:space="preserve"> </w:t>
      </w:r>
      <w:r>
        <w:rPr>
          <w:lang w:val="en-US"/>
        </w:rPr>
        <w:t xml:space="preserve">Steve </w:t>
      </w:r>
      <w:r w:rsidR="00221B34">
        <w:rPr>
          <w:lang w:val="en-US"/>
        </w:rPr>
        <w:t xml:space="preserve">P. </w:t>
      </w:r>
      <w:r>
        <w:rPr>
          <w:lang w:val="en-US"/>
        </w:rPr>
        <w:t>McGrath</w:t>
      </w:r>
      <w:r>
        <w:rPr>
          <w:vertAlign w:val="superscript"/>
          <w:lang w:val="en-US"/>
        </w:rPr>
        <w:t>3</w:t>
      </w:r>
      <w:r>
        <w:rPr>
          <w:lang w:val="en-US"/>
        </w:rPr>
        <w:t>, Isaiah</w:t>
      </w:r>
      <w:r w:rsidRPr="006A20B7">
        <w:rPr>
          <w:lang w:val="en-US"/>
        </w:rPr>
        <w:t xml:space="preserve"> </w:t>
      </w:r>
      <w:r>
        <w:rPr>
          <w:lang w:val="en-US"/>
        </w:rPr>
        <w:t>Nyagumbo</w:t>
      </w:r>
      <w:r>
        <w:rPr>
          <w:vertAlign w:val="superscript"/>
          <w:lang w:val="en-US"/>
        </w:rPr>
        <w:t>3</w:t>
      </w:r>
      <w:r>
        <w:rPr>
          <w:lang w:val="en-US"/>
        </w:rPr>
        <w:t>,</w:t>
      </w:r>
      <w:r w:rsidRPr="006A20B7">
        <w:rPr>
          <w:lang w:val="en-US"/>
        </w:rPr>
        <w:t xml:space="preserve"> </w:t>
      </w:r>
      <w:r>
        <w:rPr>
          <w:lang w:val="en-US"/>
        </w:rPr>
        <w:t xml:space="preserve">Stephan </w:t>
      </w:r>
      <w:r w:rsidR="00221B34">
        <w:rPr>
          <w:lang w:val="en-US"/>
        </w:rPr>
        <w:t xml:space="preserve">M. </w:t>
      </w:r>
      <w:r>
        <w:rPr>
          <w:lang w:val="en-US"/>
        </w:rPr>
        <w:t>Haefele</w:t>
      </w:r>
      <w:r>
        <w:rPr>
          <w:vertAlign w:val="superscript"/>
          <w:lang w:val="en-US"/>
        </w:rPr>
        <w:t>3</w:t>
      </w:r>
    </w:p>
    <w:p w14:paraId="7C8C2035" w14:textId="66623EC9" w:rsidR="006A20B7" w:rsidRDefault="00BD00CF" w:rsidP="00111045">
      <w:pPr>
        <w:pStyle w:val="ListParagraph"/>
        <w:numPr>
          <w:ilvl w:val="0"/>
          <w:numId w:val="2"/>
        </w:numPr>
        <w:spacing w:line="360" w:lineRule="auto"/>
      </w:pPr>
      <w:r>
        <w:t>Intelligent Data Ecosystems</w:t>
      </w:r>
      <w:r w:rsidR="006A20B7">
        <w:t>, Rothamsted Research, Harpenden, AL5 2JQ</w:t>
      </w:r>
    </w:p>
    <w:p w14:paraId="4D007C8E" w14:textId="7E3994CC" w:rsidR="006A20B7" w:rsidRPr="006A20B7" w:rsidRDefault="006A20B7" w:rsidP="00111045">
      <w:pPr>
        <w:pStyle w:val="ListParagraph"/>
        <w:numPr>
          <w:ilvl w:val="0"/>
          <w:numId w:val="2"/>
        </w:numPr>
        <w:spacing w:line="360" w:lineRule="auto"/>
      </w:pPr>
      <w:r w:rsidRPr="006A20B7">
        <w:t>International Maize and Wheat Improvement Center (CIMMYT), Harare, Zimbabwe</w:t>
      </w:r>
    </w:p>
    <w:p w14:paraId="3F0BD9DD" w14:textId="783E54D3" w:rsidR="006A20B7" w:rsidRDefault="006A20B7" w:rsidP="00111045">
      <w:pPr>
        <w:pStyle w:val="ListParagraph"/>
        <w:numPr>
          <w:ilvl w:val="0"/>
          <w:numId w:val="2"/>
        </w:numPr>
        <w:spacing w:line="360" w:lineRule="auto"/>
      </w:pPr>
      <w:r>
        <w:t xml:space="preserve">Sustainable </w:t>
      </w:r>
      <w:r w:rsidR="00BD00CF">
        <w:t>Soils and Crops</w:t>
      </w:r>
      <w:r>
        <w:t>, Rothamsted Research, Harpenden, AL5 2JQ</w:t>
      </w:r>
    </w:p>
    <w:p w14:paraId="6607DA9B" w14:textId="0D62917F" w:rsidR="006A20B7" w:rsidRDefault="006A20B7" w:rsidP="00111045">
      <w:pPr>
        <w:spacing w:line="360" w:lineRule="auto"/>
      </w:pPr>
      <w:r>
        <w:t xml:space="preserve">Contact: </w:t>
      </w:r>
      <w:hyperlink r:id="rId8" w:history="1">
        <w:r w:rsidRPr="005349F5">
          <w:rPr>
            <w:rStyle w:val="Hyperlink"/>
          </w:rPr>
          <w:t>kirsty.hassall@rothamsted.ac.uk</w:t>
        </w:r>
      </w:hyperlink>
    </w:p>
    <w:p w14:paraId="7B2A9899" w14:textId="4C5878BC" w:rsidR="006A20B7" w:rsidRDefault="006A20B7" w:rsidP="00111045">
      <w:pPr>
        <w:spacing w:line="360" w:lineRule="auto"/>
      </w:pPr>
      <w:r>
        <w:t>ORCiD</w:t>
      </w:r>
    </w:p>
    <w:p w14:paraId="12686439" w14:textId="594EA6ED" w:rsidR="00E2355C" w:rsidRPr="00E2355C" w:rsidRDefault="00E2355C" w:rsidP="00E2355C">
      <w:pPr>
        <w:spacing w:after="0" w:line="276" w:lineRule="auto"/>
        <w:rPr>
          <w:rFonts w:cstheme="minorHAnsi"/>
        </w:rPr>
      </w:pPr>
      <w:r w:rsidRPr="00E2355C">
        <w:t>Kirsty L Hassall:</w:t>
      </w:r>
      <w:r w:rsidRPr="00E2355C">
        <w:rPr>
          <w:rStyle w:val="Hyperlink"/>
          <w:rFonts w:cstheme="minorHAnsi"/>
          <w:color w:val="auto"/>
          <w:u w:val="none"/>
        </w:rPr>
        <w:t xml:space="preserve"> </w:t>
      </w:r>
      <w:r w:rsidR="009B57F9">
        <w:rPr>
          <w:rStyle w:val="Hyperlink"/>
          <w:rFonts w:cstheme="minorHAnsi"/>
          <w:color w:val="auto"/>
          <w:u w:val="none"/>
        </w:rPr>
        <w:tab/>
      </w:r>
      <w:r w:rsidR="009B57F9">
        <w:rPr>
          <w:rStyle w:val="Hyperlink"/>
          <w:rFonts w:cstheme="minorHAnsi"/>
          <w:color w:val="auto"/>
          <w:u w:val="none"/>
        </w:rPr>
        <w:tab/>
      </w:r>
      <w:hyperlink r:id="rId9" w:history="1">
        <w:r w:rsidR="009B57F9" w:rsidRPr="00AD526A">
          <w:rPr>
            <w:rStyle w:val="Hyperlink"/>
            <w:rFonts w:cstheme="minorHAnsi"/>
          </w:rPr>
          <w:t>https://orcid.org/0000-0003-0033-1136</w:t>
        </w:r>
      </w:hyperlink>
      <w:r w:rsidRPr="00E2355C">
        <w:rPr>
          <w:rStyle w:val="Hyperlink"/>
          <w:rFonts w:cstheme="minorHAnsi"/>
          <w:color w:val="auto"/>
          <w:u w:val="none"/>
        </w:rPr>
        <w:t xml:space="preserve"> </w:t>
      </w:r>
    </w:p>
    <w:p w14:paraId="30141FB9" w14:textId="022013FD" w:rsidR="00E2355C" w:rsidRPr="003B1793" w:rsidRDefault="00E2355C" w:rsidP="00E2355C">
      <w:pPr>
        <w:spacing w:after="0" w:line="276" w:lineRule="auto"/>
        <w:jc w:val="both"/>
        <w:rPr>
          <w:rStyle w:val="Hyperlink"/>
          <w:rFonts w:cstheme="minorHAnsi"/>
          <w:color w:val="auto"/>
          <w:u w:val="none"/>
          <w:lang w:val="fr-FR"/>
        </w:rPr>
      </w:pPr>
      <w:r w:rsidRPr="003B1793">
        <w:rPr>
          <w:rFonts w:cstheme="minorHAnsi"/>
          <w:lang w:val="fr-FR"/>
        </w:rPr>
        <w:t xml:space="preserve">Frédéric Baudron: </w:t>
      </w:r>
      <w:r w:rsidR="009B57F9" w:rsidRPr="003B1793">
        <w:rPr>
          <w:rFonts w:cstheme="minorHAnsi"/>
          <w:lang w:val="fr-FR"/>
        </w:rPr>
        <w:tab/>
      </w:r>
      <w:hyperlink r:id="rId10" w:history="1">
        <w:r w:rsidR="009B57F9" w:rsidRPr="003B1793">
          <w:rPr>
            <w:rStyle w:val="Hyperlink"/>
            <w:rFonts w:cstheme="minorHAnsi"/>
            <w:lang w:val="fr-FR"/>
          </w:rPr>
          <w:t>https://orcid.org/0000-0002-5648-2083</w:t>
        </w:r>
      </w:hyperlink>
    </w:p>
    <w:p w14:paraId="1E6847C7" w14:textId="6BB7BFB3" w:rsidR="00E2355C" w:rsidRPr="00E2355C" w:rsidRDefault="00E2355C" w:rsidP="00E2355C">
      <w:pPr>
        <w:spacing w:after="0" w:line="276" w:lineRule="auto"/>
        <w:jc w:val="both"/>
        <w:rPr>
          <w:rFonts w:cstheme="minorHAnsi"/>
        </w:rPr>
      </w:pPr>
      <w:r w:rsidRPr="00E2355C">
        <w:rPr>
          <w:rStyle w:val="Hyperlink"/>
          <w:rFonts w:cstheme="minorHAnsi"/>
          <w:color w:val="auto"/>
          <w:u w:val="none"/>
        </w:rPr>
        <w:t>Chloe MacLaren:</w:t>
      </w:r>
      <w:r w:rsidR="000F73BC" w:rsidRPr="000F73BC">
        <w:t xml:space="preserve"> </w:t>
      </w:r>
      <w:r w:rsidR="009B57F9">
        <w:tab/>
      </w:r>
      <w:hyperlink r:id="rId11" w:history="1">
        <w:r w:rsidR="009B57F9" w:rsidRPr="00AD526A">
          <w:rPr>
            <w:rStyle w:val="Hyperlink"/>
          </w:rPr>
          <w:t>https://orcid.org/</w:t>
        </w:r>
        <w:r w:rsidR="009B57F9" w:rsidRPr="00AD526A">
          <w:rPr>
            <w:rStyle w:val="Hyperlink"/>
            <w:rFonts w:cstheme="minorHAnsi"/>
          </w:rPr>
          <w:t>0000-0002-6700-3754</w:t>
        </w:r>
      </w:hyperlink>
      <w:r w:rsidR="009B57F9">
        <w:rPr>
          <w:rStyle w:val="Hyperlink"/>
          <w:rFonts w:cstheme="minorHAnsi"/>
          <w:color w:val="auto"/>
          <w:u w:val="none"/>
        </w:rPr>
        <w:t xml:space="preserve"> </w:t>
      </w:r>
    </w:p>
    <w:p w14:paraId="1257DF02" w14:textId="0BE09C5D" w:rsidR="00E2355C" w:rsidRPr="00E2355C" w:rsidRDefault="00E2355C" w:rsidP="00E2355C">
      <w:pPr>
        <w:spacing w:after="0" w:line="276" w:lineRule="auto"/>
        <w:jc w:val="both"/>
        <w:rPr>
          <w:rFonts w:cstheme="minorHAnsi"/>
          <w:lang w:val="es-ES"/>
        </w:rPr>
      </w:pPr>
      <w:r w:rsidRPr="00E2355C">
        <w:rPr>
          <w:rFonts w:cstheme="minorHAnsi"/>
          <w:lang w:val="es-ES"/>
        </w:rPr>
        <w:t xml:space="preserve">Jill E Cairns: </w:t>
      </w:r>
      <w:r w:rsidR="009B57F9">
        <w:rPr>
          <w:rFonts w:cstheme="minorHAnsi"/>
          <w:lang w:val="es-ES"/>
        </w:rPr>
        <w:tab/>
      </w:r>
      <w:r w:rsidR="009B57F9">
        <w:rPr>
          <w:rFonts w:cstheme="minorHAnsi"/>
          <w:lang w:val="es-ES"/>
        </w:rPr>
        <w:tab/>
      </w:r>
      <w:hyperlink r:id="rId12" w:history="1">
        <w:r w:rsidR="009B57F9" w:rsidRPr="00AD526A">
          <w:rPr>
            <w:rStyle w:val="Hyperlink"/>
            <w:rFonts w:cstheme="minorHAnsi"/>
            <w:lang w:val="es-ES"/>
          </w:rPr>
          <w:t>https://orcid.org/0000-0002-2735-3485</w:t>
        </w:r>
      </w:hyperlink>
      <w:r w:rsidRPr="00E2355C">
        <w:rPr>
          <w:rFonts w:cstheme="minorHAnsi"/>
          <w:lang w:val="es-ES"/>
        </w:rPr>
        <w:t xml:space="preserve"> </w:t>
      </w:r>
    </w:p>
    <w:p w14:paraId="70FCEC96" w14:textId="094D2C9B" w:rsidR="00E2355C" w:rsidRPr="003B1793" w:rsidRDefault="00E2355C" w:rsidP="00E2355C">
      <w:pPr>
        <w:spacing w:after="0" w:line="276" w:lineRule="auto"/>
        <w:jc w:val="both"/>
        <w:rPr>
          <w:rFonts w:cstheme="minorHAnsi"/>
          <w:vertAlign w:val="superscript"/>
          <w:lang w:val="es-ES"/>
        </w:rPr>
      </w:pPr>
      <w:r w:rsidRPr="003B1793">
        <w:rPr>
          <w:rFonts w:cstheme="minorHAnsi"/>
          <w:lang w:val="es-ES"/>
        </w:rPr>
        <w:t xml:space="preserve">Thokozile Ndhlela: </w:t>
      </w:r>
      <w:r w:rsidR="009B57F9" w:rsidRPr="003B1793">
        <w:rPr>
          <w:rFonts w:cstheme="minorHAnsi"/>
          <w:lang w:val="es-ES"/>
        </w:rPr>
        <w:tab/>
      </w:r>
      <w:hyperlink r:id="rId13" w:history="1">
        <w:r w:rsidR="009B57F9" w:rsidRPr="003B1793">
          <w:rPr>
            <w:rStyle w:val="Hyperlink"/>
            <w:rFonts w:cstheme="minorHAnsi"/>
            <w:lang w:val="es-ES"/>
          </w:rPr>
          <w:t>https://orcid.org/0000-0003-4461-3629</w:t>
        </w:r>
      </w:hyperlink>
      <w:r w:rsidRPr="003B1793">
        <w:rPr>
          <w:rFonts w:cstheme="minorHAnsi"/>
          <w:lang w:val="es-ES"/>
        </w:rPr>
        <w:t xml:space="preserve"> </w:t>
      </w:r>
    </w:p>
    <w:p w14:paraId="320D21DE" w14:textId="6D9A5C4E" w:rsidR="00E2355C" w:rsidRPr="003B1793" w:rsidRDefault="00E2355C" w:rsidP="00E2355C">
      <w:pPr>
        <w:spacing w:after="0" w:line="276" w:lineRule="auto"/>
        <w:jc w:val="both"/>
        <w:rPr>
          <w:rFonts w:cstheme="minorHAnsi"/>
          <w:vertAlign w:val="superscript"/>
          <w:lang w:val="es-ES"/>
        </w:rPr>
      </w:pPr>
      <w:r w:rsidRPr="003B1793">
        <w:rPr>
          <w:rFonts w:cstheme="minorHAnsi"/>
          <w:lang w:val="es-ES"/>
        </w:rPr>
        <w:t xml:space="preserve">Isaiah Nyagumbo: </w:t>
      </w:r>
      <w:r w:rsidR="009B57F9" w:rsidRPr="003B1793">
        <w:rPr>
          <w:rFonts w:cstheme="minorHAnsi"/>
          <w:lang w:val="es-ES"/>
        </w:rPr>
        <w:tab/>
      </w:r>
      <w:hyperlink r:id="rId14" w:history="1">
        <w:r w:rsidR="009B57F9" w:rsidRPr="003B1793">
          <w:rPr>
            <w:rStyle w:val="Hyperlink"/>
            <w:rFonts w:cstheme="minorHAnsi"/>
            <w:lang w:val="es-ES"/>
          </w:rPr>
          <w:t>https://orcid.org/0000-0003-0180-234X</w:t>
        </w:r>
      </w:hyperlink>
      <w:r w:rsidRPr="003B1793">
        <w:rPr>
          <w:rFonts w:cstheme="minorHAnsi"/>
          <w:lang w:val="es-ES"/>
        </w:rPr>
        <w:t xml:space="preserve"> </w:t>
      </w:r>
    </w:p>
    <w:p w14:paraId="3CD9174B" w14:textId="382A3BED" w:rsidR="00E2355C" w:rsidRPr="00E2355C" w:rsidRDefault="00E2355C" w:rsidP="00E2355C">
      <w:pPr>
        <w:spacing w:after="0" w:line="276" w:lineRule="auto"/>
        <w:jc w:val="both"/>
        <w:rPr>
          <w:rFonts w:cstheme="minorHAnsi"/>
        </w:rPr>
      </w:pPr>
      <w:r w:rsidRPr="00E2355C">
        <w:rPr>
          <w:rFonts w:cstheme="minorHAnsi"/>
        </w:rPr>
        <w:t xml:space="preserve">Steve P. </w:t>
      </w:r>
      <w:r w:rsidR="000F73BC">
        <w:rPr>
          <w:rFonts w:cstheme="minorHAnsi"/>
        </w:rPr>
        <w:t>Mc</w:t>
      </w:r>
      <w:r w:rsidRPr="00E2355C">
        <w:rPr>
          <w:rFonts w:cstheme="minorHAnsi"/>
        </w:rPr>
        <w:t xml:space="preserve">Grath: </w:t>
      </w:r>
      <w:r w:rsidR="009B57F9">
        <w:rPr>
          <w:rFonts w:cstheme="minorHAnsi"/>
        </w:rPr>
        <w:tab/>
      </w:r>
      <w:hyperlink r:id="rId15" w:history="1">
        <w:r w:rsidR="009B57F9" w:rsidRPr="00AD526A">
          <w:rPr>
            <w:rStyle w:val="Hyperlink"/>
            <w:rFonts w:cstheme="minorHAnsi"/>
          </w:rPr>
          <w:t>https://orcid.org/0000-0003-0952-8947</w:t>
        </w:r>
      </w:hyperlink>
      <w:r w:rsidRPr="00E2355C">
        <w:rPr>
          <w:rFonts w:cstheme="minorHAnsi"/>
        </w:rPr>
        <w:t xml:space="preserve"> </w:t>
      </w:r>
    </w:p>
    <w:p w14:paraId="0C5422EA" w14:textId="7CB0C387" w:rsidR="006A20B7" w:rsidRDefault="00E2355C" w:rsidP="009B57F9">
      <w:pPr>
        <w:spacing w:after="0" w:line="276" w:lineRule="auto"/>
      </w:pPr>
      <w:r w:rsidRPr="00E2355C">
        <w:rPr>
          <w:rFonts w:cstheme="minorHAnsi"/>
          <w:lang w:val="en-ZW"/>
        </w:rPr>
        <w:t xml:space="preserve">Stephan Haefele: </w:t>
      </w:r>
      <w:r w:rsidR="009B57F9">
        <w:rPr>
          <w:rFonts w:cstheme="minorHAnsi"/>
          <w:lang w:val="en-ZW"/>
        </w:rPr>
        <w:tab/>
      </w:r>
      <w:r w:rsidRPr="003F1E7A">
        <w:rPr>
          <w:rStyle w:val="Hyperlink"/>
          <w:lang w:val="es-ES"/>
        </w:rPr>
        <w:t>https://orcid.org/</w:t>
      </w:r>
      <w:hyperlink r:id="rId16" w:history="1">
        <w:r w:rsidRPr="003F1E7A">
          <w:rPr>
            <w:rStyle w:val="Hyperlink"/>
            <w:rFonts w:cstheme="minorHAnsi"/>
            <w:lang w:val="es-ES"/>
          </w:rPr>
          <w:t>0000-0003-0389-8373</w:t>
        </w:r>
      </w:hyperlink>
      <w:r w:rsidR="00F6522E">
        <w:rPr>
          <w:rStyle w:val="Hyperlink"/>
          <w:rFonts w:cstheme="minorHAnsi"/>
          <w:color w:val="auto"/>
          <w:u w:val="none"/>
        </w:rPr>
        <w:t xml:space="preserve"> </w:t>
      </w:r>
    </w:p>
    <w:p w14:paraId="3B5E50DC" w14:textId="2C50CBBC" w:rsidR="006A20B7" w:rsidRDefault="006A20B7" w:rsidP="00111045">
      <w:pPr>
        <w:spacing w:line="360" w:lineRule="auto"/>
      </w:pPr>
    </w:p>
    <w:p w14:paraId="32A4AD89" w14:textId="6640B932" w:rsidR="006A20B7" w:rsidRPr="00F07F04" w:rsidRDefault="006A20B7" w:rsidP="00111045">
      <w:pPr>
        <w:spacing w:line="360" w:lineRule="auto"/>
        <w:rPr>
          <w:b/>
          <w:bCs/>
        </w:rPr>
      </w:pPr>
      <w:r w:rsidRPr="00F07F04">
        <w:rPr>
          <w:b/>
          <w:bCs/>
        </w:rPr>
        <w:t>Highlights</w:t>
      </w:r>
    </w:p>
    <w:p w14:paraId="2801FEFA" w14:textId="136172A6" w:rsidR="004007AA" w:rsidRDefault="004007AA" w:rsidP="004007AA">
      <w:pPr>
        <w:pStyle w:val="ListParagraph"/>
        <w:numPr>
          <w:ilvl w:val="0"/>
          <w:numId w:val="3"/>
        </w:numPr>
        <w:spacing w:line="360" w:lineRule="auto"/>
      </w:pPr>
      <w:r>
        <w:t xml:space="preserve">Defining typologies </w:t>
      </w:r>
      <w:r w:rsidR="0057527E">
        <w:t>is an efficient way to capture diversity in farming systems</w:t>
      </w:r>
    </w:p>
    <w:p w14:paraId="6F9F837A" w14:textId="4B6F9D69" w:rsidR="004007AA" w:rsidRDefault="003F1E7A" w:rsidP="004007AA">
      <w:pPr>
        <w:pStyle w:val="ListParagraph"/>
        <w:numPr>
          <w:ilvl w:val="0"/>
          <w:numId w:val="3"/>
        </w:numPr>
        <w:spacing w:line="360" w:lineRule="auto"/>
      </w:pPr>
      <w:r>
        <w:t>Usually</w:t>
      </w:r>
      <w:r w:rsidR="004007AA">
        <w:t xml:space="preserve">, such typologies only include </w:t>
      </w:r>
      <w:r w:rsidR="0057527E">
        <w:t xml:space="preserve">equally weighted </w:t>
      </w:r>
      <w:r w:rsidR="004007AA">
        <w:t>continuous variables</w:t>
      </w:r>
    </w:p>
    <w:p w14:paraId="45942DB2" w14:textId="4FC83BF4" w:rsidR="0057527E" w:rsidRDefault="0057527E" w:rsidP="004007AA">
      <w:pPr>
        <w:pStyle w:val="ListParagraph"/>
        <w:numPr>
          <w:ilvl w:val="0"/>
          <w:numId w:val="3"/>
        </w:numPr>
        <w:spacing w:line="360" w:lineRule="auto"/>
      </w:pPr>
      <w:r>
        <w:t>M</w:t>
      </w:r>
      <w:r w:rsidR="004007AA">
        <w:t xml:space="preserve">ethods </w:t>
      </w:r>
      <w:r>
        <w:t xml:space="preserve">can be </w:t>
      </w:r>
      <w:r w:rsidR="004007AA">
        <w:t xml:space="preserve">extended to include </w:t>
      </w:r>
      <w:r>
        <w:t xml:space="preserve">weighted and </w:t>
      </w:r>
      <w:r w:rsidR="004007AA">
        <w:t xml:space="preserve">categorical variables </w:t>
      </w:r>
    </w:p>
    <w:p w14:paraId="3B09B8B5" w14:textId="4FB0E6AB" w:rsidR="004007AA" w:rsidRDefault="0057527E" w:rsidP="004007AA">
      <w:pPr>
        <w:pStyle w:val="ListParagraph"/>
        <w:numPr>
          <w:ilvl w:val="0"/>
          <w:numId w:val="3"/>
        </w:numPr>
        <w:spacing w:line="360" w:lineRule="auto"/>
      </w:pPr>
      <w:r>
        <w:t>T</w:t>
      </w:r>
      <w:r w:rsidR="004007AA">
        <w:t xml:space="preserve">ypologies defined in such a way show greater diversity in measured outcomes </w:t>
      </w:r>
    </w:p>
    <w:p w14:paraId="7EFFC0BB" w14:textId="75F75CE8" w:rsidR="004007AA" w:rsidRDefault="004007AA" w:rsidP="004007AA">
      <w:pPr>
        <w:pStyle w:val="ListParagraph"/>
        <w:numPr>
          <w:ilvl w:val="0"/>
          <w:numId w:val="3"/>
        </w:numPr>
        <w:spacing w:line="360" w:lineRule="auto"/>
      </w:pPr>
      <w:r>
        <w:t xml:space="preserve">An R-shiny app has been developed to enable </w:t>
      </w:r>
      <w:r w:rsidR="00E731E3">
        <w:t>easy</w:t>
      </w:r>
      <w:r>
        <w:t xml:space="preserve"> uptake of </w:t>
      </w:r>
      <w:r w:rsidR="00E731E3">
        <w:t xml:space="preserve">the proposed </w:t>
      </w:r>
      <w:r>
        <w:t>method</w:t>
      </w:r>
    </w:p>
    <w:p w14:paraId="7D0778EE" w14:textId="77777777" w:rsidR="00BD00CF" w:rsidRDefault="00BD00CF" w:rsidP="00111045">
      <w:pPr>
        <w:spacing w:line="360" w:lineRule="auto"/>
      </w:pPr>
    </w:p>
    <w:p w14:paraId="617A62B8" w14:textId="51009A0F" w:rsidR="00F07F04" w:rsidRPr="00F07F04" w:rsidRDefault="00F07F04" w:rsidP="00111045">
      <w:pPr>
        <w:spacing w:line="360" w:lineRule="auto"/>
        <w:jc w:val="both"/>
        <w:rPr>
          <w:b/>
          <w:bCs/>
        </w:rPr>
      </w:pPr>
      <w:r w:rsidRPr="00F07F04">
        <w:rPr>
          <w:b/>
          <w:bCs/>
        </w:rPr>
        <w:t>Abstract</w:t>
      </w:r>
    </w:p>
    <w:p w14:paraId="1F2323CB" w14:textId="22CA24D4" w:rsidR="00F07F04" w:rsidRPr="00055AFD" w:rsidRDefault="00055AFD" w:rsidP="00111045">
      <w:pPr>
        <w:spacing w:line="360" w:lineRule="auto"/>
        <w:jc w:val="both"/>
      </w:pPr>
      <w:r>
        <w:t xml:space="preserve">Farm typologies </w:t>
      </w:r>
      <w:r w:rsidR="009911B8">
        <w:t>are</w:t>
      </w:r>
      <w:r>
        <w:t xml:space="preserve"> </w:t>
      </w:r>
      <w:r w:rsidR="00CA786E">
        <w:t xml:space="preserve">often </w:t>
      </w:r>
      <w:r>
        <w:t>used to reduce the complexity in categorising diverse farming systems, particularly</w:t>
      </w:r>
      <w:r w:rsidR="009911B8">
        <w:t xml:space="preserve"> </w:t>
      </w:r>
      <w:r>
        <w:t>in sub-Saharan Africa. The resulting typologies can then be used in multiple ways including designing efficient sampling schemes that capture the diversity in smallholder farms, prescribing the selection of certain farm types to which interventions can be targeted or upscaled</w:t>
      </w:r>
      <w:r w:rsidR="009911B8">
        <w:t>,</w:t>
      </w:r>
      <w:r>
        <w:t xml:space="preserve"> or to give context into derived relationships. However, the construction of farm typologies consists of many subjective decisions that are not always obvious or evident to the end-user. By developing a generalized </w:t>
      </w:r>
      <w:r>
        <w:lastRenderedPageBreak/>
        <w:t>framework for constructing farm typologies, we clarify where these subjective decisions are and quantify the impact they have on the resulting typologies</w:t>
      </w:r>
      <w:r w:rsidR="00CA786E">
        <w:t>.</w:t>
      </w:r>
      <w:r>
        <w:t xml:space="preserve"> Further, this framework has been encapsulated in the open source RShiny App: </w:t>
      </w:r>
      <w:r>
        <w:rPr>
          <w:i/>
          <w:iCs/>
        </w:rPr>
        <w:t>TypologyGenerator</w:t>
      </w:r>
      <w:r>
        <w:t xml:space="preserve"> to enable users to focus on the decisions and not the underlying implementation</w:t>
      </w:r>
      <w:r w:rsidR="00947777">
        <w:t>.</w:t>
      </w:r>
    </w:p>
    <w:p w14:paraId="0D110CFB" w14:textId="7B948C13" w:rsidR="0057527E" w:rsidRDefault="0057527E" w:rsidP="00111045">
      <w:pPr>
        <w:spacing w:line="360" w:lineRule="auto"/>
        <w:jc w:val="both"/>
      </w:pPr>
      <w:r>
        <w:t>Keywords: Typology, clustering, anosim, RShiny app</w:t>
      </w:r>
      <w:r w:rsidR="00221B34">
        <w:t xml:space="preserve">, </w:t>
      </w:r>
      <w:r w:rsidR="00221B34" w:rsidRPr="00221B34">
        <w:t>farms, agriculture</w:t>
      </w:r>
    </w:p>
    <w:p w14:paraId="61D54E38" w14:textId="1F5072A7" w:rsidR="00F07F04" w:rsidRPr="00F07F04" w:rsidRDefault="00F07F04" w:rsidP="00111045">
      <w:pPr>
        <w:spacing w:line="360" w:lineRule="auto"/>
        <w:jc w:val="both"/>
        <w:rPr>
          <w:b/>
          <w:bCs/>
        </w:rPr>
      </w:pPr>
      <w:r w:rsidRPr="00F07F04">
        <w:rPr>
          <w:b/>
          <w:bCs/>
        </w:rPr>
        <w:t>Introduction</w:t>
      </w:r>
    </w:p>
    <w:p w14:paraId="1A920B3B" w14:textId="54A77C7C" w:rsidR="00B56663" w:rsidRDefault="00BD00CF" w:rsidP="00111045">
      <w:pPr>
        <w:spacing w:line="360" w:lineRule="auto"/>
        <w:jc w:val="both"/>
      </w:pPr>
      <w:r>
        <w:t xml:space="preserve">On-farm studies have and always will form a critical </w:t>
      </w:r>
      <w:r w:rsidR="00CA786E">
        <w:t>part of</w:t>
      </w:r>
      <w:r>
        <w:t xml:space="preserve"> agricultural research. Not only do they enable a broader spectrum of environmental conditions to be exploited </w:t>
      </w:r>
      <w:r w:rsidR="009B57F9">
        <w:t xml:space="preserve">than otherwise available </w:t>
      </w:r>
      <w:r w:rsidR="00CA033B">
        <w:t xml:space="preserve">in </w:t>
      </w:r>
      <w:r w:rsidR="009B57F9">
        <w:t xml:space="preserve">on-station field trials, </w:t>
      </w:r>
      <w:r>
        <w:t xml:space="preserve">but </w:t>
      </w:r>
      <w:r w:rsidR="00CA786E">
        <w:t xml:space="preserve">they </w:t>
      </w:r>
      <w:r>
        <w:t xml:space="preserve">are also more representative of the practicalities of real-life implementation. </w:t>
      </w:r>
      <w:r w:rsidR="007E67A4">
        <w:t xml:space="preserve">This is particularly pertinent when studying farming systems in sub-Saharan Africa as they largely consist of smallholder farms </w:t>
      </w:r>
      <w:r w:rsidR="00BF18A3">
        <w:t>crossing</w:t>
      </w:r>
      <w:r w:rsidR="007E67A4">
        <w:t xml:space="preserve"> diverse cultural and </w:t>
      </w:r>
      <w:r w:rsidR="00BF18A3">
        <w:t>landscape contexts (</w:t>
      </w:r>
      <w:r w:rsidR="00E84A76" w:rsidRPr="00E84A76">
        <w:t xml:space="preserve">Giller </w:t>
      </w:r>
      <w:r w:rsidR="00D03092">
        <w:t>et al.</w:t>
      </w:r>
      <w:r w:rsidR="00E84A76" w:rsidRPr="00E84A76">
        <w:t xml:space="preserve"> 2011</w:t>
      </w:r>
      <w:r w:rsidR="00BF18A3">
        <w:t>)</w:t>
      </w:r>
      <w:r w:rsidR="007E67A4">
        <w:t>.</w:t>
      </w:r>
      <w:r w:rsidR="00BF18A3">
        <w:t xml:space="preserve"> </w:t>
      </w:r>
      <w:r w:rsidR="00970727">
        <w:t>It is well-recognised that a “one-size fits all” approach is misplaced in th</w:t>
      </w:r>
      <w:r w:rsidR="002C7A01">
        <w:t>ese</w:t>
      </w:r>
      <w:r w:rsidR="00970727">
        <w:t xml:space="preserve"> highly heterogeneous landscape</w:t>
      </w:r>
      <w:r w:rsidR="002C7A01">
        <w:t>s</w:t>
      </w:r>
      <w:r w:rsidR="00970727">
        <w:t>.</w:t>
      </w:r>
      <w:r w:rsidR="009B57F9" w:rsidRPr="009B57F9">
        <w:t xml:space="preserve"> </w:t>
      </w:r>
      <w:r w:rsidR="009B57F9">
        <w:t>Nonetheless</w:t>
      </w:r>
      <w:r w:rsidR="00970727">
        <w:t>, s</w:t>
      </w:r>
      <w:r w:rsidR="00B56663">
        <w:t>uch</w:t>
      </w:r>
      <w:r w:rsidR="008B1377">
        <w:t xml:space="preserve"> heterogeneity can be </w:t>
      </w:r>
      <w:r w:rsidR="00B56663">
        <w:t xml:space="preserve">efficiently </w:t>
      </w:r>
      <w:r w:rsidR="008B1377">
        <w:t xml:space="preserve">captured through the construction of simplified typologies. </w:t>
      </w:r>
      <w:r w:rsidR="00B56663">
        <w:t>Specifically, by a</w:t>
      </w:r>
      <w:r w:rsidR="00BF18A3">
        <w:t>llocating farms to a certain typology</w:t>
      </w:r>
      <w:r w:rsidR="00B56663">
        <w:t xml:space="preserve">, </w:t>
      </w:r>
      <w:r w:rsidR="00AE777C">
        <w:t>farming systems</w:t>
      </w:r>
      <w:r w:rsidR="00B56663">
        <w:t xml:space="preserve"> can be grouped </w:t>
      </w:r>
      <w:r w:rsidR="00970727">
        <w:t xml:space="preserve">into similar classes </w:t>
      </w:r>
      <w:r w:rsidR="00B56663">
        <w:t>according to a set of diverse characteristics</w:t>
      </w:r>
      <w:r w:rsidR="00AE777C">
        <w:t xml:space="preserve"> as measured by</w:t>
      </w:r>
      <w:r w:rsidR="00BF18A3">
        <w:t xml:space="preserve"> multiple indicators</w:t>
      </w:r>
      <w:r w:rsidR="00221B34">
        <w:t xml:space="preserve"> </w:t>
      </w:r>
      <w:r w:rsidR="00A37856">
        <w:t>consisting of</w:t>
      </w:r>
      <w:r w:rsidR="00221B34">
        <w:t xml:space="preserve"> environmental</w:t>
      </w:r>
      <w:r w:rsidR="00A37856">
        <w:t xml:space="preserve">, </w:t>
      </w:r>
      <w:r w:rsidR="00221B34">
        <w:t>socio-economic</w:t>
      </w:r>
      <w:r w:rsidR="00A37856">
        <w:t>, demographic and agronomic</w:t>
      </w:r>
      <w:r w:rsidR="00221B34">
        <w:t xml:space="preserve"> factors</w:t>
      </w:r>
      <w:r w:rsidR="00BF18A3">
        <w:t xml:space="preserve">. </w:t>
      </w:r>
      <w:r w:rsidR="00B56663">
        <w:t xml:space="preserve">The resulting typologies can then be used in </w:t>
      </w:r>
      <w:r w:rsidR="002C7A01">
        <w:t>multiple</w:t>
      </w:r>
      <w:r w:rsidR="00B56663">
        <w:t xml:space="preserve"> ways </w:t>
      </w:r>
      <w:r w:rsidR="00A45077">
        <w:t>including</w:t>
      </w:r>
      <w:r w:rsidR="00B56663">
        <w:t xml:space="preserve"> designing efficient sampling schemes that capture the diversity in smallholder farms, </w:t>
      </w:r>
      <w:r w:rsidR="009B57F9">
        <w:t>prescribing the</w:t>
      </w:r>
      <w:r w:rsidR="00B56663">
        <w:t xml:space="preserve"> selection of certain farm types to which interventions can be targeted</w:t>
      </w:r>
      <w:r w:rsidR="009B57F9">
        <w:t xml:space="preserve"> or upscaled</w:t>
      </w:r>
      <w:r w:rsidR="00CA033B">
        <w:t>,</w:t>
      </w:r>
      <w:r w:rsidR="00B56663">
        <w:t xml:space="preserve"> or to give context into </w:t>
      </w:r>
      <w:r w:rsidR="00A45077">
        <w:t>derived relationships</w:t>
      </w:r>
      <w:r w:rsidR="00221B34">
        <w:t xml:space="preserve"> and aid interpretation of observed responses to interventions</w:t>
      </w:r>
      <w:r w:rsidR="009B57F9">
        <w:t xml:space="preserve"> (Alvarez </w:t>
      </w:r>
      <w:r w:rsidR="00E1609D">
        <w:t>et al.</w:t>
      </w:r>
      <w:r w:rsidR="00E1609D" w:rsidRPr="00E84A76">
        <w:t xml:space="preserve"> </w:t>
      </w:r>
      <w:r w:rsidR="009B57F9">
        <w:t>2014)</w:t>
      </w:r>
      <w:r w:rsidR="00B56663">
        <w:t>.</w:t>
      </w:r>
    </w:p>
    <w:p w14:paraId="439C97EA" w14:textId="70A1D08A" w:rsidR="00AE777C" w:rsidRPr="00AE777C" w:rsidRDefault="00AE777C" w:rsidP="00AE777C">
      <w:pPr>
        <w:spacing w:line="360" w:lineRule="auto"/>
        <w:jc w:val="both"/>
        <w:rPr>
          <w:color w:val="FF0000"/>
        </w:rPr>
      </w:pPr>
      <w:r>
        <w:t>Applications of farm typolog</w:t>
      </w:r>
      <w:r w:rsidR="009911B8">
        <w:t>ies</w:t>
      </w:r>
      <w:r>
        <w:t xml:space="preserve"> have been broad with many different foci. </w:t>
      </w:r>
      <w:bookmarkStart w:id="0" w:name="_Hlk116669680"/>
      <w:r w:rsidR="00017391" w:rsidRPr="00017391">
        <w:t>For example,</w:t>
      </w:r>
      <w:r w:rsidR="00A45077" w:rsidRPr="00017391">
        <w:t xml:space="preserve"> resource endowment typologies </w:t>
      </w:r>
      <w:r w:rsidR="00017391">
        <w:t xml:space="preserve">have been used </w:t>
      </w:r>
      <w:r w:rsidR="00A45077" w:rsidRPr="00017391">
        <w:t>to group households into those with more or less resources available, to help understand differences between farms in terms of productivity, poverty and constraints</w:t>
      </w:r>
      <w:r w:rsidR="00017391">
        <w:t xml:space="preserve"> (</w:t>
      </w:r>
      <w:r w:rsidR="004007AA" w:rsidRPr="00017391">
        <w:t xml:space="preserve">Rusere </w:t>
      </w:r>
      <w:r w:rsidR="00D03092">
        <w:t>et al.</w:t>
      </w:r>
      <w:r w:rsidR="004007AA" w:rsidRPr="00017391">
        <w:t xml:space="preserve"> 2019, Hammond </w:t>
      </w:r>
      <w:r w:rsidR="00D03092">
        <w:t>et al.</w:t>
      </w:r>
      <w:r w:rsidR="004007AA" w:rsidRPr="00017391">
        <w:t xml:space="preserve"> 2020</w:t>
      </w:r>
      <w:r w:rsidR="004007AA">
        <w:t xml:space="preserve">, </w:t>
      </w:r>
      <w:r w:rsidR="00017391">
        <w:t xml:space="preserve">MacLaren </w:t>
      </w:r>
      <w:r w:rsidR="00D03092">
        <w:t>et al.</w:t>
      </w:r>
      <w:r w:rsidR="00017391">
        <w:t xml:space="preserve"> 2022)</w:t>
      </w:r>
      <w:r w:rsidR="00A45077" w:rsidRPr="00017391">
        <w:t xml:space="preserve">. </w:t>
      </w:r>
      <w:r w:rsidR="006D70BB">
        <w:t>F</w:t>
      </w:r>
      <w:r w:rsidR="006D70BB" w:rsidRPr="00D76029">
        <w:t>unctional typolog</w:t>
      </w:r>
      <w:r w:rsidR="006D70BB">
        <w:t>ies</w:t>
      </w:r>
      <w:r w:rsidR="006D70BB" w:rsidRPr="00D76029">
        <w:t xml:space="preserve"> of livelihood strategies</w:t>
      </w:r>
      <w:r w:rsidR="006D70BB">
        <w:t xml:space="preserve"> have been used to understand </w:t>
      </w:r>
      <w:r w:rsidR="006D70BB" w:rsidRPr="00534CE6">
        <w:t>differences in soil fertility</w:t>
      </w:r>
      <w:r w:rsidR="006D70BB" w:rsidRPr="006D70BB">
        <w:t xml:space="preserve"> </w:t>
      </w:r>
      <w:r w:rsidR="006D70BB" w:rsidRPr="00534CE6">
        <w:t>management and nutrient resource flows</w:t>
      </w:r>
      <w:r w:rsidR="006D70BB">
        <w:t xml:space="preserve"> (Tittonell </w:t>
      </w:r>
      <w:r w:rsidR="00D03092">
        <w:t>et al.</w:t>
      </w:r>
      <w:r w:rsidR="006D70BB">
        <w:t xml:space="preserve"> 2005</w:t>
      </w:r>
      <w:r w:rsidR="005E571E">
        <w:t xml:space="preserve">, Tittonell </w:t>
      </w:r>
      <w:r w:rsidR="00E1609D">
        <w:t>et al.</w:t>
      </w:r>
      <w:r w:rsidR="00E1609D" w:rsidRPr="00E84A76">
        <w:t xml:space="preserve"> </w:t>
      </w:r>
      <w:r w:rsidR="005E571E">
        <w:t xml:space="preserve">2010), to assess resource use efficiency to target agricultural interventions (Kansime </w:t>
      </w:r>
      <w:r w:rsidR="00D03092">
        <w:t>et al.</w:t>
      </w:r>
      <w:r w:rsidR="005E571E">
        <w:t xml:space="preserve"> 2018), </w:t>
      </w:r>
      <w:r w:rsidR="00017391">
        <w:t>to understand differences in food security and farm incomes (</w:t>
      </w:r>
      <w:bookmarkStart w:id="1" w:name="_Hlk116669638"/>
      <w:r w:rsidR="00017391">
        <w:t xml:space="preserve">MacLaren </w:t>
      </w:r>
      <w:r w:rsidR="00D03092">
        <w:t>et al.</w:t>
      </w:r>
      <w:bookmarkEnd w:id="1"/>
      <w:r w:rsidR="005E571E">
        <w:t xml:space="preserve"> 2022</w:t>
      </w:r>
      <w:r w:rsidR="00017391">
        <w:t>)</w:t>
      </w:r>
      <w:r w:rsidR="00FC3AF1">
        <w:t xml:space="preserve">, </w:t>
      </w:r>
      <w:r w:rsidR="009911B8">
        <w:t xml:space="preserve">and </w:t>
      </w:r>
      <w:r w:rsidR="00FC3AF1">
        <w:t xml:space="preserve">to understand diversity across regions of Zambia (Alvarez et </w:t>
      </w:r>
      <w:r w:rsidR="00E1609D">
        <w:t xml:space="preserve">al. </w:t>
      </w:r>
      <w:r w:rsidR="00FC3AF1">
        <w:t>2018</w:t>
      </w:r>
      <w:r w:rsidR="003F1E7A">
        <w:t>, Silva et al. 2023</w:t>
      </w:r>
      <w:r w:rsidR="00FC3AF1">
        <w:t>)</w:t>
      </w:r>
      <w:r w:rsidR="00017391">
        <w:t xml:space="preserve">. </w:t>
      </w:r>
      <w:r w:rsidR="00A0215A">
        <w:t>Combined structural and functional typologies have been used to identify farm types based on</w:t>
      </w:r>
      <w:r w:rsidR="00A0215A" w:rsidRPr="00534CE6">
        <w:t xml:space="preserve"> household opportunities and constraints for the targeting of agricultural interventions and innovations</w:t>
      </w:r>
      <w:r w:rsidR="00A0215A">
        <w:t xml:space="preserve"> </w:t>
      </w:r>
      <w:r w:rsidR="009B57F9">
        <w:t>(</w:t>
      </w:r>
      <w:r w:rsidR="00A0215A">
        <w:t xml:space="preserve">Kuivanen </w:t>
      </w:r>
      <w:r w:rsidR="00D03092">
        <w:t>et al.</w:t>
      </w:r>
      <w:r w:rsidR="00A0215A">
        <w:t xml:space="preserve"> 2016</w:t>
      </w:r>
      <w:r w:rsidR="003F1E7A">
        <w:t>,</w:t>
      </w:r>
      <w:r w:rsidR="0075398B">
        <w:t xml:space="preserve"> Berre et al., 2016</w:t>
      </w:r>
      <w:r w:rsidR="009B57F9">
        <w:t>)</w:t>
      </w:r>
      <w:r w:rsidR="00A0215A">
        <w:t>, to what extent ecological intensification</w:t>
      </w:r>
      <w:r w:rsidR="00A0215A" w:rsidRPr="006D70BB">
        <w:t xml:space="preserve"> practices </w:t>
      </w:r>
      <w:r w:rsidR="00A0215A">
        <w:t xml:space="preserve">need to be </w:t>
      </w:r>
      <w:r w:rsidR="00495FB3">
        <w:t>focussed on</w:t>
      </w:r>
      <w:r w:rsidR="00A0215A">
        <w:t xml:space="preserve"> specific farm types </w:t>
      </w:r>
      <w:r w:rsidR="009B57F9">
        <w:t>(</w:t>
      </w:r>
      <w:r w:rsidR="00A0215A">
        <w:t xml:space="preserve">Kansime </w:t>
      </w:r>
      <w:r w:rsidR="00D03092">
        <w:t>et al.</w:t>
      </w:r>
      <w:r w:rsidR="00A0215A">
        <w:t xml:space="preserve"> 2020</w:t>
      </w:r>
      <w:r w:rsidR="009B57F9">
        <w:t>)</w:t>
      </w:r>
      <w:r w:rsidR="00A0215A">
        <w:t xml:space="preserve">, to understand diversity </w:t>
      </w:r>
      <w:r w:rsidR="008245D1">
        <w:t xml:space="preserve">in small </w:t>
      </w:r>
      <w:r w:rsidR="00A0215A">
        <w:t>wetland farming systems</w:t>
      </w:r>
      <w:r w:rsidR="008245D1">
        <w:t xml:space="preserve"> (Sakane </w:t>
      </w:r>
      <w:r w:rsidR="00D03092">
        <w:t>et al.</w:t>
      </w:r>
      <w:r w:rsidR="008245D1">
        <w:t xml:space="preserve"> 2012)</w:t>
      </w:r>
      <w:r w:rsidR="008D0157">
        <w:t xml:space="preserve">, to understand diversity in </w:t>
      </w:r>
      <w:r w:rsidR="008D0157">
        <w:lastRenderedPageBreak/>
        <w:t xml:space="preserve">African farming systems in the context of soil fertility management (Giller </w:t>
      </w:r>
      <w:r w:rsidR="00E1609D">
        <w:t>et al.</w:t>
      </w:r>
      <w:r w:rsidR="00E1609D" w:rsidRPr="00E84A76">
        <w:t xml:space="preserve"> </w:t>
      </w:r>
      <w:r w:rsidR="008D0157">
        <w:t>201</w:t>
      </w:r>
      <w:r w:rsidR="00E84A76">
        <w:t>1</w:t>
      </w:r>
      <w:r w:rsidR="008D0157">
        <w:t>)</w:t>
      </w:r>
      <w:r w:rsidR="00495FB3">
        <w:t>,</w:t>
      </w:r>
      <w:r w:rsidR="009B57F9">
        <w:t xml:space="preserve"> and in</w:t>
      </w:r>
      <w:r w:rsidR="00062791">
        <w:t xml:space="preserve"> </w:t>
      </w:r>
      <w:r w:rsidR="00062791" w:rsidRPr="00062791">
        <w:t xml:space="preserve">scaling-up of field and farm-level model results </w:t>
      </w:r>
      <w:r w:rsidR="00980151" w:rsidRPr="00980151">
        <w:rPr>
          <w:color w:val="FF0000"/>
        </w:rPr>
        <w:t>to a</w:t>
      </w:r>
      <w:r w:rsidR="00062791" w:rsidRPr="00062791">
        <w:t xml:space="preserve"> regional level (Righi </w:t>
      </w:r>
      <w:r w:rsidR="00D03092">
        <w:t>et al.</w:t>
      </w:r>
      <w:r w:rsidR="00062791" w:rsidRPr="00062791">
        <w:t xml:space="preserve"> 2011</w:t>
      </w:r>
      <w:r w:rsidR="00062791">
        <w:t>)</w:t>
      </w:r>
      <w:r w:rsidR="00A0215A">
        <w:t>.</w:t>
      </w:r>
      <w:r w:rsidR="008245D1">
        <w:t xml:space="preserve"> Hammond </w:t>
      </w:r>
      <w:r w:rsidR="00D03092">
        <w:t>et al.</w:t>
      </w:r>
      <w:r w:rsidR="008245D1">
        <w:t xml:space="preserve"> (2020) used typologies to identify farm types for prioritising engagement and geographical locations for investment and targeting decision support systems whilst Rusere </w:t>
      </w:r>
      <w:r w:rsidR="00D03092">
        <w:t>et al.</w:t>
      </w:r>
      <w:r w:rsidR="008245D1">
        <w:t xml:space="preserve"> (2019) used them to identify and link specific ecosystem services with suitable ecological intensification options.</w:t>
      </w:r>
      <w:r w:rsidR="004007AA">
        <w:t xml:space="preserve"> </w:t>
      </w:r>
      <w:bookmarkEnd w:id="0"/>
      <w:r w:rsidR="00A45077" w:rsidRPr="00A45077">
        <w:t xml:space="preserve">In each case, typologies have given context to the </w:t>
      </w:r>
      <w:r w:rsidR="00A45077">
        <w:t>wider research question by simplifying the highly heterogeneous landscape of farming systems</w:t>
      </w:r>
      <w:r w:rsidR="00E731E3">
        <w:t xml:space="preserve"> and farms</w:t>
      </w:r>
      <w:r w:rsidR="00A45077">
        <w:t xml:space="preserve">. </w:t>
      </w:r>
    </w:p>
    <w:p w14:paraId="75C6A820" w14:textId="547A5376" w:rsidR="00453CED" w:rsidRDefault="00A45077" w:rsidP="00A76129">
      <w:pPr>
        <w:spacing w:line="360" w:lineRule="auto"/>
        <w:jc w:val="both"/>
      </w:pPr>
      <w:bookmarkStart w:id="2" w:name="_Hlk116888801"/>
      <w:r>
        <w:t>However, along</w:t>
      </w:r>
      <w:r w:rsidR="00A76129">
        <w:t xml:space="preserve"> with the broad application of typology construction, is the wide array of methods available to construct such typologies. In many cases, on-farm studies need to be representative of a wide range of different </w:t>
      </w:r>
      <w:r w:rsidR="00C617A5">
        <w:t>characteristics</w:t>
      </w:r>
      <w:r w:rsidR="00A76129">
        <w:t xml:space="preserve">. Established survey protocols have addressed this issue by using multivariate </w:t>
      </w:r>
      <w:r w:rsidR="009B57F9">
        <w:t xml:space="preserve">statistical </w:t>
      </w:r>
      <w:r w:rsidR="00A76129">
        <w:t xml:space="preserve">techniques to define distinct farm typologies </w:t>
      </w:r>
      <w:r w:rsidR="004007AA">
        <w:t xml:space="preserve">(Alvarez </w:t>
      </w:r>
      <w:r w:rsidR="00D03092">
        <w:t>et al.</w:t>
      </w:r>
      <w:r w:rsidR="004007AA">
        <w:t xml:space="preserve"> 2014)</w:t>
      </w:r>
      <w:r w:rsidR="00A76129">
        <w:t xml:space="preserve">. </w:t>
      </w:r>
      <w:r w:rsidR="00E84A76">
        <w:t>The most common approach is to apply a principal component</w:t>
      </w:r>
      <w:r w:rsidR="00947777">
        <w:t>s</w:t>
      </w:r>
      <w:r w:rsidR="00E84A76">
        <w:t xml:space="preserve"> analysis to derive a reduced dimensional representation of the data followed by a hierarchical cluster analysis to </w:t>
      </w:r>
      <w:r w:rsidR="009B57F9">
        <w:t>identify</w:t>
      </w:r>
      <w:r w:rsidR="00E84A76">
        <w:t xml:space="preserve"> the di</w:t>
      </w:r>
      <w:r w:rsidR="009B57F9">
        <w:t>stinct</w:t>
      </w:r>
      <w:r w:rsidR="00E84A76">
        <w:t xml:space="preserve"> typologies (Kansime </w:t>
      </w:r>
      <w:r w:rsidR="00E1609D">
        <w:t>et al.</w:t>
      </w:r>
      <w:r w:rsidR="00E1609D" w:rsidRPr="00E84A76">
        <w:t xml:space="preserve"> </w:t>
      </w:r>
      <w:r w:rsidR="00E84A76">
        <w:t xml:space="preserve">2020, Sakane </w:t>
      </w:r>
      <w:r w:rsidR="00E1609D">
        <w:t>et al.</w:t>
      </w:r>
      <w:r w:rsidR="00E1609D" w:rsidRPr="00E84A76">
        <w:t xml:space="preserve"> </w:t>
      </w:r>
      <w:r w:rsidR="00E84A76">
        <w:t xml:space="preserve">2012, Alvarez </w:t>
      </w:r>
      <w:r w:rsidR="00E1609D">
        <w:t>et al.</w:t>
      </w:r>
      <w:r w:rsidR="00E1609D" w:rsidRPr="00E84A76">
        <w:t xml:space="preserve"> </w:t>
      </w:r>
      <w:r w:rsidR="00E84A76">
        <w:t xml:space="preserve">2018, Blazy </w:t>
      </w:r>
      <w:r w:rsidR="00E1609D">
        <w:t>et al.</w:t>
      </w:r>
      <w:r w:rsidR="00E1609D" w:rsidRPr="00E84A76">
        <w:t xml:space="preserve"> </w:t>
      </w:r>
      <w:r w:rsidR="00E84A76">
        <w:t xml:space="preserve">2009, Rueff </w:t>
      </w:r>
      <w:r w:rsidR="00E1609D">
        <w:t>et al.</w:t>
      </w:r>
      <w:r w:rsidR="00E1609D" w:rsidRPr="00E84A76">
        <w:t xml:space="preserve"> </w:t>
      </w:r>
      <w:r w:rsidR="00E84A76">
        <w:t xml:space="preserve">2012). Variations on this approach have included </w:t>
      </w:r>
      <w:r w:rsidR="00980151">
        <w:t xml:space="preserve">the </w:t>
      </w:r>
      <w:r w:rsidR="00980151" w:rsidRPr="00980151">
        <w:rPr>
          <w:color w:val="FF0000"/>
        </w:rPr>
        <w:t>use of non-hierarchical cluster methods such as k-means (Kansime et al. 2018, Kuivanen et al. 2016b) or PAM (partitioning around mediods) (Kuivanen et al. 2016).</w:t>
      </w:r>
      <w:r w:rsidR="00980151">
        <w:t xml:space="preserve"> </w:t>
      </w:r>
      <w:r w:rsidR="007A15A9" w:rsidRPr="00980151">
        <w:rPr>
          <w:color w:val="FF0000"/>
        </w:rPr>
        <w:t>A</w:t>
      </w:r>
      <w:r w:rsidR="007A15A9" w:rsidRPr="00980151">
        <w:rPr>
          <w:color w:val="FF0000"/>
        </w:rPr>
        <w:t>dditional</w:t>
      </w:r>
      <w:r w:rsidR="007A15A9">
        <w:rPr>
          <w:color w:val="FF0000"/>
        </w:rPr>
        <w:t xml:space="preserve"> p</w:t>
      </w:r>
      <w:r w:rsidR="00980151" w:rsidRPr="00980151">
        <w:rPr>
          <w:color w:val="FF0000"/>
        </w:rPr>
        <w:t xml:space="preserve">ost-hoc </w:t>
      </w:r>
      <w:r w:rsidR="00E84A76" w:rsidRPr="00980151">
        <w:rPr>
          <w:color w:val="FF0000"/>
        </w:rPr>
        <w:t xml:space="preserve">refinement of the identified clusters </w:t>
      </w:r>
      <w:r w:rsidR="00980151" w:rsidRPr="00980151">
        <w:rPr>
          <w:color w:val="FF0000"/>
        </w:rPr>
        <w:t xml:space="preserve">has been done </w:t>
      </w:r>
      <w:r w:rsidR="00E84A76" w:rsidRPr="00980151">
        <w:rPr>
          <w:color w:val="FF0000"/>
        </w:rPr>
        <w:t xml:space="preserve">manually (Tittonell </w:t>
      </w:r>
      <w:r w:rsidR="00E1609D" w:rsidRPr="00980151">
        <w:rPr>
          <w:color w:val="FF0000"/>
        </w:rPr>
        <w:t xml:space="preserve">et al. </w:t>
      </w:r>
      <w:r w:rsidR="00E84A76" w:rsidRPr="00980151">
        <w:rPr>
          <w:color w:val="FF0000"/>
        </w:rPr>
        <w:t>2010)</w:t>
      </w:r>
      <w:r w:rsidR="00980151" w:rsidRPr="00980151">
        <w:rPr>
          <w:color w:val="FF0000"/>
        </w:rPr>
        <w:t xml:space="preserve"> through e.g. additional </w:t>
      </w:r>
      <w:r w:rsidR="00E84A76">
        <w:t>categorical variables such as gender of the household head (</w:t>
      </w:r>
      <w:bookmarkStart w:id="3" w:name="_Hlk116907179"/>
      <w:r w:rsidR="00E84A76">
        <w:t xml:space="preserve">Kansime </w:t>
      </w:r>
      <w:r w:rsidR="00E1609D">
        <w:t>et al.</w:t>
      </w:r>
      <w:r w:rsidR="00E1609D" w:rsidRPr="00E84A76">
        <w:t xml:space="preserve"> </w:t>
      </w:r>
      <w:r w:rsidR="00E84A76">
        <w:t>2020</w:t>
      </w:r>
      <w:bookmarkEnd w:id="3"/>
      <w:r w:rsidR="00E84A76">
        <w:t>)</w:t>
      </w:r>
      <w:r w:rsidR="00980151">
        <w:t>.</w:t>
      </w:r>
      <w:r w:rsidR="00E84A76">
        <w:t xml:space="preserve"> </w:t>
      </w:r>
      <w:r w:rsidR="00615ED8">
        <w:t>Alternatively, variations on the dimension reduction step include using multiple correspondence analysis (for categorical variables) or multi-dimensional scaling (MDS) (</w:t>
      </w:r>
      <w:r w:rsidR="00615ED8" w:rsidRPr="00615ED8">
        <w:t xml:space="preserve">Pacini </w:t>
      </w:r>
      <w:r w:rsidR="00D03092">
        <w:t>et al.</w:t>
      </w:r>
      <w:r w:rsidR="00615ED8" w:rsidRPr="00615ED8">
        <w:t xml:space="preserve"> 2013</w:t>
      </w:r>
      <w:r w:rsidR="00E1609D">
        <w:t>,</w:t>
      </w:r>
      <w:r w:rsidR="00615ED8">
        <w:t xml:space="preserve"> Righi </w:t>
      </w:r>
      <w:r w:rsidR="00E1609D">
        <w:t>et al.</w:t>
      </w:r>
      <w:r w:rsidR="00E1609D" w:rsidRPr="00E84A76">
        <w:t xml:space="preserve"> </w:t>
      </w:r>
      <w:r w:rsidR="00615ED8">
        <w:t>2011)</w:t>
      </w:r>
      <w:r w:rsidR="00CA033B">
        <w:t>,</w:t>
      </w:r>
      <w:r w:rsidR="00615ED8">
        <w:t xml:space="preserve"> or to bypass the dimension reduction</w:t>
      </w:r>
      <w:r w:rsidR="00453CED">
        <w:t xml:space="preserve"> step entirely</w:t>
      </w:r>
      <w:r w:rsidR="00615ED8">
        <w:t xml:space="preserve"> (Mac</w:t>
      </w:r>
      <w:r w:rsidR="009911B8">
        <w:t>L</w:t>
      </w:r>
      <w:r w:rsidR="00615ED8">
        <w:t xml:space="preserve">aren </w:t>
      </w:r>
      <w:r w:rsidR="00D03092">
        <w:t>et al.</w:t>
      </w:r>
      <w:r w:rsidR="009911B8">
        <w:t xml:space="preserve"> </w:t>
      </w:r>
      <w:r w:rsidR="00615ED8">
        <w:t xml:space="preserve">2022, </w:t>
      </w:r>
      <w:r w:rsidR="00615ED8" w:rsidRPr="00615ED8">
        <w:t xml:space="preserve">Hammond </w:t>
      </w:r>
      <w:r w:rsidR="00E1609D">
        <w:t>et al.</w:t>
      </w:r>
      <w:r w:rsidR="00E1609D" w:rsidRPr="00E84A76">
        <w:t xml:space="preserve"> </w:t>
      </w:r>
      <w:r w:rsidR="00615ED8" w:rsidRPr="00615ED8">
        <w:t>2020</w:t>
      </w:r>
      <w:r w:rsidR="00615ED8">
        <w:t xml:space="preserve">). The latter two (MDS or no dimension reduction) have the advantage of </w:t>
      </w:r>
      <w:r w:rsidR="00453CED">
        <w:t xml:space="preserve">allowing </w:t>
      </w:r>
      <w:r w:rsidR="00615ED8">
        <w:t>both quantitative and qualitative</w:t>
      </w:r>
      <w:r w:rsidR="00453CED">
        <w:t xml:space="preserve"> data</w:t>
      </w:r>
      <w:r w:rsidR="00615ED8">
        <w:t xml:space="preserve"> </w:t>
      </w:r>
      <w:r w:rsidR="00453CED">
        <w:t>to</w:t>
      </w:r>
      <w:r w:rsidR="00615ED8">
        <w:t xml:space="preserve"> be included</w:t>
      </w:r>
      <w:r w:rsidR="00947777">
        <w:t xml:space="preserve"> in the typology definitions</w:t>
      </w:r>
      <w:r w:rsidR="00615ED8">
        <w:t>. Despite this, for those studies that could include qualitative variables, the</w:t>
      </w:r>
      <w:r w:rsidR="00453CED">
        <w:t xml:space="preserve">y </w:t>
      </w:r>
      <w:r w:rsidR="00615ED8">
        <w:t>have often be</w:t>
      </w:r>
      <w:r w:rsidR="00453CED">
        <w:t>en</w:t>
      </w:r>
      <w:r w:rsidR="00615ED8">
        <w:t xml:space="preserve"> relegated to ancillary roles </w:t>
      </w:r>
      <w:r w:rsidR="003310DD">
        <w:t xml:space="preserve">in refining clusters rather than in the primary construction </w:t>
      </w:r>
      <w:r w:rsidR="00453CED">
        <w:t xml:space="preserve">step </w:t>
      </w:r>
      <w:r w:rsidR="003310DD">
        <w:t xml:space="preserve">(Pacini </w:t>
      </w:r>
      <w:r w:rsidR="00E1609D">
        <w:t>et al.</w:t>
      </w:r>
      <w:r w:rsidR="00E1609D" w:rsidRPr="00E84A76">
        <w:t xml:space="preserve"> </w:t>
      </w:r>
      <w:r w:rsidR="003310DD">
        <w:t xml:space="preserve">2013, Kansime </w:t>
      </w:r>
      <w:r w:rsidR="00E1609D">
        <w:t>et al.</w:t>
      </w:r>
      <w:r w:rsidR="00E1609D" w:rsidRPr="00E84A76">
        <w:t xml:space="preserve"> </w:t>
      </w:r>
      <w:r w:rsidR="003310DD">
        <w:t xml:space="preserve">2020). </w:t>
      </w:r>
    </w:p>
    <w:p w14:paraId="056E2AA2" w14:textId="1DD987E4" w:rsidR="003310DD" w:rsidRPr="007C1D54" w:rsidRDefault="00E84A76" w:rsidP="003310DD">
      <w:pPr>
        <w:spacing w:line="360" w:lineRule="auto"/>
        <w:jc w:val="both"/>
      </w:pPr>
      <w:r>
        <w:t>In contrast</w:t>
      </w:r>
      <w:r w:rsidR="00453CED">
        <w:t xml:space="preserve"> to the statistical definition of typologies</w:t>
      </w:r>
      <w:r>
        <w:t xml:space="preserve">, farm typologies have </w:t>
      </w:r>
      <w:r w:rsidR="00453CED">
        <w:t xml:space="preserve">also </w:t>
      </w:r>
      <w:r>
        <w:t xml:space="preserve">been defined </w:t>
      </w:r>
      <w:r w:rsidR="00615ED8">
        <w:t xml:space="preserve">through expert knowledge with the </w:t>
      </w:r>
      <w:r w:rsidR="00E731E3">
        <w:t>intention</w:t>
      </w:r>
      <w:r w:rsidR="00615ED8">
        <w:t xml:space="preserve"> to picking out nuanced relationships and capturing the dynamic nature of farming characteristics (e.g.</w:t>
      </w:r>
      <w:r w:rsidR="00DF22FE">
        <w:t>,</w:t>
      </w:r>
      <w:r w:rsidR="00615ED8">
        <w:t xml:space="preserve"> farm and herd size may vary year-to-year</w:t>
      </w:r>
      <w:r w:rsidR="00C617A5">
        <w:t>,</w:t>
      </w:r>
      <w:r w:rsidR="00615ED8">
        <w:t xml:space="preserve"> Rusere </w:t>
      </w:r>
      <w:r w:rsidR="00E1609D">
        <w:t>et al.</w:t>
      </w:r>
      <w:r w:rsidR="00E1609D" w:rsidRPr="00E84A76">
        <w:t xml:space="preserve"> </w:t>
      </w:r>
      <w:r w:rsidR="00615ED8">
        <w:t xml:space="preserve">2019, </w:t>
      </w:r>
      <w:bookmarkStart w:id="4" w:name="_Hlk116907676"/>
      <w:r w:rsidR="00615ED8" w:rsidRPr="00947777">
        <w:t xml:space="preserve">Kuivanen </w:t>
      </w:r>
      <w:r w:rsidR="00E1609D">
        <w:t>et al.</w:t>
      </w:r>
      <w:r w:rsidR="00E1609D" w:rsidRPr="00E84A76">
        <w:t xml:space="preserve"> </w:t>
      </w:r>
      <w:r w:rsidR="00615ED8" w:rsidRPr="00947777">
        <w:t>2016b</w:t>
      </w:r>
      <w:bookmarkEnd w:id="4"/>
      <w:r w:rsidR="00615ED8" w:rsidRPr="00947777">
        <w:t>)</w:t>
      </w:r>
      <w:r w:rsidR="00615ED8">
        <w:t xml:space="preserve">. </w:t>
      </w:r>
      <w:r w:rsidR="00453CED">
        <w:t xml:space="preserve">In both the expert derived typologies and those defined through statistical techniques, the literature emphasises the importance of variable selection and ensuring this is related to the driving hypotheses of interest. </w:t>
      </w:r>
      <w:bookmarkEnd w:id="2"/>
      <w:r w:rsidR="00453CED">
        <w:t xml:space="preserve">We do not focus on variable selection in this paper </w:t>
      </w:r>
      <w:r w:rsidR="003310DD">
        <w:t>but</w:t>
      </w:r>
      <w:r w:rsidR="00453CED">
        <w:t xml:space="preserve"> refer the reader to e.g.</w:t>
      </w:r>
      <w:r w:rsidR="00DF22FE">
        <w:t>,</w:t>
      </w:r>
      <w:r w:rsidR="00453CED">
        <w:t xml:space="preserve"> </w:t>
      </w:r>
      <w:r w:rsidR="003310DD">
        <w:t xml:space="preserve">Hammond </w:t>
      </w:r>
      <w:r w:rsidR="00E1609D">
        <w:t>et al.</w:t>
      </w:r>
      <w:r w:rsidR="00E1609D" w:rsidRPr="00E84A76">
        <w:t xml:space="preserve"> </w:t>
      </w:r>
      <w:r w:rsidR="003310DD">
        <w:t xml:space="preserve">2020, Alvarez </w:t>
      </w:r>
      <w:r w:rsidR="00E1609D">
        <w:t>et al.</w:t>
      </w:r>
      <w:r w:rsidR="00E1609D" w:rsidRPr="00E84A76">
        <w:t xml:space="preserve"> </w:t>
      </w:r>
      <w:r w:rsidR="003310DD">
        <w:t xml:space="preserve">2014 and </w:t>
      </w:r>
      <w:r w:rsidR="003310DD" w:rsidRPr="003310DD">
        <w:t xml:space="preserve">Kuivanen </w:t>
      </w:r>
      <w:r w:rsidR="00E1609D">
        <w:t>et al.</w:t>
      </w:r>
      <w:r w:rsidR="00E1609D" w:rsidRPr="00E84A76">
        <w:t xml:space="preserve"> </w:t>
      </w:r>
      <w:r w:rsidR="003310DD" w:rsidRPr="003310DD">
        <w:t>2016b</w:t>
      </w:r>
      <w:r w:rsidR="003310DD">
        <w:t>.</w:t>
      </w:r>
    </w:p>
    <w:p w14:paraId="5EBBD662" w14:textId="77DA2E7D" w:rsidR="00786F8F" w:rsidRDefault="001835AD" w:rsidP="00111045">
      <w:pPr>
        <w:spacing w:line="360" w:lineRule="auto"/>
        <w:jc w:val="both"/>
      </w:pPr>
      <w:r>
        <w:t xml:space="preserve">Despite the emphasis on the importance of </w:t>
      </w:r>
      <w:r w:rsidR="00453CED">
        <w:t>variable selection</w:t>
      </w:r>
      <w:r>
        <w:t xml:space="preserve"> in the construction of typologies, established methods are </w:t>
      </w:r>
      <w:r w:rsidR="00453CED">
        <w:t>primarily focus</w:t>
      </w:r>
      <w:r w:rsidR="00E731E3">
        <w:t>sed</w:t>
      </w:r>
      <w:r w:rsidR="00453CED">
        <w:t xml:space="preserve"> on</w:t>
      </w:r>
      <w:r>
        <w:t xml:space="preserve"> quantitative variables. There are many qualitative variables that might be of interest and</w:t>
      </w:r>
      <w:r w:rsidR="00E731E3">
        <w:t>,</w:t>
      </w:r>
      <w:r>
        <w:t xml:space="preserve"> importantly</w:t>
      </w:r>
      <w:r w:rsidR="00E731E3">
        <w:t>,</w:t>
      </w:r>
      <w:r>
        <w:t xml:space="preserve"> quantitative proxies for such variables may not </w:t>
      </w:r>
      <w:r w:rsidRPr="00E1609D">
        <w:rPr>
          <w:rFonts w:cstheme="minorHAnsi"/>
        </w:rPr>
        <w:t xml:space="preserve">exist, </w:t>
      </w:r>
      <w:r w:rsidR="009911B8" w:rsidRPr="00E1609D">
        <w:rPr>
          <w:rFonts w:cstheme="minorHAnsi"/>
        </w:rPr>
        <w:t>such as the</w:t>
      </w:r>
      <w:r w:rsidRPr="00E1609D">
        <w:rPr>
          <w:rFonts w:cstheme="minorHAnsi"/>
        </w:rPr>
        <w:t xml:space="preserve"> gender of </w:t>
      </w:r>
      <w:r w:rsidR="009911B8" w:rsidRPr="00E1609D">
        <w:rPr>
          <w:rFonts w:cstheme="minorHAnsi"/>
        </w:rPr>
        <w:t xml:space="preserve">the </w:t>
      </w:r>
      <w:r w:rsidRPr="00E1609D">
        <w:rPr>
          <w:rFonts w:cstheme="minorHAnsi"/>
        </w:rPr>
        <w:t xml:space="preserve">farm manager </w:t>
      </w:r>
      <w:r w:rsidR="00FF2D7E" w:rsidRPr="00E1609D">
        <w:rPr>
          <w:rFonts w:cstheme="minorHAnsi"/>
        </w:rPr>
        <w:t xml:space="preserve">(Molua 2011, Cairns </w:t>
      </w:r>
      <w:r w:rsidR="00D03092" w:rsidRPr="00E1609D">
        <w:rPr>
          <w:rFonts w:cstheme="minorHAnsi"/>
        </w:rPr>
        <w:t>et al.</w:t>
      </w:r>
      <w:r w:rsidR="00FF2D7E" w:rsidRPr="00E1609D">
        <w:rPr>
          <w:rFonts w:cstheme="minorHAnsi"/>
        </w:rPr>
        <w:t xml:space="preserve"> 2021)</w:t>
      </w:r>
      <w:r w:rsidRPr="00E1609D">
        <w:rPr>
          <w:rFonts w:cstheme="minorHAnsi"/>
        </w:rPr>
        <w:t xml:space="preserve">. </w:t>
      </w:r>
      <w:r w:rsidR="00CA10EE" w:rsidRPr="00E1609D">
        <w:rPr>
          <w:rFonts w:cstheme="minorHAnsi"/>
        </w:rPr>
        <w:t>Furthermore, not all</w:t>
      </w:r>
      <w:r w:rsidR="00CA10EE">
        <w:t xml:space="preserve"> variables </w:t>
      </w:r>
      <w:r w:rsidR="00453CED">
        <w:t xml:space="preserve">will </w:t>
      </w:r>
      <w:r w:rsidR="00CA10EE">
        <w:t xml:space="preserve">have equal importance in </w:t>
      </w:r>
      <w:r w:rsidR="00453CED">
        <w:t>distinguishing farm types</w:t>
      </w:r>
      <w:r w:rsidR="00CA10EE">
        <w:t xml:space="preserve">. If an on-farm study explicitly </w:t>
      </w:r>
      <w:r w:rsidR="00453CED">
        <w:t>aims</w:t>
      </w:r>
      <w:r w:rsidR="00CA10EE">
        <w:t xml:space="preserve"> to investigate gender differences (perhaps as a secondary outcome measure) then such a variable will be highly important compared to others. In contrast</w:t>
      </w:r>
      <w:r w:rsidR="00192777" w:rsidRPr="00192777">
        <w:rPr>
          <w:color w:val="FF0000"/>
        </w:rPr>
        <w:t>,</w:t>
      </w:r>
      <w:r w:rsidR="00CA10EE">
        <w:t xml:space="preserve"> </w:t>
      </w:r>
      <w:r w:rsidR="00453CED">
        <w:t xml:space="preserve">for </w:t>
      </w:r>
      <w:r w:rsidR="00CA033B">
        <w:t xml:space="preserve">other </w:t>
      </w:r>
      <w:r w:rsidR="00453CED">
        <w:t xml:space="preserve">studies </w:t>
      </w:r>
      <w:r w:rsidR="00CA10EE">
        <w:t xml:space="preserve">it might only be of peripheral interest and in such cases one would not wish for this to be a main driving </w:t>
      </w:r>
      <w:r w:rsidR="00453CED">
        <w:t xml:space="preserve">factor </w:t>
      </w:r>
      <w:r w:rsidR="00CA10EE">
        <w:t>in the typology definition. Consequently, i</w:t>
      </w:r>
      <w:r w:rsidR="00786F8F">
        <w:t xml:space="preserve">n this paper, we extend </w:t>
      </w:r>
      <w:r>
        <w:t xml:space="preserve">established protocols </w:t>
      </w:r>
      <w:r w:rsidR="00786F8F">
        <w:t xml:space="preserve">to </w:t>
      </w:r>
      <w:r>
        <w:t xml:space="preserve">a) </w:t>
      </w:r>
      <w:r w:rsidR="00786F8F">
        <w:t xml:space="preserve">include </w:t>
      </w:r>
      <w:r w:rsidR="00453CED">
        <w:t xml:space="preserve">both qualitative and quantitative </w:t>
      </w:r>
      <w:r w:rsidR="00786F8F">
        <w:t xml:space="preserve">variables and </w:t>
      </w:r>
      <w:r>
        <w:t xml:space="preserve">b) incorporate a weighting structure to give </w:t>
      </w:r>
      <w:r>
        <w:rPr>
          <w:i/>
          <w:iCs/>
        </w:rPr>
        <w:t>a priori</w:t>
      </w:r>
      <w:r>
        <w:t xml:space="preserve"> ranks of each variable </w:t>
      </w:r>
      <w:r w:rsidR="00786F8F">
        <w:t xml:space="preserve">in the typology definition. </w:t>
      </w:r>
      <w:r w:rsidR="00983FCB">
        <w:t xml:space="preserve">Furthermore, we highlight the need for typologies to be constructed through an iterative </w:t>
      </w:r>
      <w:r w:rsidR="00ED1E6D">
        <w:t>approach and therefore pr</w:t>
      </w:r>
      <w:r w:rsidR="00E731E3">
        <w:t>esent</w:t>
      </w:r>
      <w:r w:rsidR="00ED1E6D">
        <w:t xml:space="preserve"> an R-shiny application</w:t>
      </w:r>
      <w:r w:rsidR="00947777">
        <w:t xml:space="preserve">: </w:t>
      </w:r>
      <w:r w:rsidR="00947777">
        <w:rPr>
          <w:i/>
          <w:iCs/>
        </w:rPr>
        <w:t>TypologyGenerator</w:t>
      </w:r>
      <w:r w:rsidR="00ED1E6D">
        <w:t xml:space="preserve"> </w:t>
      </w:r>
      <w:r w:rsidR="00082A06">
        <w:t xml:space="preserve">(Hassall K. L., 2023) </w:t>
      </w:r>
      <w:r w:rsidR="00ED1E6D">
        <w:t xml:space="preserve">to </w:t>
      </w:r>
      <w:r w:rsidR="00947777">
        <w:t>implement the methods</w:t>
      </w:r>
      <w:r w:rsidR="00ED1E6D">
        <w:t>.</w:t>
      </w:r>
      <w:r w:rsidR="009911B8">
        <w:t xml:space="preserve"> The proposed methods for constructing typologies are demonstrated on a case study of maize production in Murehwa District of Zimbabwe. </w:t>
      </w:r>
    </w:p>
    <w:p w14:paraId="23A7ADBD" w14:textId="77777777" w:rsidR="00A90BFF" w:rsidRDefault="00A90BFF" w:rsidP="00111045">
      <w:pPr>
        <w:spacing w:line="360" w:lineRule="auto"/>
        <w:jc w:val="both"/>
        <w:rPr>
          <w:b/>
          <w:bCs/>
        </w:rPr>
      </w:pPr>
    </w:p>
    <w:p w14:paraId="12A6B47E" w14:textId="04574967" w:rsidR="00F07F04" w:rsidRPr="00F07F04" w:rsidRDefault="00F07F04" w:rsidP="00111045">
      <w:pPr>
        <w:spacing w:line="360" w:lineRule="auto"/>
        <w:jc w:val="both"/>
        <w:rPr>
          <w:b/>
          <w:bCs/>
        </w:rPr>
      </w:pPr>
      <w:r w:rsidRPr="00F07F04">
        <w:rPr>
          <w:b/>
          <w:bCs/>
        </w:rPr>
        <w:t>Materials and Methods</w:t>
      </w:r>
    </w:p>
    <w:p w14:paraId="77F963BB" w14:textId="77777777" w:rsidR="00947777" w:rsidRDefault="00947777" w:rsidP="00947777">
      <w:pPr>
        <w:spacing w:line="360" w:lineRule="auto"/>
        <w:jc w:val="both"/>
      </w:pPr>
      <w:r>
        <w:rPr>
          <w:i/>
          <w:iCs/>
        </w:rPr>
        <w:t xml:space="preserve">Case Study: maize production in </w:t>
      </w:r>
      <w:r w:rsidRPr="00A90BFF">
        <w:rPr>
          <w:i/>
          <w:iCs/>
          <w:lang w:val="en-ZW"/>
        </w:rPr>
        <w:t>Murehwa District, Zimbabwe</w:t>
      </w:r>
    </w:p>
    <w:p w14:paraId="3573FCC3" w14:textId="7525616D" w:rsidR="00947777" w:rsidRPr="00812976" w:rsidRDefault="00947777" w:rsidP="00947777">
      <w:pPr>
        <w:tabs>
          <w:tab w:val="left" w:pos="2100"/>
        </w:tabs>
        <w:spacing w:line="360" w:lineRule="auto"/>
        <w:jc w:val="both"/>
        <w:rPr>
          <w:rFonts w:eastAsia="Calibri" w:cstheme="minorHAnsi"/>
        </w:rPr>
      </w:pPr>
      <w:r>
        <w:t xml:space="preserve">This section describes a case study related to the project “Addressing malnutrition with biofortified maize in Zimbabwe: from crop management to policy and consumers” (IATI Identifier: GB-GOV-13-FUND–GCRF-BB_T009047_1). The District of Murehwa was selected for the implementation of this project, as maize is the predominant crop and malnutrition has remained high in this district, despite significant reduction in </w:t>
      </w:r>
      <w:r w:rsidRPr="000C7B6D">
        <w:rPr>
          <w:rFonts w:cstheme="minorHAnsi"/>
        </w:rPr>
        <w:t xml:space="preserve">other districts </w:t>
      </w:r>
      <w:r w:rsidRPr="000C7B6D">
        <w:rPr>
          <w:rFonts w:cstheme="minorHAnsi"/>
        </w:rPr>
        <w:fldChar w:fldCharType="begin" w:fldLock="1"/>
      </w:r>
      <w:r w:rsidRPr="000C7B6D">
        <w:rPr>
          <w:rFonts w:cstheme="minorHAnsi"/>
        </w:rPr>
        <w:instrText>ADDIN CSL_CITATION {"citationItems":[{"id":"ITEM-1","itemData":{"DOI":"10.1177/00307270211045410","ISSN":"00307270","abstract":"In sub-Saharan Africa there is increasing focus on identifying women’s trait preferences within crop breeding to enable gender-responsive product development. In the case of maize, breeding programs are ready to incorporate specific traits to increase gender-responsiveness but lack guidance on what these specific traits might be. We propose an inductive approach to determine a pathway towards increasing gender-responsiveness within maize breeding. A survey of 306 farmers was conducted to determine gender differences in maize varieties used together with key agronomic practices. Variety was a significant predictor of the gender of the plot manager and of the household head in contrast to previous surveys conducted in researcher-led on-farm trials. On-farm trials are conducted using pre-defined agronomic management practices and preferences identified at harvest are likely to centre around yield. This study highlighted significant differences in several agronomic practices used by female plot managers and female household heads. Although further studies are required to understand preferences associated with varietal choice, our results suggest that current researcher-led on-farm trials may not identify gender-specific trait preferences driving varietal choice. Furthermore, a trait-specific approach is not the only avenue towards increasing gender-responsiveness in maize breeding in southern Africa. The scope for increasing gender-intentionality in maize breeding could be expanded to incorporate selection environments more relevant to agronomic management practices used by female plot managers and households at advanced stages of the breeding pipeline. This approach could provide an immediate entry point to increase gender-intentional maize breeding in southern Africa.","author":[{"dropping-particle":"","family":"Cairns","given":"Jill E.","non-dropping-particle":"","parse-names":false,"suffix":""},{"dropping-particle":"","family":"Baudron","given":"Frédéric","non-dropping-particle":"","parse-names":false,"suffix":""},{"dropping-particle":"","family":"Hassall","given":"Kirsty L.","non-dropping-particle":"","parse-names":false,"suffix":""},{"dropping-particle":"","family":"Ndhlela","given":"Thokozile","non-dropping-particle":"","parse-names":false,"suffix":""},{"dropping-particle":"","family":"Nyagumbo","given":"Isaiah","non-dropping-particle":"","parse-names":false,"suffix":""},{"dropping-particle":"","family":"McGrath","given":"Steve P.","non-dropping-particle":"","parse-names":false,"suffix":""},{"dropping-particle":"","family":"Haefele","given":"Stephan M.","non-dropping-particle":"","parse-names":false,"suffix":""}],"container-title":"Outlook on Agriculture","id":"ITEM-1","issued":{"date-parts":[["2021"]]},"title":"Revisiting strategies to incorporate gender-responsiveness into maize breeding in southern Africa","type":"article-journal"},"uris":["http://www.mendeley.com/documents/?uuid=2c402276-b64f-4bac-ae89-180e83c88d87"]}],"mendeley":{"formattedCitation":"(Cairns et al., 2021)","plainTextFormattedCitation":"(Cairns et al., 2021)"},"properties":{"noteIndex":0},"schema":"https://github.com/citation-style-language/schema/raw/master/csl-citation.json"}</w:instrText>
      </w:r>
      <w:r w:rsidRPr="000C7B6D">
        <w:rPr>
          <w:rFonts w:cstheme="minorHAnsi"/>
        </w:rPr>
        <w:fldChar w:fldCharType="separate"/>
      </w:r>
      <w:r w:rsidRPr="000C7B6D">
        <w:rPr>
          <w:rFonts w:cstheme="minorHAnsi"/>
          <w:noProof/>
        </w:rPr>
        <w:t>(</w:t>
      </w:r>
      <w:r w:rsidR="00A71477">
        <w:rPr>
          <w:rFonts w:cstheme="minorHAnsi"/>
          <w:noProof/>
        </w:rPr>
        <w:t>ZimVac, 2020</w:t>
      </w:r>
      <w:r w:rsidRPr="000C7B6D">
        <w:rPr>
          <w:rFonts w:cstheme="minorHAnsi"/>
          <w:noProof/>
        </w:rPr>
        <w:t>)</w:t>
      </w:r>
      <w:r w:rsidRPr="000C7B6D">
        <w:rPr>
          <w:rFonts w:cstheme="minorHAnsi"/>
        </w:rPr>
        <w:fldChar w:fldCharType="end"/>
      </w:r>
      <w:r w:rsidRPr="000C7B6D">
        <w:rPr>
          <w:rFonts w:cstheme="minorHAnsi"/>
        </w:rPr>
        <w:t xml:space="preserve">. Further, two contrasted wards – in particular in terms of soil texture and elevation </w:t>
      </w:r>
      <w:r w:rsidR="00A71477" w:rsidRPr="000C7B6D">
        <w:rPr>
          <w:rFonts w:cstheme="minorHAnsi"/>
        </w:rPr>
        <w:t>–</w:t>
      </w:r>
      <w:r w:rsidR="00A71477">
        <w:rPr>
          <w:rFonts w:cstheme="minorHAnsi"/>
        </w:rPr>
        <w:t xml:space="preserve"> </w:t>
      </w:r>
      <w:r w:rsidRPr="000C7B6D">
        <w:rPr>
          <w:rFonts w:cstheme="minorHAnsi"/>
        </w:rPr>
        <w:t>were selected within the District of Murehwa: Ward 4 and Ward 27. In September 2020</w:t>
      </w:r>
      <w:r w:rsidR="00E731E3">
        <w:rPr>
          <w:rFonts w:cstheme="minorHAnsi"/>
        </w:rPr>
        <w:t>,</w:t>
      </w:r>
      <w:r w:rsidRPr="000C7B6D">
        <w:rPr>
          <w:rFonts w:cstheme="minorHAnsi"/>
        </w:rPr>
        <w:t xml:space="preserve"> a total of 306 farmers </w:t>
      </w:r>
      <w:r w:rsidR="003B4D1F" w:rsidRPr="003B4D1F">
        <w:rPr>
          <w:rFonts w:cstheme="minorHAnsi"/>
          <w:color w:val="FF0000"/>
        </w:rPr>
        <w:t>representing around 7.5% of the population were selected at random, using an adaptation of the Y sampling</w:t>
      </w:r>
      <w:r w:rsidR="003B4D1F">
        <w:rPr>
          <w:rFonts w:cstheme="minorHAnsi"/>
          <w:color w:val="FF0000"/>
        </w:rPr>
        <w:t>,</w:t>
      </w:r>
      <w:r w:rsidRPr="003B4D1F">
        <w:rPr>
          <w:rFonts w:cstheme="minorHAnsi"/>
          <w:color w:val="FF0000"/>
        </w:rPr>
        <w:t xml:space="preserve"> </w:t>
      </w:r>
      <w:r w:rsidRPr="000C7B6D">
        <w:rPr>
          <w:rFonts w:cstheme="minorHAnsi"/>
        </w:rPr>
        <w:t xml:space="preserve">in Ward 4 and Ward 27 of Murehwa, and heads of households interviewed by a team of 10 trained enumerators using a </w:t>
      </w:r>
      <w:r w:rsidRPr="00812976">
        <w:rPr>
          <w:rFonts w:eastAsia="Calibri" w:cstheme="minorHAnsi"/>
        </w:rPr>
        <w:t>structured questionnaire programmed with the software KoboToolbox (</w:t>
      </w:r>
      <w:hyperlink r:id="rId17" w:history="1">
        <w:r w:rsidRPr="00812976">
          <w:rPr>
            <w:rStyle w:val="Hyperlink"/>
            <w:rFonts w:eastAsia="Calibri" w:cstheme="minorHAnsi"/>
          </w:rPr>
          <w:t>https://support.kobotoolbox.org/welcome.html</w:t>
        </w:r>
      </w:hyperlink>
      <w:r w:rsidRPr="00812976">
        <w:rPr>
          <w:rFonts w:eastAsia="Calibri" w:cstheme="minorHAnsi"/>
        </w:rPr>
        <w:t>)</w:t>
      </w:r>
      <w:r>
        <w:rPr>
          <w:rFonts w:eastAsia="Calibri" w:cstheme="minorHAnsi"/>
        </w:rPr>
        <w:t xml:space="preserve"> </w:t>
      </w:r>
      <w:r w:rsidRPr="00812976">
        <w:rPr>
          <w:rFonts w:eastAsia="Calibri" w:cstheme="minorHAnsi"/>
        </w:rPr>
        <w:t xml:space="preserve">and uploaded on remotely controlled mobile devices (model Famoco FX100, </w:t>
      </w:r>
      <w:hyperlink r:id="rId18" w:history="1">
        <w:r w:rsidRPr="00812976">
          <w:rPr>
            <w:rStyle w:val="Hyperlink"/>
            <w:rFonts w:eastAsia="Calibri" w:cstheme="minorHAnsi"/>
          </w:rPr>
          <w:t>https://www.famoco.com/android-devices/handheld-devices/fx100/</w:t>
        </w:r>
      </w:hyperlink>
      <w:r w:rsidRPr="00812976">
        <w:rPr>
          <w:rFonts w:eastAsia="Calibri" w:cstheme="minorHAnsi"/>
        </w:rPr>
        <w:t>). The questionnaire addressed the following: characteristics of the head of the household, size and composition of the household, production capital (e.g.</w:t>
      </w:r>
      <w:r w:rsidR="0014697F">
        <w:rPr>
          <w:rFonts w:eastAsia="Calibri" w:cstheme="minorHAnsi"/>
        </w:rPr>
        <w:t>,</w:t>
      </w:r>
      <w:r w:rsidRPr="00812976">
        <w:rPr>
          <w:rFonts w:eastAsia="Calibri" w:cstheme="minorHAnsi"/>
        </w:rPr>
        <w:t xml:space="preserve"> land, equipment), land allocation, </w:t>
      </w:r>
      <w:r w:rsidRPr="00A4610E">
        <w:rPr>
          <w:rFonts w:eastAsia="Calibri" w:cstheme="minorHAnsi"/>
        </w:rPr>
        <w:t>livestock numbers, livestock production and management</w:t>
      </w:r>
      <w:r>
        <w:rPr>
          <w:rFonts w:eastAsia="Calibri" w:cstheme="minorHAnsi"/>
        </w:rPr>
        <w:t>,</w:t>
      </w:r>
      <w:r w:rsidRPr="000C7B6D">
        <w:rPr>
          <w:rFonts w:eastAsia="Calibri" w:cstheme="minorHAnsi"/>
        </w:rPr>
        <w:t xml:space="preserve"> </w:t>
      </w:r>
      <w:r w:rsidRPr="00812976">
        <w:rPr>
          <w:rFonts w:eastAsia="Calibri" w:cstheme="minorHAnsi"/>
        </w:rPr>
        <w:t>crop production and management</w:t>
      </w:r>
      <w:r>
        <w:rPr>
          <w:rFonts w:eastAsia="Calibri" w:cstheme="minorHAnsi"/>
        </w:rPr>
        <w:t xml:space="preserve"> in home</w:t>
      </w:r>
      <w:r>
        <w:rPr>
          <w:rFonts w:eastAsia="Calibri" w:cstheme="minorHAnsi"/>
        </w:rPr>
        <w:t>fields</w:t>
      </w:r>
      <w:r>
        <w:rPr>
          <w:rFonts w:eastAsia="Calibri" w:cstheme="minorHAnsi"/>
        </w:rPr>
        <w:t xml:space="preserve"> and outfields</w:t>
      </w:r>
      <w:r w:rsidRPr="00812976">
        <w:rPr>
          <w:rFonts w:eastAsia="Calibri" w:cstheme="minorHAnsi"/>
        </w:rPr>
        <w:t xml:space="preserve">, </w:t>
      </w:r>
      <w:r w:rsidRPr="00757A8B">
        <w:rPr>
          <w:rFonts w:eastAsia="Calibri" w:cstheme="minorHAnsi"/>
        </w:rPr>
        <w:t>food security and dietary diversity,</w:t>
      </w:r>
      <w:r>
        <w:rPr>
          <w:rFonts w:eastAsia="Calibri" w:cstheme="minorHAnsi"/>
        </w:rPr>
        <w:t xml:space="preserve"> and </w:t>
      </w:r>
      <w:r w:rsidRPr="00812976">
        <w:rPr>
          <w:rFonts w:eastAsia="Calibri" w:cstheme="minorHAnsi"/>
        </w:rPr>
        <w:t>income generating and food producing activities.</w:t>
      </w:r>
      <w:r w:rsidR="00192777">
        <w:rPr>
          <w:rFonts w:eastAsia="Calibri" w:cstheme="minorHAnsi"/>
        </w:rPr>
        <w:t xml:space="preserve"> </w:t>
      </w:r>
      <w:r w:rsidR="00192777" w:rsidRPr="00192777">
        <w:rPr>
          <w:rFonts w:eastAsia="Calibri" w:cstheme="minorHAnsi"/>
          <w:color w:val="FF0000"/>
        </w:rPr>
        <w:t xml:space="preserve">The full questionnaire is provided as a supplementary file. </w:t>
      </w:r>
    </w:p>
    <w:p w14:paraId="6D7FBD76" w14:textId="1DEBB4E1" w:rsidR="00947777" w:rsidRDefault="00947777" w:rsidP="00947777">
      <w:pPr>
        <w:spacing w:line="360" w:lineRule="auto"/>
        <w:jc w:val="both"/>
      </w:pPr>
      <w:r>
        <w:t>The goal of the typology was to delineate</w:t>
      </w:r>
      <w:r w:rsidR="00192777">
        <w:t xml:space="preserve"> </w:t>
      </w:r>
      <w:r w:rsidR="00192777" w:rsidRPr="00192777">
        <w:rPr>
          <w:color w:val="FF0000"/>
        </w:rPr>
        <w:t>between</w:t>
      </w:r>
      <w:r>
        <w:t xml:space="preserve"> relatively homogeneous groups of farms in terms of their structures, their functioning, and their diet to target interventions around biofortified maize. </w:t>
      </w:r>
      <w:r w:rsidRPr="003B1793">
        <w:t>For the analysis, we used</w:t>
      </w:r>
      <w:r w:rsidR="00A71477">
        <w:t>:</w:t>
      </w:r>
    </w:p>
    <w:p w14:paraId="58944616" w14:textId="59351FB6" w:rsidR="00947777" w:rsidRDefault="00947777" w:rsidP="00947777">
      <w:pPr>
        <w:pStyle w:val="ListParagraph"/>
        <w:numPr>
          <w:ilvl w:val="0"/>
          <w:numId w:val="13"/>
        </w:numPr>
        <w:spacing w:line="360" w:lineRule="auto"/>
        <w:jc w:val="both"/>
      </w:pPr>
      <w:r>
        <w:t>five</w:t>
      </w:r>
      <w:r w:rsidRPr="003B1793">
        <w:t xml:space="preserve"> continuous structural variables (age of the head of the household, family size, total cropped area, cattle ownership, </w:t>
      </w:r>
      <w:r>
        <w:t xml:space="preserve">and </w:t>
      </w:r>
      <w:r w:rsidRPr="003B1793">
        <w:t>sheep and goats ownership)</w:t>
      </w:r>
    </w:p>
    <w:p w14:paraId="4CD78179" w14:textId="5F7160E9" w:rsidR="00192777" w:rsidRDefault="00192777" w:rsidP="00192777">
      <w:pPr>
        <w:pStyle w:val="ListParagraph"/>
        <w:numPr>
          <w:ilvl w:val="0"/>
          <w:numId w:val="13"/>
        </w:numPr>
        <w:spacing w:line="360" w:lineRule="auto"/>
        <w:jc w:val="both"/>
      </w:pPr>
      <w:r>
        <w:t>two</w:t>
      </w:r>
      <w:r w:rsidRPr="003B1793">
        <w:t xml:space="preserve"> discrete structural variables </w:t>
      </w:r>
      <w:r w:rsidRPr="00192777">
        <w:rPr>
          <w:color w:val="FF0000"/>
        </w:rPr>
        <w:t xml:space="preserve">each with a binary yes/no outcome </w:t>
      </w:r>
      <w:r w:rsidRPr="003B1793">
        <w:t xml:space="preserve">(female-headed household, </w:t>
      </w:r>
      <w:r>
        <w:t xml:space="preserve">and </w:t>
      </w:r>
      <w:r w:rsidRPr="003B1793">
        <w:t>education of the head of the household higher than primary level)</w:t>
      </w:r>
    </w:p>
    <w:p w14:paraId="4B519B53" w14:textId="660E5D42" w:rsidR="00947777" w:rsidRDefault="00947777" w:rsidP="00947777">
      <w:pPr>
        <w:pStyle w:val="ListParagraph"/>
        <w:numPr>
          <w:ilvl w:val="0"/>
          <w:numId w:val="13"/>
        </w:numPr>
        <w:spacing w:line="360" w:lineRule="auto"/>
        <w:jc w:val="both"/>
      </w:pPr>
      <w:r>
        <w:t>three</w:t>
      </w:r>
      <w:r w:rsidRPr="003B1793">
        <w:t xml:space="preserve"> continuous functional variables (total </w:t>
      </w:r>
      <w:r>
        <w:t>maize</w:t>
      </w:r>
      <w:r w:rsidRPr="003B1793">
        <w:t xml:space="preserve"> produced during the 2019-20 season, </w:t>
      </w:r>
      <w:r>
        <w:t xml:space="preserve">total area cultivated to maize during the 2019-20 season, and </w:t>
      </w:r>
      <w:r w:rsidRPr="003B1793">
        <w:t xml:space="preserve">total quantity of fertilizer </w:t>
      </w:r>
      <w:r>
        <w:t>applied to maize</w:t>
      </w:r>
      <w:r w:rsidRPr="003B1793">
        <w:t xml:space="preserve"> during the 2019-20 season)</w:t>
      </w:r>
    </w:p>
    <w:p w14:paraId="50778833" w14:textId="21E442ED" w:rsidR="00192777" w:rsidRDefault="00192777" w:rsidP="00192777">
      <w:pPr>
        <w:pStyle w:val="ListParagraph"/>
        <w:numPr>
          <w:ilvl w:val="0"/>
          <w:numId w:val="13"/>
        </w:numPr>
        <w:spacing w:line="360" w:lineRule="auto"/>
        <w:jc w:val="both"/>
      </w:pPr>
      <w:r>
        <w:t>four</w:t>
      </w:r>
      <w:r w:rsidRPr="003B1793">
        <w:t xml:space="preserve"> discrete functional variables </w:t>
      </w:r>
      <w:r w:rsidRPr="00192777">
        <w:rPr>
          <w:color w:val="FF0000"/>
        </w:rPr>
        <w:t xml:space="preserve">each with a binary yes/no outcome </w:t>
      </w:r>
      <w:r w:rsidRPr="003B1793">
        <w:t xml:space="preserve">(own production as main source of food, </w:t>
      </w:r>
      <w:r>
        <w:t xml:space="preserve">crop sales as main source of income, use of intercropping, </w:t>
      </w:r>
      <w:r w:rsidRPr="003B1793">
        <w:t xml:space="preserve">and </w:t>
      </w:r>
      <w:r>
        <w:t>use of manure</w:t>
      </w:r>
      <w:r w:rsidRPr="003B1793">
        <w:t>)</w:t>
      </w:r>
    </w:p>
    <w:p w14:paraId="14C0971F" w14:textId="06B63440" w:rsidR="00947777" w:rsidRDefault="00947777" w:rsidP="00947777">
      <w:pPr>
        <w:pStyle w:val="ListParagraph"/>
        <w:numPr>
          <w:ilvl w:val="0"/>
          <w:numId w:val="13"/>
        </w:numPr>
        <w:spacing w:line="360" w:lineRule="auto"/>
        <w:jc w:val="both"/>
      </w:pPr>
      <w:r>
        <w:t xml:space="preserve">two continuous variables </w:t>
      </w:r>
      <w:bookmarkStart w:id="5" w:name="_Hlk121932213"/>
      <w:r>
        <w:t xml:space="preserve">related to nutrition </w:t>
      </w:r>
      <w:bookmarkEnd w:id="5"/>
      <w:r>
        <w:t xml:space="preserve">(total number of months during which food security was assessed as medium </w:t>
      </w:r>
      <w:r w:rsidR="00752CDA">
        <w:rPr>
          <w:color w:val="FF0000"/>
        </w:rPr>
        <w:t xml:space="preserve">or </w:t>
      </w:r>
      <w:r>
        <w:t>high over the 12 months preceding the interview, and the household dietary diversity score in the 24 hours preceding the interview)</w:t>
      </w:r>
    </w:p>
    <w:p w14:paraId="645CD37D" w14:textId="1C117A90" w:rsidR="00947777" w:rsidRDefault="00947777" w:rsidP="00947777">
      <w:pPr>
        <w:pStyle w:val="ListParagraph"/>
        <w:numPr>
          <w:ilvl w:val="0"/>
          <w:numId w:val="13"/>
        </w:numPr>
        <w:spacing w:line="360" w:lineRule="auto"/>
        <w:jc w:val="both"/>
      </w:pPr>
      <w:r>
        <w:t>three</w:t>
      </w:r>
      <w:r w:rsidRPr="003B1793">
        <w:t xml:space="preserve"> discrete variables </w:t>
      </w:r>
      <w:r w:rsidRPr="000E0F41">
        <w:t xml:space="preserve">related to nutrition </w:t>
      </w:r>
      <w:r w:rsidR="00192777" w:rsidRPr="00192777">
        <w:rPr>
          <w:color w:val="FF0000"/>
        </w:rPr>
        <w:t xml:space="preserve">each with a binary yes/no outcome </w:t>
      </w:r>
      <w:r w:rsidRPr="003B1793">
        <w:t>(</w:t>
      </w:r>
      <w:r>
        <w:t xml:space="preserve">consumption of </w:t>
      </w:r>
      <w:r w:rsidRPr="000E0F41">
        <w:t>plant-based vitamin A rich food</w:t>
      </w:r>
      <w:r>
        <w:t xml:space="preserve"> in the 24 hours preceding the interview, </w:t>
      </w:r>
      <w:r w:rsidRPr="000E0F41">
        <w:t xml:space="preserve">consumption of </w:t>
      </w:r>
      <w:r>
        <w:t>animal</w:t>
      </w:r>
      <w:r w:rsidRPr="000E0F41">
        <w:t>-based vitamin A rich food in the 24 hours preceding the interview</w:t>
      </w:r>
      <w:r>
        <w:t>, and consumption of iron rich food in the 24 hours preceding the interview)</w:t>
      </w:r>
    </w:p>
    <w:p w14:paraId="67BBFA42" w14:textId="5F6CE701" w:rsidR="00947777" w:rsidRDefault="00947777" w:rsidP="00947777">
      <w:pPr>
        <w:spacing w:line="360" w:lineRule="auto"/>
        <w:jc w:val="both"/>
        <w:rPr>
          <w:i/>
          <w:iCs/>
        </w:rPr>
      </w:pPr>
      <w:r w:rsidRPr="00812976">
        <w:rPr>
          <w:rFonts w:eastAsia="Calibri" w:cstheme="minorHAnsi"/>
          <w:szCs w:val="24"/>
        </w:rPr>
        <w:t xml:space="preserve">All continuous variables except age of the head of the household and family size had a skewed distribution and were log-transformed to approximately follow a </w:t>
      </w:r>
      <w:r>
        <w:rPr>
          <w:rFonts w:eastAsia="Calibri" w:cstheme="minorHAnsi"/>
          <w:szCs w:val="24"/>
        </w:rPr>
        <w:t>symmetric</w:t>
      </w:r>
      <w:r w:rsidRPr="00812976">
        <w:rPr>
          <w:rFonts w:eastAsia="Calibri" w:cstheme="minorHAnsi"/>
          <w:szCs w:val="24"/>
        </w:rPr>
        <w:t xml:space="preserve"> distribution.</w:t>
      </w:r>
    </w:p>
    <w:p w14:paraId="14B70A45" w14:textId="77777777" w:rsidR="00947777" w:rsidRDefault="00947777" w:rsidP="00111045">
      <w:pPr>
        <w:spacing w:line="360" w:lineRule="auto"/>
        <w:jc w:val="both"/>
        <w:rPr>
          <w:i/>
          <w:iCs/>
        </w:rPr>
      </w:pPr>
    </w:p>
    <w:p w14:paraId="7C6E7B78" w14:textId="317C9D9B" w:rsidR="00873482" w:rsidRPr="00873482" w:rsidRDefault="00873482" w:rsidP="00111045">
      <w:pPr>
        <w:spacing w:line="360" w:lineRule="auto"/>
        <w:jc w:val="both"/>
        <w:rPr>
          <w:i/>
          <w:iCs/>
        </w:rPr>
      </w:pPr>
      <w:r>
        <w:rPr>
          <w:i/>
          <w:iCs/>
        </w:rPr>
        <w:t>Typology Formation</w:t>
      </w:r>
    </w:p>
    <w:p w14:paraId="4D793893" w14:textId="20230B9F" w:rsidR="00207EE7" w:rsidRDefault="00207EE7" w:rsidP="00111045">
      <w:pPr>
        <w:spacing w:line="360" w:lineRule="auto"/>
        <w:jc w:val="both"/>
      </w:pPr>
      <w:r>
        <w:t xml:space="preserve">Typology formation consists of four key steps; variable selection, dimension reduction, cluster formation and validation. The </w:t>
      </w:r>
      <w:r w:rsidR="00947777">
        <w:t xml:space="preserve">main </w:t>
      </w:r>
      <w:r>
        <w:t>process</w:t>
      </w:r>
      <w:r w:rsidR="00947777">
        <w:t xml:space="preserve"> as implemented in </w:t>
      </w:r>
      <w:r w:rsidR="00947777">
        <w:rPr>
          <w:i/>
          <w:iCs/>
        </w:rPr>
        <w:t>TypologyGenerator</w:t>
      </w:r>
      <w:r>
        <w:t xml:space="preserve"> is outline</w:t>
      </w:r>
      <w:r w:rsidR="00A45077">
        <w:t>d</w:t>
      </w:r>
      <w:r>
        <w:t xml:space="preserve"> in Figure 1 and </w:t>
      </w:r>
      <w:r w:rsidR="00947777">
        <w:t>described below</w:t>
      </w:r>
      <w:r>
        <w:t>.</w:t>
      </w:r>
    </w:p>
    <w:p w14:paraId="23BF9DA5" w14:textId="50DBE955" w:rsidR="00207EE7" w:rsidRDefault="00966688" w:rsidP="00111045">
      <w:pPr>
        <w:spacing w:line="360" w:lineRule="auto"/>
        <w:jc w:val="both"/>
      </w:pPr>
      <w:r>
        <w:rPr>
          <w:noProof/>
        </w:rPr>
        <w:drawing>
          <wp:inline distT="0" distB="0" distL="0" distR="0" wp14:anchorId="5B21CBC0" wp14:editId="6F264EF3">
            <wp:extent cx="4146698" cy="4202865"/>
            <wp:effectExtent l="0" t="0" r="635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58588" cy="4214916"/>
                    </a:xfrm>
                    <a:prstGeom prst="rect">
                      <a:avLst/>
                    </a:prstGeom>
                    <a:noFill/>
                  </pic:spPr>
                </pic:pic>
              </a:graphicData>
            </a:graphic>
          </wp:inline>
        </w:drawing>
      </w:r>
    </w:p>
    <w:p w14:paraId="4D389AFD" w14:textId="318EA35F" w:rsidR="00207EE7" w:rsidRDefault="00207EE7" w:rsidP="00111045">
      <w:pPr>
        <w:spacing w:line="360" w:lineRule="auto"/>
        <w:jc w:val="both"/>
      </w:pPr>
      <w:r>
        <w:t>Figure 1: Schematic of typology formation.</w:t>
      </w:r>
    </w:p>
    <w:p w14:paraId="481E4D6D" w14:textId="77777777" w:rsidR="004169BC" w:rsidRDefault="004169BC" w:rsidP="00111045">
      <w:pPr>
        <w:spacing w:line="360" w:lineRule="auto"/>
        <w:jc w:val="both"/>
      </w:pPr>
    </w:p>
    <w:p w14:paraId="77DE69CC" w14:textId="24C400CE" w:rsidR="00207EE7" w:rsidRDefault="00B6639F" w:rsidP="00B6639F">
      <w:pPr>
        <w:spacing w:line="360" w:lineRule="auto"/>
        <w:jc w:val="both"/>
      </w:pPr>
      <w:r>
        <w:rPr>
          <w:i/>
          <w:iCs/>
        </w:rPr>
        <w:t>R-shiny web app: Typology Generator</w:t>
      </w:r>
      <w:r w:rsidR="00ED02F0">
        <w:rPr>
          <w:i/>
          <w:iCs/>
        </w:rPr>
        <w:t>.</w:t>
      </w:r>
      <w:r>
        <w:rPr>
          <w:i/>
          <w:iCs/>
        </w:rPr>
        <w:t xml:space="preserve"> </w:t>
      </w:r>
      <w:r w:rsidRPr="00B6639F">
        <w:t>W</w:t>
      </w:r>
      <w:r>
        <w:t>e have developed an open</w:t>
      </w:r>
      <w:r w:rsidR="00007BFE">
        <w:t>-</w:t>
      </w:r>
      <w:r>
        <w:t xml:space="preserve">source R-shiny application </w:t>
      </w:r>
      <w:r w:rsidR="00EF37E4">
        <w:t>(Hassall et al, 2023)</w:t>
      </w:r>
      <w:r>
        <w:t xml:space="preserve"> implementing the workflow in Figure 1 as described below. In brief, data can be loaded into the app from a standard CSV file. It is assumed that the data have been appropriately processed, i.e.</w:t>
      </w:r>
      <w:r w:rsidR="007413FB">
        <w:t>,</w:t>
      </w:r>
      <w:r>
        <w:t xml:space="preserve"> any transformation has been performed and for categorical variables, appropriate amalgamation </w:t>
      </w:r>
      <w:r w:rsidR="00ED02F0">
        <w:rPr>
          <w:color w:val="FF0000"/>
        </w:rPr>
        <w:t xml:space="preserve">of categories </w:t>
      </w:r>
      <w:r>
        <w:t>has been done</w:t>
      </w:r>
      <w:r w:rsidR="00E731E3">
        <w:t>,</w:t>
      </w:r>
      <w:r>
        <w:t xml:space="preserve"> etc.</w:t>
      </w:r>
    </w:p>
    <w:p w14:paraId="693608CD" w14:textId="2AB0ADF8" w:rsidR="006044CB" w:rsidRDefault="00873482" w:rsidP="000F436B">
      <w:pPr>
        <w:spacing w:line="360" w:lineRule="auto"/>
        <w:jc w:val="both"/>
      </w:pPr>
      <w:r w:rsidRPr="00AC52A4">
        <w:rPr>
          <w:i/>
          <w:iCs/>
        </w:rPr>
        <w:t>Variable Selection</w:t>
      </w:r>
      <w:r w:rsidR="00ED02F0">
        <w:rPr>
          <w:i/>
          <w:iCs/>
        </w:rPr>
        <w:t>.</w:t>
      </w:r>
      <w:r w:rsidR="00AC52A4">
        <w:t xml:space="preserve"> </w:t>
      </w:r>
      <w:r w:rsidR="006044CB">
        <w:t xml:space="preserve">With the ever-increasing availability of data, the number of potential </w:t>
      </w:r>
      <w:r w:rsidR="00452A2F">
        <w:t xml:space="preserve">variables to include in </w:t>
      </w:r>
      <w:r w:rsidR="006044CB">
        <w:t xml:space="preserve">typology construction seems limitless. </w:t>
      </w:r>
      <w:r w:rsidR="00B6639F">
        <w:t>By weighting the input variables, a user can emphasise different features in the typology. V</w:t>
      </w:r>
      <w:r w:rsidR="006044CB">
        <w:t>ariables can generally be grouped into similar “types”</w:t>
      </w:r>
      <w:r w:rsidR="00EF37E4">
        <w:t xml:space="preserve"> or categories</w:t>
      </w:r>
      <w:r w:rsidR="006044CB">
        <w:t>. These might include</w:t>
      </w:r>
      <w:r w:rsidR="00B847B2">
        <w:t xml:space="preserve">, for example, </w:t>
      </w:r>
      <w:r w:rsidR="006044CB">
        <w:t>structural</w:t>
      </w:r>
      <w:r w:rsidR="00E6049D">
        <w:t xml:space="preserve"> versus </w:t>
      </w:r>
      <w:r w:rsidR="006044CB">
        <w:t>functional variables</w:t>
      </w:r>
      <w:r w:rsidR="00B6639F">
        <w:t xml:space="preserve">. </w:t>
      </w:r>
      <w:r w:rsidR="00153227">
        <w:t>Weights can take two forms; i) weight variables based on the type of variable</w:t>
      </w:r>
      <w:r w:rsidR="007C1D54">
        <w:t xml:space="preserve"> and ii) weight individual variables within each type</w:t>
      </w:r>
      <w:r w:rsidR="00153227">
        <w:t>.</w:t>
      </w:r>
      <w:r w:rsidR="007C1D54">
        <w:t xml:space="preserve"> </w:t>
      </w:r>
      <w:r w:rsidR="00153227">
        <w:t>For instance,</w:t>
      </w:r>
      <w:r w:rsidR="007C1D54">
        <w:t xml:space="preserve"> in the first case,</w:t>
      </w:r>
      <w:r w:rsidR="00153227">
        <w:t xml:space="preserve"> if a typology definition was to focus on structural aspects, one might weight these components higher than functional variables in a e.g.</w:t>
      </w:r>
      <w:r w:rsidR="0014697F">
        <w:t>,</w:t>
      </w:r>
      <w:r w:rsidR="00153227">
        <w:t xml:space="preserve"> 2:1 ratio. Additionally, weights may be defined for individual </w:t>
      </w:r>
      <w:r w:rsidR="00B31812">
        <w:t xml:space="preserve">variables, for instance of the structural variables gender </w:t>
      </w:r>
      <w:r w:rsidR="007C1D54">
        <w:t>may be</w:t>
      </w:r>
      <w:r w:rsidR="00B31812">
        <w:t xml:space="preserve"> of most interest and</w:t>
      </w:r>
      <w:r w:rsidR="007C1D54">
        <w:t xml:space="preserve"> therefore</w:t>
      </w:r>
      <w:r w:rsidR="00B31812">
        <w:t xml:space="preserve"> have higher weight </w:t>
      </w:r>
      <w:r w:rsidR="007C1D54">
        <w:t xml:space="preserve">than the other components. </w:t>
      </w:r>
      <w:r w:rsidR="00B6639F">
        <w:t>It is typical in the literature to discard highly correlated variables to prevent over-emphasising certain characteristic</w:t>
      </w:r>
      <w:r w:rsidR="00752CDA" w:rsidRPr="00752CDA">
        <w:rPr>
          <w:color w:val="FF0000"/>
        </w:rPr>
        <w:t>s</w:t>
      </w:r>
      <w:r w:rsidR="00B6639F">
        <w:t>.</w:t>
      </w:r>
      <w:r w:rsidR="000F436B">
        <w:t xml:space="preserve"> Instead, one can simply downweight the correlated variables and retain all components and associated nuances. </w:t>
      </w:r>
    </w:p>
    <w:p w14:paraId="1842F08E" w14:textId="3F3551E1" w:rsidR="00B6639F" w:rsidRDefault="00B6639F" w:rsidP="000F436B">
      <w:pPr>
        <w:spacing w:line="360" w:lineRule="auto"/>
        <w:jc w:val="both"/>
      </w:pPr>
      <w:r>
        <w:t>Both the high-level weighting</w:t>
      </w:r>
      <w:r w:rsidR="003B5ACE">
        <w:t xml:space="preserve"> of categories of variable, the “main weights”,</w:t>
      </w:r>
      <w:r>
        <w:t xml:space="preserve"> and </w:t>
      </w:r>
      <w:r w:rsidR="003B5ACE">
        <w:t xml:space="preserve">the </w:t>
      </w:r>
      <w:r>
        <w:t xml:space="preserve">low-level “individual weighting” are implemented in </w:t>
      </w:r>
      <w:r>
        <w:rPr>
          <w:i/>
          <w:iCs/>
        </w:rPr>
        <w:t xml:space="preserve">TypologyGenerator. </w:t>
      </w:r>
      <w:r>
        <w:t xml:space="preserve">A screenshot of the </w:t>
      </w:r>
      <w:r w:rsidR="002C0D35">
        <w:t xml:space="preserve">weights used for the Murehwa case study is given in Figure 2 along with the graphical visualization. </w:t>
      </w:r>
    </w:p>
    <w:p w14:paraId="7ABEF6F3" w14:textId="77777777" w:rsidR="002C0D35" w:rsidRDefault="002C0D35" w:rsidP="002C0D35">
      <w:pPr>
        <w:spacing w:line="360" w:lineRule="auto"/>
        <w:jc w:val="both"/>
      </w:pPr>
      <w:r>
        <w:rPr>
          <w:noProof/>
        </w:rPr>
        <w:drawing>
          <wp:inline distT="0" distB="0" distL="0" distR="0" wp14:anchorId="309C59EA" wp14:editId="6F6D29B1">
            <wp:extent cx="5731510" cy="29718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7919" b="6881"/>
                    <a:stretch/>
                  </pic:blipFill>
                  <pic:spPr bwMode="auto">
                    <a:xfrm>
                      <a:off x="0" y="0"/>
                      <a:ext cx="5731510" cy="2971800"/>
                    </a:xfrm>
                    <a:prstGeom prst="rect">
                      <a:avLst/>
                    </a:prstGeom>
                    <a:ln>
                      <a:noFill/>
                    </a:ln>
                    <a:extLst>
                      <a:ext uri="{53640926-AAD7-44D8-BBD7-CCE9431645EC}">
                        <a14:shadowObscured xmlns:a14="http://schemas.microsoft.com/office/drawing/2010/main"/>
                      </a:ext>
                    </a:extLst>
                  </pic:spPr>
                </pic:pic>
              </a:graphicData>
            </a:graphic>
          </wp:inline>
        </w:drawing>
      </w:r>
    </w:p>
    <w:p w14:paraId="0B14D166" w14:textId="77777777" w:rsidR="002C0D35" w:rsidRDefault="002C0D35" w:rsidP="002C0D35">
      <w:pPr>
        <w:spacing w:line="360" w:lineRule="auto"/>
        <w:jc w:val="both"/>
      </w:pPr>
      <w:r>
        <w:rPr>
          <w:noProof/>
        </w:rPr>
        <w:drawing>
          <wp:inline distT="0" distB="0" distL="0" distR="0" wp14:anchorId="1638AB7C" wp14:editId="17176487">
            <wp:extent cx="5731510" cy="183451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1834515"/>
                    </a:xfrm>
                    <a:prstGeom prst="rect">
                      <a:avLst/>
                    </a:prstGeom>
                  </pic:spPr>
                </pic:pic>
              </a:graphicData>
            </a:graphic>
          </wp:inline>
        </w:drawing>
      </w:r>
    </w:p>
    <w:p w14:paraId="38B1F91E" w14:textId="77777777" w:rsidR="002C0D35" w:rsidRDefault="002C0D35" w:rsidP="002C0D35">
      <w:pPr>
        <w:spacing w:line="360" w:lineRule="auto"/>
        <w:jc w:val="both"/>
      </w:pPr>
      <w:r>
        <w:rPr>
          <w:noProof/>
        </w:rPr>
        <w:drawing>
          <wp:inline distT="0" distB="0" distL="0" distR="0" wp14:anchorId="77785686" wp14:editId="5E9C3775">
            <wp:extent cx="5731510" cy="3121025"/>
            <wp:effectExtent l="0" t="0" r="254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121025"/>
                    </a:xfrm>
                    <a:prstGeom prst="rect">
                      <a:avLst/>
                    </a:prstGeom>
                  </pic:spPr>
                </pic:pic>
              </a:graphicData>
            </a:graphic>
          </wp:inline>
        </w:drawing>
      </w:r>
    </w:p>
    <w:p w14:paraId="160558F0" w14:textId="059F55D3" w:rsidR="00B6639F" w:rsidRDefault="002C0D35" w:rsidP="0031286D">
      <w:pPr>
        <w:spacing w:line="240" w:lineRule="auto"/>
        <w:jc w:val="both"/>
      </w:pPr>
      <w:r>
        <w:t xml:space="preserve">Figure 2: Screenshots from </w:t>
      </w:r>
      <w:r>
        <w:rPr>
          <w:i/>
          <w:iCs/>
        </w:rPr>
        <w:t xml:space="preserve">TypologyGenerator </w:t>
      </w:r>
      <w:r>
        <w:t>illustrating how variables can be categorised and individually weighted. T</w:t>
      </w:r>
      <w:r w:rsidR="00B6639F">
        <w:t xml:space="preserve">he variables can be assigned to each of the 3 </w:t>
      </w:r>
      <w:r>
        <w:t xml:space="preserve">defined </w:t>
      </w:r>
      <w:r w:rsidR="00B6639F">
        <w:t xml:space="preserve">categories. In addition, the individual variables can be weighted differently within each category. The overall weight of each variable is updated automatically to show the relative weights between all variables in the data. </w:t>
      </w:r>
    </w:p>
    <w:p w14:paraId="1D3D795F" w14:textId="77777777" w:rsidR="00B6639F" w:rsidRDefault="00B6639F" w:rsidP="000F436B">
      <w:pPr>
        <w:spacing w:line="360" w:lineRule="auto"/>
        <w:jc w:val="both"/>
      </w:pPr>
    </w:p>
    <w:p w14:paraId="5B0F0C5C" w14:textId="5EC52B59" w:rsidR="00593B8E" w:rsidRDefault="00873482" w:rsidP="00111045">
      <w:pPr>
        <w:spacing w:line="360" w:lineRule="auto"/>
        <w:jc w:val="both"/>
        <w:rPr>
          <w:rFonts w:eastAsiaTheme="minorEastAsia"/>
        </w:rPr>
      </w:pPr>
      <w:r w:rsidRPr="007C1D54">
        <w:rPr>
          <w:i/>
          <w:iCs/>
        </w:rPr>
        <w:t>Dimension Reduction</w:t>
      </w:r>
      <w:r w:rsidR="00113AB2">
        <w:t xml:space="preserve"> </w:t>
      </w:r>
      <w:r w:rsidR="00D675B0">
        <w:t>enables a simplification of the, potential</w:t>
      </w:r>
      <w:r w:rsidR="0055256C">
        <w:t>ly</w:t>
      </w:r>
      <w:r w:rsidR="00D675B0">
        <w:t xml:space="preserve"> many, variables used to define the resulting typologies. </w:t>
      </w:r>
      <w:r w:rsidR="00F2422E">
        <w:t>T</w:t>
      </w:r>
      <w:r w:rsidR="00D675B0">
        <w:t>o proceed with dimension reduction, a dissimilarity</w:t>
      </w:r>
      <w:r w:rsidR="00593B8E">
        <w:t xml:space="preserve"> or distance</w:t>
      </w:r>
      <w:r w:rsidR="00D675B0">
        <w:t xml:space="preserve"> matrix is constructed. </w:t>
      </w:r>
      <w:r w:rsidR="00593B8E">
        <w:t xml:space="preserve">For generality, let </w:t>
      </w:r>
      <m:oMath>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ij</m:t>
            </m:r>
          </m:sub>
          <m:sup>
            <m:r>
              <w:rPr>
                <w:rFonts w:ascii="Cambria Math" w:eastAsiaTheme="minorEastAsia" w:hAnsi="Cambria Math"/>
              </w:rPr>
              <m:t>k</m:t>
            </m:r>
          </m:sup>
        </m:sSubSup>
      </m:oMath>
      <w:r w:rsidR="00593B8E">
        <w:rPr>
          <w:rFonts w:eastAsiaTheme="minorEastAsia"/>
        </w:rPr>
        <w:t xml:space="preserve"> be the similarity measure between observation</w:t>
      </w:r>
      <w:r w:rsidR="00F2422E">
        <w:rPr>
          <w:rFonts w:eastAsiaTheme="minorEastAsia"/>
        </w:rPr>
        <w:t>s</w:t>
      </w:r>
      <w:r w:rsidR="00593B8E">
        <w:rPr>
          <w:rFonts w:eastAsiaTheme="minorEastAsia"/>
        </w:rPr>
        <w:t xml:space="preserve"> </w:t>
      </w:r>
      <m:oMath>
        <m:r>
          <w:rPr>
            <w:rFonts w:ascii="Cambria Math" w:eastAsiaTheme="minorEastAsia" w:hAnsi="Cambria Math"/>
          </w:rPr>
          <m:t>i</m:t>
        </m:r>
      </m:oMath>
      <w:r w:rsidR="00593B8E">
        <w:rPr>
          <w:rFonts w:eastAsiaTheme="minorEastAsia"/>
        </w:rPr>
        <w:t xml:space="preserve"> and </w:t>
      </w:r>
      <m:oMath>
        <m:r>
          <w:rPr>
            <w:rFonts w:ascii="Cambria Math" w:eastAsiaTheme="minorEastAsia" w:hAnsi="Cambria Math"/>
          </w:rPr>
          <m:t>j</m:t>
        </m:r>
      </m:oMath>
      <w:r w:rsidR="00593B8E">
        <w:rPr>
          <w:rFonts w:eastAsiaTheme="minorEastAsia"/>
        </w:rPr>
        <w:t xml:space="preserve"> </w:t>
      </w:r>
      <w:r w:rsidR="00791632">
        <w:rPr>
          <w:rFonts w:eastAsiaTheme="minorEastAsia"/>
        </w:rPr>
        <w:t xml:space="preserve">for variable </w:t>
      </w:r>
      <m:oMath>
        <m:r>
          <w:rPr>
            <w:rFonts w:ascii="Cambria Math" w:eastAsiaTheme="minorEastAsia" w:hAnsi="Cambria Math"/>
          </w:rPr>
          <m:t>k</m:t>
        </m:r>
      </m:oMath>
      <w:r w:rsidR="00791632">
        <w:rPr>
          <w:rFonts w:eastAsiaTheme="minorEastAsia"/>
        </w:rPr>
        <w:t xml:space="preserve"> </w:t>
      </w:r>
      <w:r w:rsidR="00593B8E">
        <w:rPr>
          <w:rFonts w:eastAsiaTheme="minorEastAsia"/>
        </w:rPr>
        <w:t xml:space="preserve">and </w:t>
      </w:r>
      <m:oMath>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ij</m:t>
            </m:r>
          </m:sub>
          <m:sup>
            <m:r>
              <w:rPr>
                <w:rFonts w:ascii="Cambria Math" w:eastAsiaTheme="minorEastAsia" w:hAnsi="Cambria Math"/>
              </w:rPr>
              <m:t>k</m:t>
            </m:r>
          </m:sup>
        </m:sSubSup>
      </m:oMath>
      <w:r w:rsidR="00593B8E">
        <w:rPr>
          <w:rFonts w:eastAsiaTheme="minorEastAsia"/>
        </w:rPr>
        <w:t xml:space="preserve"> the </w:t>
      </w:r>
      <w:r w:rsidR="00791632">
        <w:rPr>
          <w:rFonts w:eastAsiaTheme="minorEastAsia"/>
        </w:rPr>
        <w:t>corresponding</w:t>
      </w:r>
      <w:r w:rsidR="00593B8E">
        <w:rPr>
          <w:rFonts w:eastAsiaTheme="minorEastAsia"/>
        </w:rPr>
        <w:t xml:space="preserve"> distance</w:t>
      </w:r>
      <w:r w:rsidR="00791632">
        <w:rPr>
          <w:rFonts w:eastAsiaTheme="minorEastAsia"/>
        </w:rPr>
        <w:t xml:space="preserve"> defined by,</w:t>
      </w:r>
    </w:p>
    <w:p w14:paraId="21129B57" w14:textId="29054B7A" w:rsidR="00791632" w:rsidRDefault="001A3B93" w:rsidP="00111045">
      <w:pPr>
        <w:spacing w:line="360" w:lineRule="auto"/>
        <w:jc w:val="both"/>
      </w:pPr>
      <m:oMathPara>
        <m:oMath>
          <m:sSup>
            <m:sSupPr>
              <m:ctrlPr>
                <w:rPr>
                  <w:rFonts w:ascii="Cambria Math" w:eastAsiaTheme="minorEastAsia" w:hAnsi="Cambria Math"/>
                  <w:i/>
                </w:rPr>
              </m:ctrlPr>
            </m:sSupPr>
            <m:e>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ij</m:t>
                      </m:r>
                    </m:sub>
                    <m:sup>
                      <m:r>
                        <w:rPr>
                          <w:rFonts w:ascii="Cambria Math" w:eastAsiaTheme="minorEastAsia" w:hAnsi="Cambria Math"/>
                        </w:rPr>
                        <m:t>k</m:t>
                      </m:r>
                    </m:sup>
                  </m:sSubSup>
                </m:e>
              </m:d>
            </m:e>
            <m:sup>
              <m:r>
                <w:rPr>
                  <w:rFonts w:ascii="Cambria Math" w:eastAsiaTheme="minorEastAsia" w:hAnsi="Cambria Math"/>
                </w:rPr>
                <m:t>2</m:t>
              </m:r>
            </m:sup>
          </m:sSup>
          <m:r>
            <w:rPr>
              <w:rFonts w:ascii="Cambria Math" w:eastAsiaTheme="minorEastAsia" w:hAnsi="Cambria Math"/>
            </w:rPr>
            <m:t>=2</m:t>
          </m:r>
          <m:d>
            <m:dPr>
              <m:ctrlPr>
                <w:rPr>
                  <w:rFonts w:ascii="Cambria Math" w:eastAsiaTheme="minorEastAsia" w:hAnsi="Cambria Math"/>
                  <w:i/>
                </w:rPr>
              </m:ctrlPr>
            </m:dPr>
            <m:e>
              <m:r>
                <w:rPr>
                  <w:rFonts w:ascii="Cambria Math" w:eastAsiaTheme="minorEastAsia" w:hAnsi="Cambria Math"/>
                </w:rPr>
                <m:t>1-</m:t>
              </m:r>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ij</m:t>
                  </m:r>
                </m:sub>
                <m:sup>
                  <m:r>
                    <w:rPr>
                      <w:rFonts w:ascii="Cambria Math" w:eastAsiaTheme="minorEastAsia" w:hAnsi="Cambria Math"/>
                    </w:rPr>
                    <m:t>k</m:t>
                  </m:r>
                </m:sup>
              </m:sSubSup>
            </m:e>
          </m:d>
        </m:oMath>
      </m:oMathPara>
    </w:p>
    <w:p w14:paraId="70E79B80" w14:textId="78DC613B" w:rsidR="00D675B0" w:rsidRDefault="00791632" w:rsidP="00111045">
      <w:pPr>
        <w:spacing w:line="360" w:lineRule="auto"/>
        <w:jc w:val="both"/>
      </w:pPr>
      <w:r>
        <w:t>T</w:t>
      </w:r>
      <w:r w:rsidR="00D675B0">
        <w:t>he</w:t>
      </w:r>
      <w:r>
        <w:t xml:space="preserve"> overall distance between two observations is then given by</w:t>
      </w:r>
      <w:r w:rsidR="00D675B0">
        <w:t xml:space="preserve"> </w:t>
      </w:r>
      <w:r>
        <w:t>the weighted sum</w:t>
      </w:r>
      <w:r w:rsidR="00A35730">
        <w:t>,</w:t>
      </w:r>
    </w:p>
    <w:p w14:paraId="0C979BD6" w14:textId="345349E3" w:rsidR="00D675B0" w:rsidRDefault="001A3B93" w:rsidP="00111045">
      <w:pPr>
        <w:spacing w:line="360" w:lineRule="auto"/>
        <w:jc w:val="both"/>
      </w:pPr>
      <m:oMathPara>
        <m:oMath>
          <m:sSub>
            <m:sSubPr>
              <m:ctrlPr>
                <w:rPr>
                  <w:rFonts w:ascii="Cambria Math" w:hAnsi="Cambria Math"/>
                  <w:i/>
                </w:rPr>
              </m:ctrlPr>
            </m:sSubPr>
            <m:e>
              <m:r>
                <w:rPr>
                  <w:rFonts w:ascii="Cambria Math" w:hAnsi="Cambria Math"/>
                </w:rPr>
                <m:t>D</m:t>
              </m:r>
            </m:e>
            <m:sub>
              <m:r>
                <w:rPr>
                  <w:rFonts w:ascii="Cambria Math" w:hAnsi="Cambria Math"/>
                </w:rPr>
                <m:t>ij</m:t>
              </m:r>
            </m:sub>
          </m:sSub>
          <m:r>
            <w:rPr>
              <w:rFonts w:ascii="Cambria Math" w:hAnsi="Cambria Math"/>
            </w:rPr>
            <m:t>=</m:t>
          </m:r>
          <m:rad>
            <m:radPr>
              <m:degHide m:val="1"/>
              <m:ctrlPr>
                <w:rPr>
                  <w:rFonts w:ascii="Cambria Math" w:hAnsi="Cambria Math"/>
                  <w:i/>
                </w:rPr>
              </m:ctrlPr>
            </m:radPr>
            <m:deg/>
            <m:e>
              <m:nary>
                <m:naryPr>
                  <m:chr m:val="∑"/>
                  <m:supHide m:val="1"/>
                  <m:ctrlPr>
                    <w:rPr>
                      <w:rFonts w:ascii="Cambria Math" w:hAnsi="Cambria Math"/>
                    </w:rPr>
                  </m:ctrlPr>
                </m:naryPr>
                <m:sub>
                  <m:r>
                    <w:rPr>
                      <w:rFonts w:ascii="Cambria Math" w:hAnsi="Cambria Math"/>
                    </w:rPr>
                    <m:t>k</m:t>
                  </m:r>
                  <m:ctrlPr>
                    <w:rPr>
                      <w:rFonts w:ascii="Cambria Math" w:hAnsi="Cambria Math"/>
                      <w:i/>
                    </w:rPr>
                  </m:ctrlPr>
                </m:sub>
                <m:sup>
                  <m:ctrlPr>
                    <w:rPr>
                      <w:rFonts w:ascii="Cambria Math" w:hAnsi="Cambria Math"/>
                      <w:i/>
                    </w:rPr>
                  </m:ctrlPr>
                </m:sup>
                <m:e>
                  <m:sSub>
                    <m:sSubPr>
                      <m:ctrlPr>
                        <w:rPr>
                          <w:rFonts w:ascii="Cambria Math" w:hAnsi="Cambria Math"/>
                          <w:i/>
                        </w:rPr>
                      </m:ctrlPr>
                    </m:sSubPr>
                    <m:e>
                      <m:r>
                        <w:rPr>
                          <w:rFonts w:ascii="Cambria Math" w:hAnsi="Cambria Math"/>
                        </w:rPr>
                        <m:t>w</m:t>
                      </m:r>
                    </m:e>
                    <m:sub>
                      <m:r>
                        <w:rPr>
                          <w:rFonts w:ascii="Cambria Math" w:hAnsi="Cambria Math"/>
                        </w:rPr>
                        <m:t>k</m:t>
                      </m:r>
                    </m:sub>
                  </m:sSub>
                  <m:sSup>
                    <m:sSupPr>
                      <m:ctrlPr>
                        <w:rPr>
                          <w:rFonts w:ascii="Cambria Math" w:eastAsiaTheme="minorEastAsia" w:hAnsi="Cambria Math"/>
                          <w:i/>
                        </w:rPr>
                      </m:ctrlPr>
                    </m:sSupPr>
                    <m:e>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ij</m:t>
                              </m:r>
                            </m:sub>
                            <m:sup>
                              <m:r>
                                <w:rPr>
                                  <w:rFonts w:ascii="Cambria Math" w:eastAsiaTheme="minorEastAsia" w:hAnsi="Cambria Math"/>
                                </w:rPr>
                                <m:t>k</m:t>
                              </m:r>
                            </m:sup>
                          </m:sSubSup>
                        </m:e>
                      </m:d>
                    </m:e>
                    <m:sup>
                      <m:r>
                        <w:rPr>
                          <w:rFonts w:ascii="Cambria Math" w:eastAsiaTheme="minorEastAsia" w:hAnsi="Cambria Math"/>
                        </w:rPr>
                        <m:t>2</m:t>
                      </m:r>
                    </m:sup>
                  </m:sSup>
                  <m:ctrlPr>
                    <w:rPr>
                      <w:rFonts w:ascii="Cambria Math" w:hAnsi="Cambria Math"/>
                      <w:i/>
                    </w:rPr>
                  </m:ctrlPr>
                </m:e>
              </m:nary>
            </m:e>
          </m:rad>
        </m:oMath>
      </m:oMathPara>
    </w:p>
    <w:p w14:paraId="16C00233" w14:textId="34D18608" w:rsidR="000378FA" w:rsidRDefault="00D675B0" w:rsidP="00111045">
      <w:pPr>
        <w:spacing w:line="360" w:lineRule="auto"/>
        <w:jc w:val="both"/>
        <w:rPr>
          <w:rFonts w:eastAsiaTheme="minorEastAsia"/>
        </w:rPr>
      </w:pPr>
      <w:r>
        <w:t xml:space="preserve">Where </w:t>
      </w:r>
      <m:oMath>
        <m:sSub>
          <m:sSubPr>
            <m:ctrlPr>
              <w:rPr>
                <w:rFonts w:ascii="Cambria Math" w:hAnsi="Cambria Math"/>
                <w:i/>
              </w:rPr>
            </m:ctrlPr>
          </m:sSubPr>
          <m:e>
            <m:r>
              <w:rPr>
                <w:rFonts w:ascii="Cambria Math" w:hAnsi="Cambria Math"/>
              </w:rPr>
              <m:t>w</m:t>
            </m:r>
          </m:e>
          <m:sub>
            <m:r>
              <w:rPr>
                <w:rFonts w:ascii="Cambria Math" w:hAnsi="Cambria Math"/>
              </w:rPr>
              <m:t>k</m:t>
            </m:r>
          </m:sub>
        </m:sSub>
      </m:oMath>
      <w:r>
        <w:rPr>
          <w:rFonts w:eastAsiaTheme="minorEastAsia"/>
        </w:rPr>
        <w:t>is the associated weight</w:t>
      </w:r>
      <w:r w:rsidR="00791632">
        <w:rPr>
          <w:rFonts w:eastAsiaTheme="minorEastAsia"/>
        </w:rPr>
        <w:t xml:space="preserve"> to variable </w:t>
      </w:r>
      <m:oMath>
        <m:r>
          <w:rPr>
            <w:rFonts w:ascii="Cambria Math" w:eastAsiaTheme="minorEastAsia" w:hAnsi="Cambria Math"/>
          </w:rPr>
          <m:t>k</m:t>
        </m:r>
      </m:oMath>
      <w:r w:rsidR="00147030">
        <w:rPr>
          <w:rFonts w:eastAsiaTheme="minorEastAsia"/>
        </w:rPr>
        <w:t xml:space="preserve"> and </w:t>
      </w:r>
      <m:oMath>
        <m:nary>
          <m:naryPr>
            <m:chr m:val="∑"/>
            <m:supHide m:val="1"/>
            <m:ctrlPr>
              <w:rPr>
                <w:rFonts w:ascii="Cambria Math" w:eastAsiaTheme="minorEastAsia" w:hAnsi="Cambria Math"/>
              </w:rPr>
            </m:ctrlPr>
          </m:naryPr>
          <m:sub>
            <m:r>
              <w:rPr>
                <w:rFonts w:ascii="Cambria Math" w:eastAsiaTheme="minorEastAsia" w:hAnsi="Cambria Math"/>
              </w:rPr>
              <m:t>k</m:t>
            </m:r>
            <m:ctrlPr>
              <w:rPr>
                <w:rFonts w:ascii="Cambria Math" w:eastAsiaTheme="minorEastAsia" w:hAnsi="Cambria Math"/>
                <w:i/>
              </w:rPr>
            </m:ctrlPr>
          </m:sub>
          <m:sup>
            <m:ctrlPr>
              <w:rPr>
                <w:rFonts w:ascii="Cambria Math" w:eastAsiaTheme="minorEastAsia" w:hAnsi="Cambria Math"/>
                <w:i/>
              </w:rPr>
            </m:ctrlPr>
          </m:sup>
          <m:e>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k</m:t>
                </m:r>
              </m:sub>
            </m:sSub>
            <m:ctrlPr>
              <w:rPr>
                <w:rFonts w:ascii="Cambria Math" w:eastAsiaTheme="minorEastAsia" w:hAnsi="Cambria Math"/>
                <w:i/>
              </w:rPr>
            </m:ctrlPr>
          </m:e>
        </m:nary>
        <m:r>
          <w:rPr>
            <w:rFonts w:ascii="Cambria Math" w:eastAsiaTheme="minorEastAsia" w:hAnsi="Cambria Math"/>
          </w:rPr>
          <m:t>=1</m:t>
        </m:r>
      </m:oMath>
      <w:r>
        <w:rPr>
          <w:rFonts w:eastAsiaTheme="minorEastAsia"/>
        </w:rPr>
        <w:t>.</w:t>
      </w:r>
      <w:r w:rsidR="00E96C04">
        <w:rPr>
          <w:rFonts w:eastAsiaTheme="minorEastAsia"/>
        </w:rPr>
        <w:t xml:space="preserve"> </w:t>
      </w:r>
      <w:r w:rsidR="00A35730">
        <w:t>Given matrix</w:t>
      </w:r>
      <w:r w:rsidR="00EC13BE">
        <w:t xml:space="preserve"> </w:t>
      </w:r>
      <m:oMath>
        <m:r>
          <w:rPr>
            <w:rFonts w:ascii="Cambria Math" w:hAnsi="Cambria Math"/>
          </w:rPr>
          <m:t>D</m:t>
        </m:r>
      </m:oMath>
      <w:r w:rsidR="00A35730">
        <w:t xml:space="preserve">, </w:t>
      </w:r>
      <w:r w:rsidR="00E6049D">
        <w:t>multi</w:t>
      </w:r>
      <w:r w:rsidR="00A35730">
        <w:t>dimensional scaling (</w:t>
      </w:r>
      <w:r w:rsidR="00E6049D">
        <w:t>MDS</w:t>
      </w:r>
      <w:r w:rsidR="00A35730">
        <w:t xml:space="preserve">) can be used to reduce the dimensionality. </w:t>
      </w:r>
      <w:r w:rsidR="00E96C04">
        <w:t>Where all individual distance measures are metric, classical multi-dimensional scaling (principal coordinates analysis) can be used. If non-metric measures</w:t>
      </w:r>
      <w:r w:rsidR="00F2422E">
        <w:t>,</w:t>
      </w:r>
      <w:r w:rsidR="00E96C04">
        <w:t xml:space="preserve"> such as Bray-Curtis</w:t>
      </w:r>
      <w:r w:rsidR="0058009C">
        <w:t xml:space="preserve"> dissimilarities</w:t>
      </w:r>
      <w:r w:rsidR="00F2422E">
        <w:t>,</w:t>
      </w:r>
      <w:r w:rsidR="00E96C04">
        <w:t xml:space="preserve"> are </w:t>
      </w:r>
      <w:r w:rsidR="0058009C">
        <w:t>included</w:t>
      </w:r>
      <w:r w:rsidR="00E731E3">
        <w:t>,</w:t>
      </w:r>
      <w:r w:rsidR="0058009C">
        <w:t xml:space="preserve"> </w:t>
      </w:r>
      <w:r w:rsidR="00E96C04">
        <w:t xml:space="preserve">non-metric multidimensional scaling </w:t>
      </w:r>
      <w:r w:rsidR="0058009C">
        <w:t>should be</w:t>
      </w:r>
      <w:r w:rsidR="00E96C04">
        <w:t xml:space="preserve"> used</w:t>
      </w:r>
      <w:r w:rsidR="0058009C">
        <w:t xml:space="preserve"> instead</w:t>
      </w:r>
      <w:r w:rsidR="00E96C04">
        <w:t xml:space="preserve">. </w:t>
      </w:r>
      <w:r w:rsidR="00E96C04">
        <w:rPr>
          <w:rFonts w:eastAsiaTheme="minorEastAsia"/>
        </w:rPr>
        <w:t xml:space="preserve">If </w:t>
      </w:r>
      <m:oMath>
        <m:r>
          <w:rPr>
            <w:rFonts w:ascii="Cambria Math" w:hAnsi="Cambria Math"/>
          </w:rPr>
          <m:t>D</m:t>
        </m:r>
      </m:oMath>
      <w:r w:rsidR="00E96C04">
        <w:rPr>
          <w:rFonts w:eastAsiaTheme="minorEastAsia"/>
        </w:rPr>
        <w:t xml:space="preserve"> is given by a matrix of squared (not scaled) Euclidean distance, th</w:t>
      </w:r>
      <w:r w:rsidR="009F0A31">
        <w:rPr>
          <w:rFonts w:eastAsiaTheme="minorEastAsia"/>
        </w:rPr>
        <w:t>e resulting</w:t>
      </w:r>
      <w:r w:rsidR="00E96C04">
        <w:rPr>
          <w:rFonts w:eastAsiaTheme="minorEastAsia"/>
        </w:rPr>
        <w:t xml:space="preserve"> </w:t>
      </w:r>
      <w:r w:rsidR="0084761F">
        <w:rPr>
          <w:rFonts w:eastAsiaTheme="minorEastAsia"/>
        </w:rPr>
        <w:t xml:space="preserve">classical </w:t>
      </w:r>
      <w:r w:rsidR="00E96C04">
        <w:rPr>
          <w:rFonts w:eastAsiaTheme="minorEastAsia"/>
        </w:rPr>
        <w:t>MDS is equivalent to a principal components analysis</w:t>
      </w:r>
      <w:r w:rsidR="009F0A31">
        <w:rPr>
          <w:rFonts w:eastAsiaTheme="minorEastAsia"/>
        </w:rPr>
        <w:t xml:space="preserve">. </w:t>
      </w:r>
      <w:r w:rsidR="00A35730">
        <w:t>Choosing the number of dimensions to retain is subjective</w:t>
      </w:r>
      <w:r w:rsidR="00E731E3">
        <w:t>,</w:t>
      </w:r>
      <w:r w:rsidR="00A35730">
        <w:t xml:space="preserve"> but generally it is preferable to keep a relatively small number that captures </w:t>
      </w:r>
      <w:r w:rsidR="00A35730">
        <w:t xml:space="preserve">the majority </w:t>
      </w:r>
      <w:r w:rsidR="00A35730">
        <w:t>of the variation of the original data.</w:t>
      </w:r>
      <w:r w:rsidR="0058009C">
        <w:t xml:space="preserve"> In addition, if multi-collinearity has not been addressed in the weighting options of the previous step, a user may wish to scale the resulting orthogonalized variables.</w:t>
      </w:r>
      <w:r w:rsidR="00E6049D">
        <w:t xml:space="preserve"> </w:t>
      </w:r>
      <w:r w:rsidR="000378FA">
        <w:rPr>
          <w:rFonts w:eastAsiaTheme="minorEastAsia"/>
        </w:rPr>
        <w:t xml:space="preserve">Let </w:t>
      </w:r>
      <m:oMath>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m:t>
            </m:r>
          </m:sup>
        </m:sSup>
      </m:oMath>
      <w:r w:rsidR="000378FA">
        <w:rPr>
          <w:rFonts w:eastAsiaTheme="minorEastAsia"/>
        </w:rPr>
        <w:t xml:space="preserve"> be the Euclidean distance of the reduced dimensional representation of the data. </w:t>
      </w:r>
    </w:p>
    <w:p w14:paraId="6416F912" w14:textId="1FBAA5DC" w:rsidR="0058009C" w:rsidRPr="0058009C" w:rsidRDefault="0058009C" w:rsidP="00111045">
      <w:pPr>
        <w:spacing w:line="360" w:lineRule="auto"/>
        <w:jc w:val="both"/>
        <w:rPr>
          <w:rFonts w:eastAsiaTheme="minorEastAsia"/>
        </w:rPr>
      </w:pPr>
      <w:r>
        <w:rPr>
          <w:rFonts w:eastAsiaTheme="minorEastAsia"/>
        </w:rPr>
        <w:t xml:space="preserve">Multiple dissimilarity measures are available in </w:t>
      </w:r>
      <w:r>
        <w:rPr>
          <w:rFonts w:eastAsiaTheme="minorEastAsia"/>
          <w:i/>
          <w:iCs/>
        </w:rPr>
        <w:t>TypologyGenerator</w:t>
      </w:r>
      <w:r>
        <w:rPr>
          <w:rFonts w:eastAsiaTheme="minorEastAsia"/>
        </w:rPr>
        <w:t xml:space="preserve"> and can be selected for each variable in turn (Figure 1). The dimension reduction options as implemented in the Murehwa case study are illustrated in Figure 3. </w:t>
      </w:r>
    </w:p>
    <w:p w14:paraId="35A12822" w14:textId="56799AC0" w:rsidR="00455849" w:rsidRDefault="00455849" w:rsidP="00111045">
      <w:pPr>
        <w:spacing w:line="360" w:lineRule="auto"/>
        <w:jc w:val="both"/>
      </w:pPr>
      <w:r w:rsidRPr="00912806">
        <w:rPr>
          <w:noProof/>
        </w:rPr>
        <w:drawing>
          <wp:inline distT="0" distB="0" distL="0" distR="0" wp14:anchorId="4676AAEF" wp14:editId="249C74C9">
            <wp:extent cx="5731510" cy="480314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4803140"/>
                    </a:xfrm>
                    <a:prstGeom prst="rect">
                      <a:avLst/>
                    </a:prstGeom>
                  </pic:spPr>
                </pic:pic>
              </a:graphicData>
            </a:graphic>
          </wp:inline>
        </w:drawing>
      </w:r>
    </w:p>
    <w:p w14:paraId="06028D9C" w14:textId="2DEDD02F" w:rsidR="0058009C" w:rsidRDefault="0058009C" w:rsidP="0031286D">
      <w:pPr>
        <w:spacing w:line="240" w:lineRule="auto"/>
        <w:jc w:val="both"/>
      </w:pPr>
      <w:r>
        <w:t xml:space="preserve">Figure 3: Screenshot from </w:t>
      </w:r>
      <w:r>
        <w:rPr>
          <w:i/>
          <w:iCs/>
        </w:rPr>
        <w:t>TypologyGenerator</w:t>
      </w:r>
      <w:r>
        <w:t xml:space="preserve"> illustrating the options available for dimension reduction. Once a user has decided to implement the dimension reduction step along with whether metric or non-metric multi-dimensional scaling is to be used, a diagnostic plot showing the accumulated variance accounted for by each dimension is shown allowing the user to select an appropriate number of dimensions for downstream analysis. The user can choose to scale the resulting orthogonalized variables. </w:t>
      </w:r>
    </w:p>
    <w:p w14:paraId="12328993" w14:textId="2AFF4E33" w:rsidR="0058009C" w:rsidRPr="0058009C" w:rsidRDefault="0058009C" w:rsidP="00111045">
      <w:pPr>
        <w:spacing w:line="360" w:lineRule="auto"/>
        <w:jc w:val="both"/>
      </w:pPr>
    </w:p>
    <w:p w14:paraId="313A1047" w14:textId="57FB908B" w:rsidR="00295153" w:rsidRDefault="00A35730" w:rsidP="00111045">
      <w:pPr>
        <w:spacing w:line="360" w:lineRule="auto"/>
        <w:jc w:val="both"/>
      </w:pPr>
      <w:r>
        <w:rPr>
          <w:i/>
          <w:iCs/>
        </w:rPr>
        <w:t>Cluster formation</w:t>
      </w:r>
      <w:r w:rsidR="00ED02F0">
        <w:rPr>
          <w:i/>
          <w:iCs/>
        </w:rPr>
        <w:t>.</w:t>
      </w:r>
      <w:r>
        <w:t xml:space="preserve"> </w:t>
      </w:r>
      <w:r w:rsidR="00295153">
        <w:t xml:space="preserve">A plethora of clustering methods exist within the literature. Here, we have implemented two distinct methods; hierarchical clustering and k-means. For hierarchical clustering either the </w:t>
      </w:r>
      <w:r w:rsidR="000378FA">
        <w:t xml:space="preserve">matrix </w:t>
      </w:r>
      <m:oMath>
        <m:r>
          <w:rPr>
            <w:rFonts w:ascii="Cambria Math" w:hAnsi="Cambria Math"/>
          </w:rPr>
          <m:t>D</m:t>
        </m:r>
      </m:oMath>
      <w:r w:rsidR="00EC13BE">
        <w:rPr>
          <w:rFonts w:eastAsiaTheme="minorEastAsia"/>
        </w:rPr>
        <w:t xml:space="preserve"> </w:t>
      </w:r>
      <w:r w:rsidR="000378FA">
        <w:t xml:space="preserve"> or </w:t>
      </w:r>
      <m:oMath>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m:t>
            </m:r>
          </m:sup>
        </m:sSup>
      </m:oMath>
      <w:r w:rsidR="000378FA">
        <w:t xml:space="preserve"> are used as inputs</w:t>
      </w:r>
      <w:r>
        <w:t xml:space="preserve">. </w:t>
      </w:r>
      <w:r w:rsidR="00295153">
        <w:t>The resulting typologies are obtained by “cutting” the associated dendrogram at a user defined point to define distinct clusters. For k-means, either the original variables or the reduced dimensional representation of them are used as inputs. For k-means clustering, the number of groups is defined in advance of the clustering. This is again a subjective choice and different values can be inputted to investigate how the allocations differ. The aim of k-means clustering is to minimise the within group sums of squares (equivalently to maximise the between group sums of squares)</w:t>
      </w:r>
      <w:r w:rsidR="00ED02F0">
        <w:t xml:space="preserve"> </w:t>
      </w:r>
      <w:r w:rsidR="00ED02F0" w:rsidRPr="00ED02F0">
        <w:rPr>
          <w:color w:val="FF0000"/>
        </w:rPr>
        <w:t xml:space="preserve">which is displayed in a diagnostic plot within </w:t>
      </w:r>
      <w:r w:rsidR="00ED02F0" w:rsidRPr="00ED02F0">
        <w:rPr>
          <w:i/>
          <w:iCs/>
          <w:color w:val="FF0000"/>
        </w:rPr>
        <w:t>TypologyGenerator</w:t>
      </w:r>
      <w:r w:rsidR="00ED02F0">
        <w:rPr>
          <w:i/>
          <w:iCs/>
          <w:color w:val="FF0000"/>
        </w:rPr>
        <w:t xml:space="preserve"> (Figure 4)</w:t>
      </w:r>
      <w:r w:rsidR="00295153">
        <w:t xml:space="preserve">. </w:t>
      </w:r>
    </w:p>
    <w:p w14:paraId="3C9501DE" w14:textId="77777777" w:rsidR="00295153" w:rsidRDefault="00295153" w:rsidP="00295153">
      <w:pPr>
        <w:spacing w:line="360" w:lineRule="auto"/>
        <w:jc w:val="both"/>
      </w:pPr>
      <w:r w:rsidRPr="00912806">
        <w:rPr>
          <w:noProof/>
        </w:rPr>
        <w:drawing>
          <wp:inline distT="0" distB="0" distL="0" distR="0" wp14:anchorId="0069533F" wp14:editId="63AB3D93">
            <wp:extent cx="5731510" cy="374142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741420"/>
                    </a:xfrm>
                    <a:prstGeom prst="rect">
                      <a:avLst/>
                    </a:prstGeom>
                  </pic:spPr>
                </pic:pic>
              </a:graphicData>
            </a:graphic>
          </wp:inline>
        </w:drawing>
      </w:r>
    </w:p>
    <w:p w14:paraId="3B756409" w14:textId="77777777" w:rsidR="00295153" w:rsidRDefault="00295153" w:rsidP="00295153">
      <w:pPr>
        <w:spacing w:line="360" w:lineRule="auto"/>
        <w:jc w:val="both"/>
      </w:pPr>
      <w:r w:rsidRPr="00912806">
        <w:rPr>
          <w:noProof/>
        </w:rPr>
        <w:drawing>
          <wp:inline distT="0" distB="0" distL="0" distR="0" wp14:anchorId="3B661841" wp14:editId="56BD5466">
            <wp:extent cx="5731510" cy="400621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4006215"/>
                    </a:xfrm>
                    <a:prstGeom prst="rect">
                      <a:avLst/>
                    </a:prstGeom>
                  </pic:spPr>
                </pic:pic>
              </a:graphicData>
            </a:graphic>
          </wp:inline>
        </w:drawing>
      </w:r>
    </w:p>
    <w:p w14:paraId="68299F7D" w14:textId="330E8292" w:rsidR="00295153" w:rsidRDefault="00295153" w:rsidP="00E05046">
      <w:pPr>
        <w:spacing w:line="240" w:lineRule="auto"/>
        <w:jc w:val="both"/>
      </w:pPr>
      <w:r>
        <w:t xml:space="preserve">Figure </w:t>
      </w:r>
      <w:r w:rsidR="00ED02F0" w:rsidRPr="00ED02F0">
        <w:rPr>
          <w:color w:val="FF0000"/>
        </w:rPr>
        <w:t>4</w:t>
      </w:r>
      <w:r>
        <w:t xml:space="preserve">: Screenshots from </w:t>
      </w:r>
      <w:r>
        <w:rPr>
          <w:i/>
          <w:iCs/>
        </w:rPr>
        <w:t xml:space="preserve">TypologyGenerator </w:t>
      </w:r>
      <w:r>
        <w:t>illustrating the options for clustering. Two methods of clustering are currently available in the software i) hierarchical clustering (with four possible linkage methods) and ii) k-means clustering. In each case, figures are produced to aid the user in selecting an appropriate number of clusters. For the hierarchical clustering, a dendrogram is shown indicating how the observations are grouped. For k-means clustering, the between group sums of squares and within group sums of squares criteria are shown. The user then selects an appropriate number of clusters, ideally identifying an 'elbow' in the criteria as the number of clusters change.</w:t>
      </w:r>
    </w:p>
    <w:p w14:paraId="218B8490" w14:textId="1FD8715A" w:rsidR="00295153" w:rsidRDefault="00295153" w:rsidP="00295153">
      <w:pPr>
        <w:spacing w:line="360" w:lineRule="auto"/>
        <w:jc w:val="both"/>
      </w:pPr>
    </w:p>
    <w:p w14:paraId="71075750" w14:textId="5F0F8BEA" w:rsidR="00C50998" w:rsidRDefault="00873482" w:rsidP="00C50998">
      <w:pPr>
        <w:spacing w:line="360" w:lineRule="auto"/>
        <w:jc w:val="both"/>
      </w:pPr>
      <w:r w:rsidRPr="002829A8">
        <w:rPr>
          <w:i/>
          <w:iCs/>
        </w:rPr>
        <w:t>Validation</w:t>
      </w:r>
      <w:r w:rsidR="002829A8">
        <w:t xml:space="preserve"> </w:t>
      </w:r>
      <w:r w:rsidR="00E05046">
        <w:t>is the final step to define the typologies</w:t>
      </w:r>
      <w:r w:rsidR="002829A8">
        <w:t xml:space="preserve">. </w:t>
      </w:r>
      <w:r w:rsidR="003310DD">
        <w:t xml:space="preserve">ANOSIM (analysis of similarity) </w:t>
      </w:r>
      <w:r w:rsidR="00583238">
        <w:t xml:space="preserve">can be used </w:t>
      </w:r>
      <w:r w:rsidR="003310DD">
        <w:t xml:space="preserve">to measure </w:t>
      </w:r>
      <w:r w:rsidR="00583238">
        <w:t xml:space="preserve">the </w:t>
      </w:r>
      <w:r w:rsidR="003310DD">
        <w:t xml:space="preserve">degree of separation between groups (Righi </w:t>
      </w:r>
      <w:r w:rsidR="00E1609D">
        <w:t>et al.</w:t>
      </w:r>
      <w:r w:rsidR="00E1609D" w:rsidRPr="00E84A76">
        <w:t xml:space="preserve"> </w:t>
      </w:r>
      <w:r w:rsidR="003310DD">
        <w:t xml:space="preserve">2011, Pacini </w:t>
      </w:r>
      <w:r w:rsidR="00E1609D">
        <w:t>et al.</w:t>
      </w:r>
      <w:r w:rsidR="00E1609D" w:rsidRPr="00E84A76">
        <w:t xml:space="preserve"> </w:t>
      </w:r>
      <w:r w:rsidR="003310DD">
        <w:t>2013).</w:t>
      </w:r>
      <w:r w:rsidR="00583238">
        <w:t xml:space="preserve"> ANOSIM provides an analogous approach to ANOVA where the response variable is itself the dissimilarity matrix. Here, we implement the approach of permutation MANOVA (multivariate analysis of variance) as implemented by the adonis2 function in the vegan R package (</w:t>
      </w:r>
      <w:r w:rsidR="00E4761F">
        <w:t xml:space="preserve">Oksanen </w:t>
      </w:r>
      <w:r w:rsidR="00D03092">
        <w:t>et al.</w:t>
      </w:r>
      <w:r w:rsidR="00E4761F">
        <w:t xml:space="preserve"> 2022 and Anderson</w:t>
      </w:r>
      <w:r w:rsidR="00E1609D">
        <w:t xml:space="preserve"> et al.</w:t>
      </w:r>
      <w:r w:rsidR="00E1609D" w:rsidRPr="00E84A76">
        <w:t xml:space="preserve"> </w:t>
      </w:r>
      <w:r w:rsidR="00E4761F">
        <w:t>2001</w:t>
      </w:r>
      <w:r w:rsidR="00583238">
        <w:t xml:space="preserve">). </w:t>
      </w:r>
      <w:r w:rsidR="00E4761F">
        <w:t xml:space="preserve">The result is an ANOVA-like table with statistical significance assessed by permutation of whether the groups are statistically different or not. </w:t>
      </w:r>
    </w:p>
    <w:p w14:paraId="1642DCED" w14:textId="03478E72" w:rsidR="00C50998" w:rsidRDefault="00C50998" w:rsidP="00C50998">
      <w:pPr>
        <w:spacing w:line="360" w:lineRule="auto"/>
        <w:jc w:val="both"/>
      </w:pPr>
      <w:r>
        <w:t>In addition, a number of visual assessments can be made to a) investigate how well each variable is represented in the reduced dimensional space (</w:t>
      </w:r>
      <w:r w:rsidRPr="00ED02F0">
        <w:rPr>
          <w:color w:val="FF0000"/>
        </w:rPr>
        <w:t>if</w:t>
      </w:r>
      <w:r w:rsidR="00ED02F0" w:rsidRPr="00ED02F0">
        <w:rPr>
          <w:color w:val="FF0000"/>
        </w:rPr>
        <w:t xml:space="preserve"> a dimension reduction step is</w:t>
      </w:r>
      <w:r w:rsidRPr="00ED02F0">
        <w:rPr>
          <w:color w:val="FF0000"/>
        </w:rPr>
        <w:t xml:space="preserve"> </w:t>
      </w:r>
      <w:r>
        <w:t>chosen) b) investigate how well each variable is separated between clusters and c) what the clusters represent in terms of the original variables. These are illustrated in Figure</w:t>
      </w:r>
      <w:r w:rsidR="003E1835">
        <w:t>s</w:t>
      </w:r>
      <w:r>
        <w:t xml:space="preserve"> </w:t>
      </w:r>
      <w:r w:rsidR="00ED02F0" w:rsidRPr="00ED02F0">
        <w:rPr>
          <w:color w:val="FF0000"/>
        </w:rPr>
        <w:t>7</w:t>
      </w:r>
      <w:r w:rsidR="003E1835" w:rsidRPr="00ED02F0">
        <w:rPr>
          <w:color w:val="FF0000"/>
        </w:rPr>
        <w:t xml:space="preserve"> and </w:t>
      </w:r>
      <w:r w:rsidR="00ED02F0" w:rsidRPr="00ED02F0">
        <w:rPr>
          <w:color w:val="FF0000"/>
        </w:rPr>
        <w:t>8</w:t>
      </w:r>
      <w:r w:rsidRPr="00ED02F0">
        <w:rPr>
          <w:color w:val="FF0000"/>
        </w:rPr>
        <w:t xml:space="preserve"> </w:t>
      </w:r>
      <w:r>
        <w:t>for the Murehwa case study with a full set of graphical assessments given in Appendix A</w:t>
      </w:r>
      <w:r w:rsidR="001367C0" w:rsidRPr="001367C0">
        <w:rPr>
          <w:color w:val="FF0000"/>
        </w:rPr>
        <w:t>2</w:t>
      </w:r>
      <w:r>
        <w:t xml:space="preserve">. </w:t>
      </w:r>
    </w:p>
    <w:p w14:paraId="3CE5C2EF" w14:textId="24C1E3F2" w:rsidR="00C50998" w:rsidRDefault="00C50998" w:rsidP="00C50998">
      <w:pPr>
        <w:spacing w:line="360" w:lineRule="auto"/>
        <w:jc w:val="both"/>
      </w:pPr>
      <w:r>
        <w:t xml:space="preserve">For the purposes of the </w:t>
      </w:r>
      <w:r w:rsidR="001367C0" w:rsidRPr="001367C0">
        <w:rPr>
          <w:color w:val="FF0000"/>
        </w:rPr>
        <w:t>typology comparison</w:t>
      </w:r>
      <w:r w:rsidRPr="001367C0">
        <w:rPr>
          <w:color w:val="FF0000"/>
        </w:rPr>
        <w:t xml:space="preserve"> </w:t>
      </w:r>
      <w:r>
        <w:t xml:space="preserve">study, two quantitative assessments regarding the cluster definition are made. These are i) the evenness of the resulting groups </w:t>
      </w:r>
      <w:r w:rsidR="00E731E3">
        <w:t xml:space="preserve">and </w:t>
      </w:r>
      <w:r>
        <w:t>ii) the “clarity” of the groups. To calculate the evenness, we used Pielou’s evenness index often used as a measure of species ev</w:t>
      </w:r>
      <w:r w:rsidR="005929D3">
        <w:t>e</w:t>
      </w:r>
      <w:r>
        <w:t>nness in biodiversity studies. This is given by,</w:t>
      </w:r>
    </w:p>
    <w:p w14:paraId="55741560" w14:textId="77777777" w:rsidR="00C50998" w:rsidRPr="003A05C8" w:rsidRDefault="00C50998" w:rsidP="00C50998">
      <w:pPr>
        <w:spacing w:line="360" w:lineRule="auto"/>
        <w:jc w:val="both"/>
      </w:pPr>
      <m:oMathPara>
        <m:oMath>
          <m:r>
            <w:rPr>
              <w:rFonts w:ascii="Cambria Math" w:hAnsi="Cambria Math"/>
            </w:rPr>
            <m:t>J=</m:t>
          </m:r>
          <m:f>
            <m:fPr>
              <m:ctrlPr>
                <w:rPr>
                  <w:rFonts w:ascii="Cambria Math" w:hAnsi="Cambria Math"/>
                  <w:i/>
                </w:rPr>
              </m:ctrlPr>
            </m:fPr>
            <m:num>
              <m:r>
                <w:rPr>
                  <w:rFonts w:ascii="Cambria Math" w:hAnsi="Cambria Math"/>
                </w:rPr>
                <m:t>H</m:t>
              </m:r>
            </m:num>
            <m:den>
              <m:sSub>
                <m:sSubPr>
                  <m:ctrlPr>
                    <w:rPr>
                      <w:rFonts w:ascii="Cambria Math" w:hAnsi="Cambria Math"/>
                      <w:i/>
                    </w:rPr>
                  </m:ctrlPr>
                </m:sSubPr>
                <m:e>
                  <m:r>
                    <w:rPr>
                      <w:rFonts w:ascii="Cambria Math" w:hAnsi="Cambria Math"/>
                    </w:rPr>
                    <m:t>H</m:t>
                  </m:r>
                </m:e>
                <m:sub>
                  <m:r>
                    <w:rPr>
                      <w:rFonts w:ascii="Cambria Math" w:hAnsi="Cambria Math"/>
                    </w:rPr>
                    <m:t>max</m:t>
                  </m:r>
                </m:sub>
              </m:sSub>
            </m:den>
          </m:f>
          <m:r>
            <w:rPr>
              <w:rFonts w:ascii="Cambria Math" w:hAnsi="Cambria Math"/>
            </w:rPr>
            <m:t>,</m:t>
          </m:r>
        </m:oMath>
      </m:oMathPara>
    </w:p>
    <w:p w14:paraId="6164F9CF" w14:textId="6F044A05" w:rsidR="00C50998" w:rsidRDefault="00C50998" w:rsidP="00C50998">
      <w:pPr>
        <w:spacing w:line="360" w:lineRule="auto"/>
        <w:jc w:val="both"/>
      </w:pPr>
      <w:r>
        <w:t xml:space="preserve">where </w:t>
      </w:r>
      <m:oMath>
        <m:r>
          <w:rPr>
            <w:rFonts w:ascii="Cambria Math" w:hAnsi="Cambria Math"/>
          </w:rPr>
          <m:t>H</m:t>
        </m:r>
      </m:oMath>
      <w:r>
        <w:t xml:space="preserve"> is the Shannon diversity index given by </w:t>
      </w:r>
      <m:oMath>
        <m:r>
          <w:rPr>
            <w:rFonts w:ascii="Cambria Math" w:hAnsi="Cambria Math"/>
          </w:rPr>
          <m:t>H=-</m:t>
        </m:r>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p</m:t>
                </m:r>
              </m:e>
              <m:sub>
                <m:r>
                  <w:rPr>
                    <w:rFonts w:ascii="Cambria Math" w:hAnsi="Cambria Math"/>
                  </w:rPr>
                  <m:t>i</m:t>
                </m:r>
              </m:sub>
            </m:sSub>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p</m:t>
                    </m:r>
                  </m:e>
                  <m:sub>
                    <m:r>
                      <w:rPr>
                        <w:rFonts w:ascii="Cambria Math" w:hAnsi="Cambria Math"/>
                      </w:rPr>
                      <m:t>i</m:t>
                    </m:r>
                  </m:sub>
                </m:sSub>
              </m:e>
            </m:func>
          </m:e>
        </m:nary>
      </m:oMath>
      <w:r>
        <w:rPr>
          <w:rFonts w:eastAsiaTheme="minorEastAsia"/>
        </w:rPr>
        <w:t xml:space="preserve">where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Pr>
          <w:rFonts w:eastAsiaTheme="minorEastAsia"/>
        </w:rPr>
        <w:t xml:space="preserve"> is the proportion of observations belonging to group </w:t>
      </w:r>
      <m:oMath>
        <m:r>
          <w:rPr>
            <w:rFonts w:ascii="Cambria Math" w:eastAsiaTheme="minorEastAsia" w:hAnsi="Cambria Math"/>
          </w:rPr>
          <m:t>i</m:t>
        </m:r>
      </m:oMath>
      <w:r>
        <w:rPr>
          <w:rFonts w:eastAsiaTheme="minorEastAsia"/>
        </w:rPr>
        <w:t xml:space="preserve"> and </w:t>
      </w:r>
      <m:oMath>
        <m:sSub>
          <m:sSubPr>
            <m:ctrlPr>
              <w:rPr>
                <w:rFonts w:ascii="Cambria Math" w:hAnsi="Cambria Math"/>
                <w:i/>
              </w:rPr>
            </m:ctrlPr>
          </m:sSubPr>
          <m:e>
            <m:r>
              <w:rPr>
                <w:rFonts w:ascii="Cambria Math" w:hAnsi="Cambria Math"/>
              </w:rPr>
              <m:t>H</m:t>
            </m:r>
          </m:e>
          <m:sub>
            <m:r>
              <w:rPr>
                <w:rFonts w:ascii="Cambria Math" w:hAnsi="Cambria Math"/>
              </w:rPr>
              <m:t>max</m:t>
            </m:r>
          </m:sub>
        </m:sSub>
      </m:oMath>
      <w:r>
        <w:rPr>
          <w:rFonts w:eastAsiaTheme="minorEastAsia"/>
        </w:rPr>
        <w:t xml:space="preserve"> is given by the maximum possible value of </w:t>
      </w:r>
      <m:oMath>
        <m:r>
          <w:rPr>
            <w:rFonts w:ascii="Cambria Math" w:hAnsi="Cambria Math"/>
          </w:rPr>
          <m:t>H</m:t>
        </m:r>
      </m:oMath>
      <w:r>
        <w:rPr>
          <w:rFonts w:eastAsiaTheme="minorEastAsia"/>
        </w:rPr>
        <w:t xml:space="preserve"> (i.e.</w:t>
      </w:r>
      <w:r w:rsidR="007413FB">
        <w:rPr>
          <w:rFonts w:eastAsiaTheme="minorEastAsia"/>
        </w:rPr>
        <w:t>,</w:t>
      </w:r>
      <w:r>
        <w:rPr>
          <w:rFonts w:eastAsiaTheme="minorEastAsia"/>
        </w:rPr>
        <w:t xml:space="preserve"> if every group was of equal size). </w:t>
      </w:r>
      <m:oMath>
        <m:r>
          <w:rPr>
            <w:rFonts w:ascii="Cambria Math" w:hAnsi="Cambria Math"/>
          </w:rPr>
          <m:t>J</m:t>
        </m:r>
      </m:oMath>
      <w:r w:rsidR="005929D3">
        <w:rPr>
          <w:rFonts w:eastAsiaTheme="minorEastAsia"/>
        </w:rPr>
        <w:t xml:space="preserve"> is constrained between 0 and 1. The less even the clustering, i.e.</w:t>
      </w:r>
      <w:r w:rsidR="007413FB">
        <w:rPr>
          <w:rFonts w:eastAsiaTheme="minorEastAsia"/>
        </w:rPr>
        <w:t>,</w:t>
      </w:r>
      <w:r w:rsidR="005929D3">
        <w:rPr>
          <w:rFonts w:eastAsiaTheme="minorEastAsia"/>
        </w:rPr>
        <w:t xml:space="preserve"> more dominated by 1 group, the lower the value of </w:t>
      </w:r>
      <m:oMath>
        <m:r>
          <w:rPr>
            <w:rFonts w:ascii="Cambria Math" w:hAnsi="Cambria Math"/>
          </w:rPr>
          <m:t>J</m:t>
        </m:r>
      </m:oMath>
      <w:r w:rsidR="005929D3">
        <w:rPr>
          <w:rFonts w:eastAsiaTheme="minorEastAsia"/>
        </w:rPr>
        <w:t xml:space="preserve">. </w:t>
      </w:r>
      <w:r>
        <w:rPr>
          <w:rFonts w:eastAsiaTheme="minorEastAsia"/>
        </w:rPr>
        <w:t xml:space="preserve">To calculate the “clarity”, we calculate the range of dendrogram heights for which the chosen number of clusters would be obtained. </w:t>
      </w:r>
      <w:r>
        <w:t xml:space="preserve"> </w:t>
      </w:r>
    </w:p>
    <w:p w14:paraId="198B31CA" w14:textId="77777777" w:rsidR="003B1793" w:rsidRPr="00C06CA1" w:rsidRDefault="003B1793" w:rsidP="00C06CA1">
      <w:pPr>
        <w:spacing w:line="360" w:lineRule="auto"/>
        <w:jc w:val="both"/>
        <w:rPr>
          <w:rFonts w:cstheme="minorHAnsi"/>
        </w:rPr>
      </w:pPr>
    </w:p>
    <w:p w14:paraId="2743D2F0" w14:textId="586AC1FB" w:rsidR="00F07F04" w:rsidRPr="00F07F04" w:rsidRDefault="00F07F04" w:rsidP="00111045">
      <w:pPr>
        <w:spacing w:line="360" w:lineRule="auto"/>
        <w:jc w:val="both"/>
        <w:rPr>
          <w:b/>
          <w:bCs/>
        </w:rPr>
      </w:pPr>
      <w:r w:rsidRPr="00F07F04">
        <w:rPr>
          <w:b/>
          <w:bCs/>
        </w:rPr>
        <w:t>Results</w:t>
      </w:r>
    </w:p>
    <w:p w14:paraId="1BC676A3" w14:textId="3A50870A" w:rsidR="002D5B6F" w:rsidRDefault="00D419A8" w:rsidP="00111045">
      <w:pPr>
        <w:spacing w:line="360" w:lineRule="auto"/>
        <w:jc w:val="both"/>
      </w:pPr>
      <w:r>
        <w:t xml:space="preserve">Here we investigate the effect of different </w:t>
      </w:r>
      <w:r w:rsidR="00812976">
        <w:t xml:space="preserve">options on the construction of typologies for the Murehwa sampling survey. </w:t>
      </w:r>
      <w:r w:rsidR="00734ADD" w:rsidRPr="007F48F4">
        <w:rPr>
          <w:color w:val="FF0000"/>
        </w:rPr>
        <w:t xml:space="preserve">In total, </w:t>
      </w:r>
      <w:r w:rsidR="007A3A61">
        <w:t xml:space="preserve">36 different parameter sets were explored investigating the effect of variable categorisation (3 categories vs 1 category), </w:t>
      </w:r>
      <w:r w:rsidR="00255C75">
        <w:t xml:space="preserve">high level weighting of the categories </w:t>
      </w:r>
      <w:r w:rsidR="007A3A61">
        <w:t xml:space="preserve">(equal weight vs doubling the impact of structural variables), binary variables (included or not), </w:t>
      </w:r>
      <w:r w:rsidR="00255C75">
        <w:t xml:space="preserve">low level individual weighting of the </w:t>
      </w:r>
      <w:r w:rsidR="007A3A61">
        <w:t>binary variables (equal to continuous variables or downweighted by a factor of 2 or 3) and dimension reduction (either no reduction, or a PCO reduction satisfying a 40% or 50% variance explained threshold). In all cases, a hierarchical clustering approach with complete linkage was used with a visual assessment</w:t>
      </w:r>
      <w:r w:rsidR="00F11E6C">
        <w:t xml:space="preserve"> of the dendrogram</w:t>
      </w:r>
      <w:r w:rsidR="007A3A61">
        <w:t xml:space="preserve"> to define the final number of clusters. </w:t>
      </w:r>
      <w:r w:rsidR="00F11E6C">
        <w:t xml:space="preserve">The results are shown in </w:t>
      </w:r>
      <w:r w:rsidR="007A3A61">
        <w:t xml:space="preserve">Table 1 </w:t>
      </w:r>
      <w:r w:rsidR="00F11E6C">
        <w:t xml:space="preserve">and </w:t>
      </w:r>
      <w:r w:rsidR="007A3A61">
        <w:t>summarise</w:t>
      </w:r>
      <w:r w:rsidR="00F11E6C">
        <w:t xml:space="preserve">d in Figure </w:t>
      </w:r>
      <w:r w:rsidR="001367C0" w:rsidRPr="001367C0">
        <w:rPr>
          <w:color w:val="FF0000"/>
        </w:rPr>
        <w:t>5</w:t>
      </w:r>
      <w:r w:rsidR="00F11E6C">
        <w:t xml:space="preserve">. </w:t>
      </w:r>
    </w:p>
    <w:p w14:paraId="4A0EE25F" w14:textId="435AE3C3" w:rsidR="00AA2C50" w:rsidRDefault="00AA2C50" w:rsidP="00111045">
      <w:pPr>
        <w:spacing w:line="360" w:lineRule="auto"/>
        <w:jc w:val="both"/>
        <w:sectPr w:rsidR="00AA2C50" w:rsidSect="0000115B">
          <w:footerReference w:type="default" r:id="rId26"/>
          <w:pgSz w:w="11906" w:h="16838"/>
          <w:pgMar w:top="1440" w:right="1440" w:bottom="1440" w:left="1440" w:header="708" w:footer="708" w:gutter="0"/>
          <w:lnNumType w:countBy="1" w:restart="continuous"/>
          <w:cols w:space="708"/>
          <w:docGrid w:linePitch="360"/>
        </w:sectPr>
      </w:pPr>
    </w:p>
    <w:tbl>
      <w:tblPr>
        <w:tblW w:w="13220" w:type="dxa"/>
        <w:tblLook w:val="04A0" w:firstRow="1" w:lastRow="0" w:firstColumn="1" w:lastColumn="0" w:noHBand="0" w:noVBand="1"/>
      </w:tblPr>
      <w:tblGrid>
        <w:gridCol w:w="960"/>
        <w:gridCol w:w="1620"/>
        <w:gridCol w:w="1400"/>
        <w:gridCol w:w="960"/>
        <w:gridCol w:w="1360"/>
        <w:gridCol w:w="1440"/>
        <w:gridCol w:w="1340"/>
        <w:gridCol w:w="1300"/>
        <w:gridCol w:w="1420"/>
        <w:gridCol w:w="1420"/>
      </w:tblGrid>
      <w:tr w:rsidR="00CE0FF5" w:rsidRPr="00CE0FF5" w14:paraId="5345B571" w14:textId="77777777" w:rsidTr="00CE0FF5">
        <w:trPr>
          <w:trHeight w:val="20"/>
        </w:trPr>
        <w:tc>
          <w:tcPr>
            <w:tcW w:w="960" w:type="dxa"/>
            <w:tcBorders>
              <w:top w:val="single" w:sz="4" w:space="0" w:color="auto"/>
              <w:left w:val="single" w:sz="4" w:space="0" w:color="auto"/>
              <w:bottom w:val="single" w:sz="4" w:space="0" w:color="auto"/>
              <w:right w:val="nil"/>
            </w:tcBorders>
            <w:shd w:val="clear" w:color="auto" w:fill="auto"/>
            <w:vAlign w:val="bottom"/>
            <w:hideMark/>
          </w:tcPr>
          <w:p w14:paraId="58901D92" w14:textId="77777777" w:rsidR="00CE0FF5" w:rsidRPr="00CE0FF5" w:rsidRDefault="00CE0FF5" w:rsidP="00CE0FF5">
            <w:pPr>
              <w:spacing w:after="0" w:line="240" w:lineRule="auto"/>
              <w:jc w:val="center"/>
              <w:rPr>
                <w:rFonts w:ascii="Calibri" w:eastAsia="Times New Roman" w:hAnsi="Calibri" w:cs="Calibri"/>
                <w:b/>
                <w:bCs/>
                <w:color w:val="000000"/>
                <w:sz w:val="18"/>
                <w:szCs w:val="18"/>
                <w:lang w:eastAsia="en-GB"/>
              </w:rPr>
            </w:pPr>
            <w:r w:rsidRPr="00CE0FF5">
              <w:rPr>
                <w:rFonts w:ascii="Calibri" w:eastAsia="Times New Roman" w:hAnsi="Calibri" w:cs="Calibri"/>
                <w:b/>
                <w:bCs/>
                <w:color w:val="000000"/>
                <w:sz w:val="18"/>
                <w:szCs w:val="18"/>
                <w:lang w:eastAsia="en-GB"/>
              </w:rPr>
              <w:t>Binary Variables</w:t>
            </w:r>
          </w:p>
        </w:tc>
        <w:tc>
          <w:tcPr>
            <w:tcW w:w="1620" w:type="dxa"/>
            <w:tcBorders>
              <w:top w:val="single" w:sz="4" w:space="0" w:color="auto"/>
              <w:left w:val="nil"/>
              <w:bottom w:val="single" w:sz="4" w:space="0" w:color="auto"/>
              <w:right w:val="nil"/>
            </w:tcBorders>
            <w:shd w:val="clear" w:color="auto" w:fill="auto"/>
            <w:vAlign w:val="bottom"/>
            <w:hideMark/>
          </w:tcPr>
          <w:p w14:paraId="2BCB4D52" w14:textId="77777777" w:rsidR="00CE0FF5" w:rsidRPr="00CE0FF5" w:rsidRDefault="00CE0FF5" w:rsidP="00CE0FF5">
            <w:pPr>
              <w:spacing w:after="0" w:line="240" w:lineRule="auto"/>
              <w:jc w:val="center"/>
              <w:rPr>
                <w:rFonts w:ascii="Calibri" w:eastAsia="Times New Roman" w:hAnsi="Calibri" w:cs="Calibri"/>
                <w:b/>
                <w:bCs/>
                <w:color w:val="000000"/>
                <w:sz w:val="18"/>
                <w:szCs w:val="18"/>
                <w:lang w:eastAsia="en-GB"/>
              </w:rPr>
            </w:pPr>
            <w:r w:rsidRPr="00CE0FF5">
              <w:rPr>
                <w:rFonts w:ascii="Calibri" w:eastAsia="Times New Roman" w:hAnsi="Calibri" w:cs="Calibri"/>
                <w:b/>
                <w:bCs/>
                <w:color w:val="000000"/>
                <w:sz w:val="18"/>
                <w:szCs w:val="18"/>
                <w:lang w:eastAsia="en-GB"/>
              </w:rPr>
              <w:t>Binary weights (downweighted factor)</w:t>
            </w:r>
          </w:p>
        </w:tc>
        <w:tc>
          <w:tcPr>
            <w:tcW w:w="1400" w:type="dxa"/>
            <w:tcBorders>
              <w:top w:val="single" w:sz="4" w:space="0" w:color="auto"/>
              <w:left w:val="nil"/>
              <w:bottom w:val="single" w:sz="4" w:space="0" w:color="auto"/>
              <w:right w:val="nil"/>
            </w:tcBorders>
            <w:shd w:val="clear" w:color="auto" w:fill="auto"/>
            <w:vAlign w:val="bottom"/>
            <w:hideMark/>
          </w:tcPr>
          <w:p w14:paraId="3162101E" w14:textId="77777777" w:rsidR="00CE0FF5" w:rsidRPr="00CE0FF5" w:rsidRDefault="00CE0FF5" w:rsidP="00CE0FF5">
            <w:pPr>
              <w:spacing w:after="0" w:line="240" w:lineRule="auto"/>
              <w:jc w:val="center"/>
              <w:rPr>
                <w:rFonts w:ascii="Calibri" w:eastAsia="Times New Roman" w:hAnsi="Calibri" w:cs="Calibri"/>
                <w:b/>
                <w:bCs/>
                <w:color w:val="000000"/>
                <w:sz w:val="18"/>
                <w:szCs w:val="18"/>
                <w:lang w:eastAsia="en-GB"/>
              </w:rPr>
            </w:pPr>
            <w:r w:rsidRPr="00CE0FF5">
              <w:rPr>
                <w:rFonts w:ascii="Calibri" w:eastAsia="Times New Roman" w:hAnsi="Calibri" w:cs="Calibri"/>
                <w:b/>
                <w:bCs/>
                <w:color w:val="000000"/>
                <w:sz w:val="18"/>
                <w:szCs w:val="18"/>
                <w:lang w:eastAsia="en-GB"/>
              </w:rPr>
              <w:t>Variable categorisation</w:t>
            </w:r>
          </w:p>
        </w:tc>
        <w:tc>
          <w:tcPr>
            <w:tcW w:w="960" w:type="dxa"/>
            <w:tcBorders>
              <w:top w:val="single" w:sz="4" w:space="0" w:color="auto"/>
              <w:left w:val="nil"/>
              <w:bottom w:val="single" w:sz="4" w:space="0" w:color="auto"/>
              <w:right w:val="nil"/>
            </w:tcBorders>
            <w:shd w:val="clear" w:color="auto" w:fill="auto"/>
            <w:vAlign w:val="bottom"/>
            <w:hideMark/>
          </w:tcPr>
          <w:p w14:paraId="1A1113C3" w14:textId="77777777" w:rsidR="00CE0FF5" w:rsidRPr="00CE0FF5" w:rsidRDefault="00CE0FF5" w:rsidP="00CE0FF5">
            <w:pPr>
              <w:spacing w:after="0" w:line="240" w:lineRule="auto"/>
              <w:jc w:val="center"/>
              <w:rPr>
                <w:rFonts w:ascii="Calibri" w:eastAsia="Times New Roman" w:hAnsi="Calibri" w:cs="Calibri"/>
                <w:b/>
                <w:bCs/>
                <w:color w:val="000000"/>
                <w:sz w:val="18"/>
                <w:szCs w:val="18"/>
                <w:lang w:eastAsia="en-GB"/>
              </w:rPr>
            </w:pPr>
            <w:r w:rsidRPr="00CE0FF5">
              <w:rPr>
                <w:rFonts w:ascii="Calibri" w:eastAsia="Times New Roman" w:hAnsi="Calibri" w:cs="Calibri"/>
                <w:b/>
                <w:bCs/>
                <w:color w:val="000000"/>
                <w:sz w:val="18"/>
                <w:szCs w:val="18"/>
                <w:lang w:eastAsia="en-GB"/>
              </w:rPr>
              <w:t>Category weights</w:t>
            </w:r>
          </w:p>
        </w:tc>
        <w:tc>
          <w:tcPr>
            <w:tcW w:w="1360" w:type="dxa"/>
            <w:tcBorders>
              <w:top w:val="single" w:sz="4" w:space="0" w:color="auto"/>
              <w:left w:val="nil"/>
              <w:bottom w:val="single" w:sz="4" w:space="0" w:color="auto"/>
              <w:right w:val="nil"/>
            </w:tcBorders>
            <w:shd w:val="clear" w:color="auto" w:fill="auto"/>
            <w:vAlign w:val="bottom"/>
            <w:hideMark/>
          </w:tcPr>
          <w:p w14:paraId="1C2FD08C" w14:textId="77777777" w:rsidR="00CE0FF5" w:rsidRPr="00CE0FF5" w:rsidRDefault="00CE0FF5" w:rsidP="00CE0FF5">
            <w:pPr>
              <w:spacing w:after="0" w:line="240" w:lineRule="auto"/>
              <w:jc w:val="center"/>
              <w:rPr>
                <w:rFonts w:ascii="Calibri" w:eastAsia="Times New Roman" w:hAnsi="Calibri" w:cs="Calibri"/>
                <w:b/>
                <w:bCs/>
                <w:color w:val="000000"/>
                <w:sz w:val="18"/>
                <w:szCs w:val="18"/>
                <w:lang w:eastAsia="en-GB"/>
              </w:rPr>
            </w:pPr>
            <w:r w:rsidRPr="00CE0FF5">
              <w:rPr>
                <w:rFonts w:ascii="Calibri" w:eastAsia="Times New Roman" w:hAnsi="Calibri" w:cs="Calibri"/>
                <w:b/>
                <w:bCs/>
                <w:color w:val="000000"/>
                <w:sz w:val="18"/>
                <w:szCs w:val="18"/>
                <w:lang w:eastAsia="en-GB"/>
              </w:rPr>
              <w:t>Dimension Reduction</w:t>
            </w:r>
          </w:p>
        </w:tc>
        <w:tc>
          <w:tcPr>
            <w:tcW w:w="1440" w:type="dxa"/>
            <w:tcBorders>
              <w:top w:val="single" w:sz="4" w:space="0" w:color="auto"/>
              <w:left w:val="nil"/>
              <w:bottom w:val="single" w:sz="4" w:space="0" w:color="auto"/>
              <w:right w:val="nil"/>
            </w:tcBorders>
            <w:shd w:val="clear" w:color="auto" w:fill="auto"/>
            <w:vAlign w:val="bottom"/>
            <w:hideMark/>
          </w:tcPr>
          <w:p w14:paraId="716040E1" w14:textId="77777777" w:rsidR="00CE0FF5" w:rsidRPr="00CE0FF5" w:rsidRDefault="00CE0FF5" w:rsidP="00CE0FF5">
            <w:pPr>
              <w:spacing w:after="0" w:line="240" w:lineRule="auto"/>
              <w:jc w:val="center"/>
              <w:rPr>
                <w:rFonts w:ascii="Calibri" w:eastAsia="Times New Roman" w:hAnsi="Calibri" w:cs="Calibri"/>
                <w:b/>
                <w:bCs/>
                <w:color w:val="000000"/>
                <w:sz w:val="18"/>
                <w:szCs w:val="18"/>
                <w:lang w:eastAsia="en-GB"/>
              </w:rPr>
            </w:pPr>
            <w:r w:rsidRPr="00CE0FF5">
              <w:rPr>
                <w:rFonts w:ascii="Calibri" w:eastAsia="Times New Roman" w:hAnsi="Calibri" w:cs="Calibri"/>
                <w:b/>
                <w:bCs/>
                <w:color w:val="000000"/>
                <w:sz w:val="18"/>
                <w:szCs w:val="18"/>
                <w:lang w:eastAsia="en-GB"/>
              </w:rPr>
              <w:t>Threshold for dimension reduction</w:t>
            </w:r>
          </w:p>
        </w:tc>
        <w:tc>
          <w:tcPr>
            <w:tcW w:w="1340" w:type="dxa"/>
            <w:tcBorders>
              <w:top w:val="single" w:sz="4" w:space="0" w:color="auto"/>
              <w:left w:val="nil"/>
              <w:bottom w:val="single" w:sz="4" w:space="0" w:color="auto"/>
              <w:right w:val="nil"/>
            </w:tcBorders>
            <w:shd w:val="clear" w:color="auto" w:fill="auto"/>
            <w:vAlign w:val="bottom"/>
            <w:hideMark/>
          </w:tcPr>
          <w:p w14:paraId="14A5F685" w14:textId="77777777" w:rsidR="00CE0FF5" w:rsidRPr="00CE0FF5" w:rsidRDefault="00CE0FF5" w:rsidP="00CE0FF5">
            <w:pPr>
              <w:spacing w:after="0" w:line="240" w:lineRule="auto"/>
              <w:jc w:val="center"/>
              <w:rPr>
                <w:rFonts w:ascii="Calibri" w:eastAsia="Times New Roman" w:hAnsi="Calibri" w:cs="Calibri"/>
                <w:b/>
                <w:bCs/>
                <w:color w:val="000000"/>
                <w:sz w:val="18"/>
                <w:szCs w:val="18"/>
                <w:lang w:eastAsia="en-GB"/>
              </w:rPr>
            </w:pPr>
            <w:r w:rsidRPr="00CE0FF5">
              <w:rPr>
                <w:rFonts w:ascii="Calibri" w:eastAsia="Times New Roman" w:hAnsi="Calibri" w:cs="Calibri"/>
                <w:b/>
                <w:bCs/>
                <w:color w:val="000000"/>
                <w:sz w:val="18"/>
                <w:szCs w:val="18"/>
                <w:lang w:eastAsia="en-GB"/>
              </w:rPr>
              <w:t>Number of dimensions retained</w:t>
            </w:r>
          </w:p>
        </w:tc>
        <w:tc>
          <w:tcPr>
            <w:tcW w:w="1300" w:type="dxa"/>
            <w:tcBorders>
              <w:top w:val="single" w:sz="4" w:space="0" w:color="auto"/>
              <w:left w:val="nil"/>
              <w:bottom w:val="single" w:sz="4" w:space="0" w:color="auto"/>
              <w:right w:val="nil"/>
            </w:tcBorders>
            <w:shd w:val="clear" w:color="auto" w:fill="auto"/>
            <w:vAlign w:val="bottom"/>
            <w:hideMark/>
          </w:tcPr>
          <w:p w14:paraId="3DEF0CAE" w14:textId="77777777" w:rsidR="00CE0FF5" w:rsidRPr="00CE0FF5" w:rsidRDefault="00CE0FF5" w:rsidP="00CE0FF5">
            <w:pPr>
              <w:spacing w:after="0" w:line="240" w:lineRule="auto"/>
              <w:jc w:val="center"/>
              <w:rPr>
                <w:rFonts w:ascii="Calibri" w:eastAsia="Times New Roman" w:hAnsi="Calibri" w:cs="Calibri"/>
                <w:b/>
                <w:bCs/>
                <w:color w:val="000000"/>
                <w:sz w:val="18"/>
                <w:szCs w:val="18"/>
                <w:lang w:eastAsia="en-GB"/>
              </w:rPr>
            </w:pPr>
            <w:r w:rsidRPr="00CE0FF5">
              <w:rPr>
                <w:rFonts w:ascii="Calibri" w:eastAsia="Times New Roman" w:hAnsi="Calibri" w:cs="Calibri"/>
                <w:b/>
                <w:bCs/>
                <w:color w:val="000000"/>
                <w:sz w:val="18"/>
                <w:szCs w:val="18"/>
                <w:lang w:eastAsia="en-GB"/>
              </w:rPr>
              <w:t>Number of clusters</w:t>
            </w:r>
          </w:p>
        </w:tc>
        <w:tc>
          <w:tcPr>
            <w:tcW w:w="1420" w:type="dxa"/>
            <w:tcBorders>
              <w:top w:val="single" w:sz="4" w:space="0" w:color="auto"/>
              <w:left w:val="nil"/>
              <w:bottom w:val="single" w:sz="4" w:space="0" w:color="auto"/>
              <w:right w:val="nil"/>
            </w:tcBorders>
            <w:shd w:val="clear" w:color="auto" w:fill="auto"/>
            <w:vAlign w:val="bottom"/>
            <w:hideMark/>
          </w:tcPr>
          <w:p w14:paraId="16C64A2D" w14:textId="77777777" w:rsidR="00CE0FF5" w:rsidRPr="00CE0FF5" w:rsidRDefault="00CE0FF5" w:rsidP="00CE0FF5">
            <w:pPr>
              <w:spacing w:after="0" w:line="240" w:lineRule="auto"/>
              <w:jc w:val="center"/>
              <w:rPr>
                <w:rFonts w:ascii="Calibri" w:eastAsia="Times New Roman" w:hAnsi="Calibri" w:cs="Calibri"/>
                <w:b/>
                <w:bCs/>
                <w:color w:val="000000"/>
                <w:sz w:val="18"/>
                <w:szCs w:val="18"/>
                <w:lang w:eastAsia="en-GB"/>
              </w:rPr>
            </w:pPr>
            <w:r w:rsidRPr="00CE0FF5">
              <w:rPr>
                <w:rFonts w:ascii="Calibri" w:eastAsia="Times New Roman" w:hAnsi="Calibri" w:cs="Calibri"/>
                <w:b/>
                <w:bCs/>
                <w:color w:val="000000"/>
                <w:sz w:val="18"/>
                <w:szCs w:val="18"/>
                <w:lang w:eastAsia="en-GB"/>
              </w:rPr>
              <w:t>F value (Analysis of dissimilarity)</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14:paraId="50186774" w14:textId="77777777" w:rsidR="00CE0FF5" w:rsidRPr="00CE0FF5" w:rsidRDefault="00CE0FF5" w:rsidP="00CE0FF5">
            <w:pPr>
              <w:spacing w:after="0" w:line="240" w:lineRule="auto"/>
              <w:jc w:val="center"/>
              <w:rPr>
                <w:rFonts w:ascii="Calibri" w:eastAsia="Times New Roman" w:hAnsi="Calibri" w:cs="Calibri"/>
                <w:b/>
                <w:bCs/>
                <w:color w:val="000000"/>
                <w:sz w:val="18"/>
                <w:szCs w:val="18"/>
                <w:lang w:eastAsia="en-GB"/>
              </w:rPr>
            </w:pPr>
            <w:r w:rsidRPr="00CE0FF5">
              <w:rPr>
                <w:rFonts w:ascii="Calibri" w:eastAsia="Times New Roman" w:hAnsi="Calibri" w:cs="Calibri"/>
                <w:b/>
                <w:bCs/>
                <w:color w:val="000000"/>
                <w:sz w:val="18"/>
                <w:szCs w:val="18"/>
                <w:lang w:eastAsia="en-GB"/>
              </w:rPr>
              <w:t>P value (Analysis of dissimilarity)</w:t>
            </w:r>
          </w:p>
        </w:tc>
      </w:tr>
      <w:tr w:rsidR="00CE0FF5" w:rsidRPr="00CE0FF5" w14:paraId="6AA42EF4" w14:textId="77777777" w:rsidTr="00CE0FF5">
        <w:trPr>
          <w:trHeight w:val="20"/>
        </w:trPr>
        <w:tc>
          <w:tcPr>
            <w:tcW w:w="960" w:type="dxa"/>
            <w:tcBorders>
              <w:top w:val="nil"/>
              <w:left w:val="single" w:sz="4" w:space="0" w:color="auto"/>
              <w:bottom w:val="nil"/>
              <w:right w:val="nil"/>
            </w:tcBorders>
            <w:shd w:val="clear" w:color="auto" w:fill="auto"/>
            <w:noWrap/>
            <w:vAlign w:val="bottom"/>
            <w:hideMark/>
          </w:tcPr>
          <w:p w14:paraId="344E83E6"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excluded</w:t>
            </w:r>
          </w:p>
        </w:tc>
        <w:tc>
          <w:tcPr>
            <w:tcW w:w="1620" w:type="dxa"/>
            <w:tcBorders>
              <w:top w:val="nil"/>
              <w:left w:val="nil"/>
              <w:bottom w:val="nil"/>
              <w:right w:val="nil"/>
            </w:tcBorders>
            <w:shd w:val="clear" w:color="auto" w:fill="auto"/>
            <w:noWrap/>
            <w:vAlign w:val="bottom"/>
            <w:hideMark/>
          </w:tcPr>
          <w:p w14:paraId="4326CBD9"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NA</w:t>
            </w:r>
          </w:p>
        </w:tc>
        <w:tc>
          <w:tcPr>
            <w:tcW w:w="1400" w:type="dxa"/>
            <w:tcBorders>
              <w:top w:val="nil"/>
              <w:left w:val="nil"/>
              <w:bottom w:val="nil"/>
              <w:right w:val="nil"/>
            </w:tcBorders>
            <w:shd w:val="clear" w:color="auto" w:fill="auto"/>
            <w:noWrap/>
            <w:vAlign w:val="bottom"/>
            <w:hideMark/>
          </w:tcPr>
          <w:p w14:paraId="42670DA3"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No</w:t>
            </w:r>
          </w:p>
        </w:tc>
        <w:tc>
          <w:tcPr>
            <w:tcW w:w="960" w:type="dxa"/>
            <w:tcBorders>
              <w:top w:val="nil"/>
              <w:left w:val="nil"/>
              <w:bottom w:val="nil"/>
              <w:right w:val="nil"/>
            </w:tcBorders>
            <w:shd w:val="clear" w:color="auto" w:fill="auto"/>
            <w:noWrap/>
            <w:vAlign w:val="bottom"/>
            <w:hideMark/>
          </w:tcPr>
          <w:p w14:paraId="0682FCD6"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NA</w:t>
            </w:r>
          </w:p>
        </w:tc>
        <w:tc>
          <w:tcPr>
            <w:tcW w:w="1360" w:type="dxa"/>
            <w:tcBorders>
              <w:top w:val="nil"/>
              <w:left w:val="nil"/>
              <w:bottom w:val="nil"/>
              <w:right w:val="nil"/>
            </w:tcBorders>
            <w:shd w:val="clear" w:color="auto" w:fill="auto"/>
            <w:noWrap/>
            <w:vAlign w:val="bottom"/>
            <w:hideMark/>
          </w:tcPr>
          <w:p w14:paraId="6A2A5051"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No</w:t>
            </w:r>
          </w:p>
        </w:tc>
        <w:tc>
          <w:tcPr>
            <w:tcW w:w="1440" w:type="dxa"/>
            <w:tcBorders>
              <w:top w:val="nil"/>
              <w:left w:val="nil"/>
              <w:bottom w:val="nil"/>
              <w:right w:val="nil"/>
            </w:tcBorders>
            <w:shd w:val="clear" w:color="auto" w:fill="auto"/>
            <w:noWrap/>
            <w:vAlign w:val="bottom"/>
            <w:hideMark/>
          </w:tcPr>
          <w:p w14:paraId="74582491"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NA</w:t>
            </w:r>
          </w:p>
        </w:tc>
        <w:tc>
          <w:tcPr>
            <w:tcW w:w="1340" w:type="dxa"/>
            <w:tcBorders>
              <w:top w:val="nil"/>
              <w:left w:val="nil"/>
              <w:bottom w:val="nil"/>
              <w:right w:val="nil"/>
            </w:tcBorders>
            <w:shd w:val="clear" w:color="auto" w:fill="auto"/>
            <w:noWrap/>
            <w:vAlign w:val="bottom"/>
            <w:hideMark/>
          </w:tcPr>
          <w:p w14:paraId="747FB327"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NA</w:t>
            </w:r>
          </w:p>
        </w:tc>
        <w:tc>
          <w:tcPr>
            <w:tcW w:w="1300" w:type="dxa"/>
            <w:tcBorders>
              <w:top w:val="nil"/>
              <w:left w:val="nil"/>
              <w:bottom w:val="nil"/>
              <w:right w:val="nil"/>
            </w:tcBorders>
            <w:shd w:val="clear" w:color="auto" w:fill="auto"/>
            <w:noWrap/>
            <w:vAlign w:val="bottom"/>
            <w:hideMark/>
          </w:tcPr>
          <w:p w14:paraId="6208CF55"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3</w:t>
            </w:r>
          </w:p>
        </w:tc>
        <w:tc>
          <w:tcPr>
            <w:tcW w:w="1420" w:type="dxa"/>
            <w:tcBorders>
              <w:top w:val="nil"/>
              <w:left w:val="nil"/>
              <w:bottom w:val="nil"/>
              <w:right w:val="nil"/>
            </w:tcBorders>
            <w:shd w:val="clear" w:color="auto" w:fill="auto"/>
            <w:noWrap/>
            <w:vAlign w:val="bottom"/>
            <w:hideMark/>
          </w:tcPr>
          <w:p w14:paraId="0706ECF0"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41.30</w:t>
            </w:r>
          </w:p>
        </w:tc>
        <w:tc>
          <w:tcPr>
            <w:tcW w:w="1420" w:type="dxa"/>
            <w:tcBorders>
              <w:top w:val="nil"/>
              <w:left w:val="nil"/>
              <w:bottom w:val="nil"/>
              <w:right w:val="single" w:sz="4" w:space="0" w:color="auto"/>
            </w:tcBorders>
            <w:shd w:val="clear" w:color="auto" w:fill="auto"/>
            <w:noWrap/>
            <w:vAlign w:val="bottom"/>
            <w:hideMark/>
          </w:tcPr>
          <w:p w14:paraId="2FBC6CBC"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0.001</w:t>
            </w:r>
          </w:p>
        </w:tc>
      </w:tr>
      <w:tr w:rsidR="00CE0FF5" w:rsidRPr="00CE0FF5" w14:paraId="66C939EE" w14:textId="77777777" w:rsidTr="00CE0FF5">
        <w:trPr>
          <w:trHeight w:val="20"/>
        </w:trPr>
        <w:tc>
          <w:tcPr>
            <w:tcW w:w="960" w:type="dxa"/>
            <w:tcBorders>
              <w:top w:val="nil"/>
              <w:left w:val="single" w:sz="4" w:space="0" w:color="auto"/>
              <w:bottom w:val="nil"/>
              <w:right w:val="nil"/>
            </w:tcBorders>
            <w:shd w:val="clear" w:color="auto" w:fill="auto"/>
            <w:noWrap/>
            <w:vAlign w:val="bottom"/>
            <w:hideMark/>
          </w:tcPr>
          <w:p w14:paraId="37AA2B7F"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excluded</w:t>
            </w:r>
          </w:p>
        </w:tc>
        <w:tc>
          <w:tcPr>
            <w:tcW w:w="1620" w:type="dxa"/>
            <w:tcBorders>
              <w:top w:val="nil"/>
              <w:left w:val="nil"/>
              <w:bottom w:val="nil"/>
              <w:right w:val="nil"/>
            </w:tcBorders>
            <w:shd w:val="clear" w:color="auto" w:fill="auto"/>
            <w:noWrap/>
            <w:vAlign w:val="bottom"/>
            <w:hideMark/>
          </w:tcPr>
          <w:p w14:paraId="16536D59"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NA</w:t>
            </w:r>
          </w:p>
        </w:tc>
        <w:tc>
          <w:tcPr>
            <w:tcW w:w="1400" w:type="dxa"/>
            <w:tcBorders>
              <w:top w:val="nil"/>
              <w:left w:val="nil"/>
              <w:bottom w:val="nil"/>
              <w:right w:val="nil"/>
            </w:tcBorders>
            <w:shd w:val="clear" w:color="auto" w:fill="auto"/>
            <w:noWrap/>
            <w:vAlign w:val="bottom"/>
            <w:hideMark/>
          </w:tcPr>
          <w:p w14:paraId="1996AA61"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Yes</w:t>
            </w:r>
          </w:p>
        </w:tc>
        <w:tc>
          <w:tcPr>
            <w:tcW w:w="960" w:type="dxa"/>
            <w:tcBorders>
              <w:top w:val="nil"/>
              <w:left w:val="nil"/>
              <w:bottom w:val="nil"/>
              <w:right w:val="nil"/>
            </w:tcBorders>
            <w:shd w:val="clear" w:color="auto" w:fill="auto"/>
            <w:noWrap/>
            <w:vAlign w:val="bottom"/>
            <w:hideMark/>
          </w:tcPr>
          <w:p w14:paraId="441303CF"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1</w:t>
            </w:r>
          </w:p>
        </w:tc>
        <w:tc>
          <w:tcPr>
            <w:tcW w:w="1360" w:type="dxa"/>
            <w:tcBorders>
              <w:top w:val="nil"/>
              <w:left w:val="nil"/>
              <w:bottom w:val="nil"/>
              <w:right w:val="nil"/>
            </w:tcBorders>
            <w:shd w:val="clear" w:color="auto" w:fill="auto"/>
            <w:noWrap/>
            <w:vAlign w:val="bottom"/>
            <w:hideMark/>
          </w:tcPr>
          <w:p w14:paraId="2885FB5C"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No</w:t>
            </w:r>
          </w:p>
        </w:tc>
        <w:tc>
          <w:tcPr>
            <w:tcW w:w="1440" w:type="dxa"/>
            <w:tcBorders>
              <w:top w:val="nil"/>
              <w:left w:val="nil"/>
              <w:bottom w:val="nil"/>
              <w:right w:val="nil"/>
            </w:tcBorders>
            <w:shd w:val="clear" w:color="auto" w:fill="auto"/>
            <w:noWrap/>
            <w:vAlign w:val="bottom"/>
            <w:hideMark/>
          </w:tcPr>
          <w:p w14:paraId="3708C620"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NA</w:t>
            </w:r>
          </w:p>
        </w:tc>
        <w:tc>
          <w:tcPr>
            <w:tcW w:w="1340" w:type="dxa"/>
            <w:tcBorders>
              <w:top w:val="nil"/>
              <w:left w:val="nil"/>
              <w:bottom w:val="nil"/>
              <w:right w:val="nil"/>
            </w:tcBorders>
            <w:shd w:val="clear" w:color="auto" w:fill="auto"/>
            <w:noWrap/>
            <w:vAlign w:val="bottom"/>
            <w:hideMark/>
          </w:tcPr>
          <w:p w14:paraId="66A57AF6"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NA</w:t>
            </w:r>
          </w:p>
        </w:tc>
        <w:tc>
          <w:tcPr>
            <w:tcW w:w="1300" w:type="dxa"/>
            <w:tcBorders>
              <w:top w:val="nil"/>
              <w:left w:val="nil"/>
              <w:bottom w:val="nil"/>
              <w:right w:val="nil"/>
            </w:tcBorders>
            <w:shd w:val="clear" w:color="auto" w:fill="auto"/>
            <w:noWrap/>
            <w:vAlign w:val="bottom"/>
            <w:hideMark/>
          </w:tcPr>
          <w:p w14:paraId="756B1830"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4</w:t>
            </w:r>
          </w:p>
        </w:tc>
        <w:tc>
          <w:tcPr>
            <w:tcW w:w="1420" w:type="dxa"/>
            <w:tcBorders>
              <w:top w:val="nil"/>
              <w:left w:val="nil"/>
              <w:bottom w:val="nil"/>
              <w:right w:val="nil"/>
            </w:tcBorders>
            <w:shd w:val="clear" w:color="auto" w:fill="auto"/>
            <w:noWrap/>
            <w:vAlign w:val="bottom"/>
            <w:hideMark/>
          </w:tcPr>
          <w:p w14:paraId="288BEE10"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44.26</w:t>
            </w:r>
          </w:p>
        </w:tc>
        <w:tc>
          <w:tcPr>
            <w:tcW w:w="1420" w:type="dxa"/>
            <w:tcBorders>
              <w:top w:val="nil"/>
              <w:left w:val="nil"/>
              <w:bottom w:val="nil"/>
              <w:right w:val="single" w:sz="4" w:space="0" w:color="auto"/>
            </w:tcBorders>
            <w:shd w:val="clear" w:color="auto" w:fill="auto"/>
            <w:noWrap/>
            <w:vAlign w:val="bottom"/>
            <w:hideMark/>
          </w:tcPr>
          <w:p w14:paraId="1B38A2C6"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0.001</w:t>
            </w:r>
          </w:p>
        </w:tc>
      </w:tr>
      <w:tr w:rsidR="00CE0FF5" w:rsidRPr="00CE0FF5" w14:paraId="65AAFD86" w14:textId="77777777" w:rsidTr="00CE0FF5">
        <w:trPr>
          <w:trHeight w:val="20"/>
        </w:trPr>
        <w:tc>
          <w:tcPr>
            <w:tcW w:w="960" w:type="dxa"/>
            <w:tcBorders>
              <w:top w:val="nil"/>
              <w:left w:val="single" w:sz="4" w:space="0" w:color="auto"/>
              <w:bottom w:val="single" w:sz="4" w:space="0" w:color="auto"/>
              <w:right w:val="nil"/>
            </w:tcBorders>
            <w:shd w:val="clear" w:color="auto" w:fill="auto"/>
            <w:noWrap/>
            <w:vAlign w:val="bottom"/>
            <w:hideMark/>
          </w:tcPr>
          <w:p w14:paraId="50C03B8C"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excluded</w:t>
            </w:r>
          </w:p>
        </w:tc>
        <w:tc>
          <w:tcPr>
            <w:tcW w:w="1620" w:type="dxa"/>
            <w:tcBorders>
              <w:top w:val="nil"/>
              <w:left w:val="nil"/>
              <w:bottom w:val="single" w:sz="4" w:space="0" w:color="auto"/>
              <w:right w:val="nil"/>
            </w:tcBorders>
            <w:shd w:val="clear" w:color="auto" w:fill="auto"/>
            <w:noWrap/>
            <w:vAlign w:val="bottom"/>
            <w:hideMark/>
          </w:tcPr>
          <w:p w14:paraId="79B94CC3"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NA</w:t>
            </w:r>
          </w:p>
        </w:tc>
        <w:tc>
          <w:tcPr>
            <w:tcW w:w="1400" w:type="dxa"/>
            <w:tcBorders>
              <w:top w:val="nil"/>
              <w:left w:val="nil"/>
              <w:bottom w:val="single" w:sz="4" w:space="0" w:color="auto"/>
              <w:right w:val="nil"/>
            </w:tcBorders>
            <w:shd w:val="clear" w:color="auto" w:fill="auto"/>
            <w:noWrap/>
            <w:vAlign w:val="bottom"/>
            <w:hideMark/>
          </w:tcPr>
          <w:p w14:paraId="54C2CC0D"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Yes</w:t>
            </w:r>
          </w:p>
        </w:tc>
        <w:tc>
          <w:tcPr>
            <w:tcW w:w="960" w:type="dxa"/>
            <w:tcBorders>
              <w:top w:val="nil"/>
              <w:left w:val="nil"/>
              <w:bottom w:val="single" w:sz="4" w:space="0" w:color="auto"/>
              <w:right w:val="nil"/>
            </w:tcBorders>
            <w:shd w:val="clear" w:color="auto" w:fill="auto"/>
            <w:noWrap/>
            <w:vAlign w:val="bottom"/>
            <w:hideMark/>
          </w:tcPr>
          <w:p w14:paraId="501AE843"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2</w:t>
            </w:r>
          </w:p>
        </w:tc>
        <w:tc>
          <w:tcPr>
            <w:tcW w:w="1360" w:type="dxa"/>
            <w:tcBorders>
              <w:top w:val="nil"/>
              <w:left w:val="nil"/>
              <w:bottom w:val="single" w:sz="4" w:space="0" w:color="auto"/>
              <w:right w:val="nil"/>
            </w:tcBorders>
            <w:shd w:val="clear" w:color="auto" w:fill="auto"/>
            <w:noWrap/>
            <w:vAlign w:val="bottom"/>
            <w:hideMark/>
          </w:tcPr>
          <w:p w14:paraId="334D2E81"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No</w:t>
            </w:r>
          </w:p>
        </w:tc>
        <w:tc>
          <w:tcPr>
            <w:tcW w:w="1440" w:type="dxa"/>
            <w:tcBorders>
              <w:top w:val="nil"/>
              <w:left w:val="nil"/>
              <w:bottom w:val="single" w:sz="4" w:space="0" w:color="auto"/>
              <w:right w:val="nil"/>
            </w:tcBorders>
            <w:shd w:val="clear" w:color="auto" w:fill="auto"/>
            <w:noWrap/>
            <w:vAlign w:val="bottom"/>
            <w:hideMark/>
          </w:tcPr>
          <w:p w14:paraId="32FDCE60"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NA</w:t>
            </w:r>
          </w:p>
        </w:tc>
        <w:tc>
          <w:tcPr>
            <w:tcW w:w="1340" w:type="dxa"/>
            <w:tcBorders>
              <w:top w:val="nil"/>
              <w:left w:val="nil"/>
              <w:bottom w:val="single" w:sz="4" w:space="0" w:color="auto"/>
              <w:right w:val="nil"/>
            </w:tcBorders>
            <w:shd w:val="clear" w:color="auto" w:fill="auto"/>
            <w:noWrap/>
            <w:vAlign w:val="bottom"/>
            <w:hideMark/>
          </w:tcPr>
          <w:p w14:paraId="4DE3059A"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NA</w:t>
            </w:r>
          </w:p>
        </w:tc>
        <w:tc>
          <w:tcPr>
            <w:tcW w:w="1300" w:type="dxa"/>
            <w:tcBorders>
              <w:top w:val="nil"/>
              <w:left w:val="nil"/>
              <w:bottom w:val="single" w:sz="4" w:space="0" w:color="auto"/>
              <w:right w:val="nil"/>
            </w:tcBorders>
            <w:shd w:val="clear" w:color="auto" w:fill="auto"/>
            <w:noWrap/>
            <w:vAlign w:val="bottom"/>
            <w:hideMark/>
          </w:tcPr>
          <w:p w14:paraId="195ABEC9"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4</w:t>
            </w:r>
          </w:p>
        </w:tc>
        <w:tc>
          <w:tcPr>
            <w:tcW w:w="1420" w:type="dxa"/>
            <w:tcBorders>
              <w:top w:val="nil"/>
              <w:left w:val="nil"/>
              <w:bottom w:val="single" w:sz="4" w:space="0" w:color="auto"/>
              <w:right w:val="nil"/>
            </w:tcBorders>
            <w:shd w:val="clear" w:color="auto" w:fill="auto"/>
            <w:noWrap/>
            <w:vAlign w:val="bottom"/>
            <w:hideMark/>
          </w:tcPr>
          <w:p w14:paraId="4955F6B1"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37.61</w:t>
            </w:r>
          </w:p>
        </w:tc>
        <w:tc>
          <w:tcPr>
            <w:tcW w:w="1420" w:type="dxa"/>
            <w:tcBorders>
              <w:top w:val="nil"/>
              <w:left w:val="nil"/>
              <w:bottom w:val="single" w:sz="4" w:space="0" w:color="auto"/>
              <w:right w:val="single" w:sz="4" w:space="0" w:color="auto"/>
            </w:tcBorders>
            <w:shd w:val="clear" w:color="auto" w:fill="auto"/>
            <w:noWrap/>
            <w:vAlign w:val="bottom"/>
            <w:hideMark/>
          </w:tcPr>
          <w:p w14:paraId="01E5BDB2"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0.001</w:t>
            </w:r>
          </w:p>
        </w:tc>
      </w:tr>
      <w:tr w:rsidR="00CE0FF5" w:rsidRPr="00CE0FF5" w14:paraId="54B0B011" w14:textId="77777777" w:rsidTr="00CE0FF5">
        <w:trPr>
          <w:trHeight w:val="20"/>
        </w:trPr>
        <w:tc>
          <w:tcPr>
            <w:tcW w:w="960" w:type="dxa"/>
            <w:tcBorders>
              <w:top w:val="nil"/>
              <w:left w:val="single" w:sz="4" w:space="0" w:color="auto"/>
              <w:bottom w:val="nil"/>
              <w:right w:val="nil"/>
            </w:tcBorders>
            <w:shd w:val="clear" w:color="auto" w:fill="auto"/>
            <w:noWrap/>
            <w:vAlign w:val="bottom"/>
            <w:hideMark/>
          </w:tcPr>
          <w:p w14:paraId="6BCCEFCC"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excluded</w:t>
            </w:r>
          </w:p>
        </w:tc>
        <w:tc>
          <w:tcPr>
            <w:tcW w:w="1620" w:type="dxa"/>
            <w:tcBorders>
              <w:top w:val="nil"/>
              <w:left w:val="nil"/>
              <w:bottom w:val="nil"/>
              <w:right w:val="nil"/>
            </w:tcBorders>
            <w:shd w:val="clear" w:color="auto" w:fill="auto"/>
            <w:noWrap/>
            <w:vAlign w:val="bottom"/>
            <w:hideMark/>
          </w:tcPr>
          <w:p w14:paraId="30184817"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NA</w:t>
            </w:r>
          </w:p>
        </w:tc>
        <w:tc>
          <w:tcPr>
            <w:tcW w:w="1400" w:type="dxa"/>
            <w:tcBorders>
              <w:top w:val="nil"/>
              <w:left w:val="nil"/>
              <w:bottom w:val="nil"/>
              <w:right w:val="nil"/>
            </w:tcBorders>
            <w:shd w:val="clear" w:color="auto" w:fill="auto"/>
            <w:noWrap/>
            <w:vAlign w:val="bottom"/>
            <w:hideMark/>
          </w:tcPr>
          <w:p w14:paraId="2E92723F"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No</w:t>
            </w:r>
          </w:p>
        </w:tc>
        <w:tc>
          <w:tcPr>
            <w:tcW w:w="960" w:type="dxa"/>
            <w:tcBorders>
              <w:top w:val="nil"/>
              <w:left w:val="nil"/>
              <w:bottom w:val="nil"/>
              <w:right w:val="nil"/>
            </w:tcBorders>
            <w:shd w:val="clear" w:color="auto" w:fill="auto"/>
            <w:noWrap/>
            <w:vAlign w:val="bottom"/>
            <w:hideMark/>
          </w:tcPr>
          <w:p w14:paraId="4335B733"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NA</w:t>
            </w:r>
          </w:p>
        </w:tc>
        <w:tc>
          <w:tcPr>
            <w:tcW w:w="1360" w:type="dxa"/>
            <w:tcBorders>
              <w:top w:val="nil"/>
              <w:left w:val="nil"/>
              <w:bottom w:val="nil"/>
              <w:right w:val="nil"/>
            </w:tcBorders>
            <w:shd w:val="clear" w:color="auto" w:fill="auto"/>
            <w:noWrap/>
            <w:vAlign w:val="bottom"/>
            <w:hideMark/>
          </w:tcPr>
          <w:p w14:paraId="7EC1F0F9"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Yes</w:t>
            </w:r>
          </w:p>
        </w:tc>
        <w:tc>
          <w:tcPr>
            <w:tcW w:w="1440" w:type="dxa"/>
            <w:tcBorders>
              <w:top w:val="nil"/>
              <w:left w:val="nil"/>
              <w:bottom w:val="nil"/>
              <w:right w:val="nil"/>
            </w:tcBorders>
            <w:shd w:val="clear" w:color="auto" w:fill="auto"/>
            <w:noWrap/>
            <w:vAlign w:val="bottom"/>
            <w:hideMark/>
          </w:tcPr>
          <w:p w14:paraId="71466B4D"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exceed 40%</w:t>
            </w:r>
          </w:p>
        </w:tc>
        <w:tc>
          <w:tcPr>
            <w:tcW w:w="1340" w:type="dxa"/>
            <w:tcBorders>
              <w:top w:val="nil"/>
              <w:left w:val="nil"/>
              <w:bottom w:val="nil"/>
              <w:right w:val="nil"/>
            </w:tcBorders>
            <w:shd w:val="clear" w:color="auto" w:fill="auto"/>
            <w:noWrap/>
            <w:vAlign w:val="bottom"/>
            <w:hideMark/>
          </w:tcPr>
          <w:p w14:paraId="358F6A13"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2</w:t>
            </w:r>
          </w:p>
        </w:tc>
        <w:tc>
          <w:tcPr>
            <w:tcW w:w="1300" w:type="dxa"/>
            <w:tcBorders>
              <w:top w:val="nil"/>
              <w:left w:val="nil"/>
              <w:bottom w:val="nil"/>
              <w:right w:val="nil"/>
            </w:tcBorders>
            <w:shd w:val="clear" w:color="auto" w:fill="auto"/>
            <w:noWrap/>
            <w:vAlign w:val="bottom"/>
            <w:hideMark/>
          </w:tcPr>
          <w:p w14:paraId="59E5338B"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4</w:t>
            </w:r>
          </w:p>
        </w:tc>
        <w:tc>
          <w:tcPr>
            <w:tcW w:w="1420" w:type="dxa"/>
            <w:tcBorders>
              <w:top w:val="nil"/>
              <w:left w:val="nil"/>
              <w:bottom w:val="nil"/>
              <w:right w:val="nil"/>
            </w:tcBorders>
            <w:shd w:val="clear" w:color="auto" w:fill="auto"/>
            <w:noWrap/>
            <w:vAlign w:val="bottom"/>
            <w:hideMark/>
          </w:tcPr>
          <w:p w14:paraId="48F730C4"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196.62</w:t>
            </w:r>
          </w:p>
        </w:tc>
        <w:tc>
          <w:tcPr>
            <w:tcW w:w="1420" w:type="dxa"/>
            <w:tcBorders>
              <w:top w:val="nil"/>
              <w:left w:val="nil"/>
              <w:bottom w:val="nil"/>
              <w:right w:val="single" w:sz="4" w:space="0" w:color="auto"/>
            </w:tcBorders>
            <w:shd w:val="clear" w:color="auto" w:fill="auto"/>
            <w:noWrap/>
            <w:vAlign w:val="bottom"/>
            <w:hideMark/>
          </w:tcPr>
          <w:p w14:paraId="4E169DCD"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0.001</w:t>
            </w:r>
          </w:p>
        </w:tc>
      </w:tr>
      <w:tr w:rsidR="00CE0FF5" w:rsidRPr="00CE0FF5" w14:paraId="68202A2A" w14:textId="77777777" w:rsidTr="00CE0FF5">
        <w:trPr>
          <w:trHeight w:val="20"/>
        </w:trPr>
        <w:tc>
          <w:tcPr>
            <w:tcW w:w="960" w:type="dxa"/>
            <w:tcBorders>
              <w:top w:val="nil"/>
              <w:left w:val="single" w:sz="4" w:space="0" w:color="auto"/>
              <w:bottom w:val="nil"/>
              <w:right w:val="nil"/>
            </w:tcBorders>
            <w:shd w:val="clear" w:color="auto" w:fill="auto"/>
            <w:noWrap/>
            <w:vAlign w:val="bottom"/>
            <w:hideMark/>
          </w:tcPr>
          <w:p w14:paraId="195F59EA"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excluded</w:t>
            </w:r>
          </w:p>
        </w:tc>
        <w:tc>
          <w:tcPr>
            <w:tcW w:w="1620" w:type="dxa"/>
            <w:tcBorders>
              <w:top w:val="nil"/>
              <w:left w:val="nil"/>
              <w:bottom w:val="nil"/>
              <w:right w:val="nil"/>
            </w:tcBorders>
            <w:shd w:val="clear" w:color="auto" w:fill="auto"/>
            <w:noWrap/>
            <w:vAlign w:val="bottom"/>
            <w:hideMark/>
          </w:tcPr>
          <w:p w14:paraId="7A092266"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NA</w:t>
            </w:r>
          </w:p>
        </w:tc>
        <w:tc>
          <w:tcPr>
            <w:tcW w:w="1400" w:type="dxa"/>
            <w:tcBorders>
              <w:top w:val="nil"/>
              <w:left w:val="nil"/>
              <w:bottom w:val="nil"/>
              <w:right w:val="nil"/>
            </w:tcBorders>
            <w:shd w:val="clear" w:color="auto" w:fill="auto"/>
            <w:noWrap/>
            <w:vAlign w:val="bottom"/>
            <w:hideMark/>
          </w:tcPr>
          <w:p w14:paraId="4B798C54"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Yes</w:t>
            </w:r>
          </w:p>
        </w:tc>
        <w:tc>
          <w:tcPr>
            <w:tcW w:w="960" w:type="dxa"/>
            <w:tcBorders>
              <w:top w:val="nil"/>
              <w:left w:val="nil"/>
              <w:bottom w:val="nil"/>
              <w:right w:val="nil"/>
            </w:tcBorders>
            <w:shd w:val="clear" w:color="auto" w:fill="auto"/>
            <w:noWrap/>
            <w:vAlign w:val="bottom"/>
            <w:hideMark/>
          </w:tcPr>
          <w:p w14:paraId="1109544D"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1</w:t>
            </w:r>
          </w:p>
        </w:tc>
        <w:tc>
          <w:tcPr>
            <w:tcW w:w="1360" w:type="dxa"/>
            <w:tcBorders>
              <w:top w:val="nil"/>
              <w:left w:val="nil"/>
              <w:bottom w:val="nil"/>
              <w:right w:val="nil"/>
            </w:tcBorders>
            <w:shd w:val="clear" w:color="auto" w:fill="auto"/>
            <w:noWrap/>
            <w:vAlign w:val="bottom"/>
            <w:hideMark/>
          </w:tcPr>
          <w:p w14:paraId="2DF3C306"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Yes</w:t>
            </w:r>
          </w:p>
        </w:tc>
        <w:tc>
          <w:tcPr>
            <w:tcW w:w="1440" w:type="dxa"/>
            <w:tcBorders>
              <w:top w:val="nil"/>
              <w:left w:val="nil"/>
              <w:bottom w:val="nil"/>
              <w:right w:val="nil"/>
            </w:tcBorders>
            <w:shd w:val="clear" w:color="auto" w:fill="auto"/>
            <w:noWrap/>
            <w:vAlign w:val="bottom"/>
            <w:hideMark/>
          </w:tcPr>
          <w:p w14:paraId="7B8D87BB"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exceed 40%</w:t>
            </w:r>
          </w:p>
        </w:tc>
        <w:tc>
          <w:tcPr>
            <w:tcW w:w="1340" w:type="dxa"/>
            <w:tcBorders>
              <w:top w:val="nil"/>
              <w:left w:val="nil"/>
              <w:bottom w:val="nil"/>
              <w:right w:val="nil"/>
            </w:tcBorders>
            <w:shd w:val="clear" w:color="auto" w:fill="auto"/>
            <w:noWrap/>
            <w:vAlign w:val="bottom"/>
            <w:hideMark/>
          </w:tcPr>
          <w:p w14:paraId="7F9D06DE"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2</w:t>
            </w:r>
          </w:p>
        </w:tc>
        <w:tc>
          <w:tcPr>
            <w:tcW w:w="1300" w:type="dxa"/>
            <w:tcBorders>
              <w:top w:val="nil"/>
              <w:left w:val="nil"/>
              <w:bottom w:val="nil"/>
              <w:right w:val="nil"/>
            </w:tcBorders>
            <w:shd w:val="clear" w:color="auto" w:fill="auto"/>
            <w:noWrap/>
            <w:vAlign w:val="bottom"/>
            <w:hideMark/>
          </w:tcPr>
          <w:p w14:paraId="461D6F41"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3</w:t>
            </w:r>
          </w:p>
        </w:tc>
        <w:tc>
          <w:tcPr>
            <w:tcW w:w="1420" w:type="dxa"/>
            <w:tcBorders>
              <w:top w:val="nil"/>
              <w:left w:val="nil"/>
              <w:bottom w:val="nil"/>
              <w:right w:val="nil"/>
            </w:tcBorders>
            <w:shd w:val="clear" w:color="auto" w:fill="auto"/>
            <w:noWrap/>
            <w:vAlign w:val="bottom"/>
            <w:hideMark/>
          </w:tcPr>
          <w:p w14:paraId="7241ED26"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168.35</w:t>
            </w:r>
          </w:p>
        </w:tc>
        <w:tc>
          <w:tcPr>
            <w:tcW w:w="1420" w:type="dxa"/>
            <w:tcBorders>
              <w:top w:val="nil"/>
              <w:left w:val="nil"/>
              <w:bottom w:val="nil"/>
              <w:right w:val="single" w:sz="4" w:space="0" w:color="auto"/>
            </w:tcBorders>
            <w:shd w:val="clear" w:color="auto" w:fill="auto"/>
            <w:noWrap/>
            <w:vAlign w:val="bottom"/>
            <w:hideMark/>
          </w:tcPr>
          <w:p w14:paraId="6633B128"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0.001</w:t>
            </w:r>
          </w:p>
        </w:tc>
      </w:tr>
      <w:tr w:rsidR="00CE0FF5" w:rsidRPr="00CE0FF5" w14:paraId="6DFFBC38" w14:textId="77777777" w:rsidTr="00CE0FF5">
        <w:trPr>
          <w:trHeight w:val="20"/>
        </w:trPr>
        <w:tc>
          <w:tcPr>
            <w:tcW w:w="960" w:type="dxa"/>
            <w:tcBorders>
              <w:top w:val="nil"/>
              <w:left w:val="single" w:sz="4" w:space="0" w:color="auto"/>
              <w:bottom w:val="single" w:sz="4" w:space="0" w:color="auto"/>
              <w:right w:val="nil"/>
            </w:tcBorders>
            <w:shd w:val="clear" w:color="auto" w:fill="auto"/>
            <w:noWrap/>
            <w:vAlign w:val="bottom"/>
            <w:hideMark/>
          </w:tcPr>
          <w:p w14:paraId="34FE76E8"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excluded</w:t>
            </w:r>
          </w:p>
        </w:tc>
        <w:tc>
          <w:tcPr>
            <w:tcW w:w="1620" w:type="dxa"/>
            <w:tcBorders>
              <w:top w:val="nil"/>
              <w:left w:val="nil"/>
              <w:bottom w:val="single" w:sz="4" w:space="0" w:color="auto"/>
              <w:right w:val="nil"/>
            </w:tcBorders>
            <w:shd w:val="clear" w:color="auto" w:fill="auto"/>
            <w:noWrap/>
            <w:vAlign w:val="bottom"/>
            <w:hideMark/>
          </w:tcPr>
          <w:p w14:paraId="21248078"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NA</w:t>
            </w:r>
          </w:p>
        </w:tc>
        <w:tc>
          <w:tcPr>
            <w:tcW w:w="1400" w:type="dxa"/>
            <w:tcBorders>
              <w:top w:val="nil"/>
              <w:left w:val="nil"/>
              <w:bottom w:val="single" w:sz="4" w:space="0" w:color="auto"/>
              <w:right w:val="nil"/>
            </w:tcBorders>
            <w:shd w:val="clear" w:color="auto" w:fill="auto"/>
            <w:noWrap/>
            <w:vAlign w:val="bottom"/>
            <w:hideMark/>
          </w:tcPr>
          <w:p w14:paraId="10613B70"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Yes</w:t>
            </w:r>
          </w:p>
        </w:tc>
        <w:tc>
          <w:tcPr>
            <w:tcW w:w="960" w:type="dxa"/>
            <w:tcBorders>
              <w:top w:val="nil"/>
              <w:left w:val="nil"/>
              <w:bottom w:val="single" w:sz="4" w:space="0" w:color="auto"/>
              <w:right w:val="nil"/>
            </w:tcBorders>
            <w:shd w:val="clear" w:color="auto" w:fill="auto"/>
            <w:noWrap/>
            <w:vAlign w:val="bottom"/>
            <w:hideMark/>
          </w:tcPr>
          <w:p w14:paraId="7D31E1DE"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2</w:t>
            </w:r>
          </w:p>
        </w:tc>
        <w:tc>
          <w:tcPr>
            <w:tcW w:w="1360" w:type="dxa"/>
            <w:tcBorders>
              <w:top w:val="nil"/>
              <w:left w:val="nil"/>
              <w:bottom w:val="single" w:sz="4" w:space="0" w:color="auto"/>
              <w:right w:val="nil"/>
            </w:tcBorders>
            <w:shd w:val="clear" w:color="auto" w:fill="auto"/>
            <w:noWrap/>
            <w:vAlign w:val="bottom"/>
            <w:hideMark/>
          </w:tcPr>
          <w:p w14:paraId="7DB30BF6"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Yes</w:t>
            </w:r>
          </w:p>
        </w:tc>
        <w:tc>
          <w:tcPr>
            <w:tcW w:w="1440" w:type="dxa"/>
            <w:tcBorders>
              <w:top w:val="nil"/>
              <w:left w:val="nil"/>
              <w:bottom w:val="single" w:sz="4" w:space="0" w:color="auto"/>
              <w:right w:val="nil"/>
            </w:tcBorders>
            <w:shd w:val="clear" w:color="auto" w:fill="auto"/>
            <w:noWrap/>
            <w:vAlign w:val="bottom"/>
            <w:hideMark/>
          </w:tcPr>
          <w:p w14:paraId="58DEE88F"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exceed 40%</w:t>
            </w:r>
          </w:p>
        </w:tc>
        <w:tc>
          <w:tcPr>
            <w:tcW w:w="1340" w:type="dxa"/>
            <w:tcBorders>
              <w:top w:val="nil"/>
              <w:left w:val="nil"/>
              <w:bottom w:val="single" w:sz="4" w:space="0" w:color="auto"/>
              <w:right w:val="nil"/>
            </w:tcBorders>
            <w:shd w:val="clear" w:color="auto" w:fill="auto"/>
            <w:noWrap/>
            <w:vAlign w:val="bottom"/>
            <w:hideMark/>
          </w:tcPr>
          <w:p w14:paraId="7A8C8A17"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2</w:t>
            </w:r>
          </w:p>
        </w:tc>
        <w:tc>
          <w:tcPr>
            <w:tcW w:w="1300" w:type="dxa"/>
            <w:tcBorders>
              <w:top w:val="nil"/>
              <w:left w:val="nil"/>
              <w:bottom w:val="single" w:sz="4" w:space="0" w:color="auto"/>
              <w:right w:val="nil"/>
            </w:tcBorders>
            <w:shd w:val="clear" w:color="auto" w:fill="auto"/>
            <w:noWrap/>
            <w:vAlign w:val="bottom"/>
            <w:hideMark/>
          </w:tcPr>
          <w:p w14:paraId="7C9A93E1"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3</w:t>
            </w:r>
          </w:p>
        </w:tc>
        <w:tc>
          <w:tcPr>
            <w:tcW w:w="1420" w:type="dxa"/>
            <w:tcBorders>
              <w:top w:val="nil"/>
              <w:left w:val="nil"/>
              <w:bottom w:val="single" w:sz="4" w:space="0" w:color="auto"/>
              <w:right w:val="nil"/>
            </w:tcBorders>
            <w:shd w:val="clear" w:color="auto" w:fill="auto"/>
            <w:noWrap/>
            <w:vAlign w:val="bottom"/>
            <w:hideMark/>
          </w:tcPr>
          <w:p w14:paraId="512824EF"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208.56</w:t>
            </w:r>
          </w:p>
        </w:tc>
        <w:tc>
          <w:tcPr>
            <w:tcW w:w="1420" w:type="dxa"/>
            <w:tcBorders>
              <w:top w:val="nil"/>
              <w:left w:val="nil"/>
              <w:bottom w:val="single" w:sz="4" w:space="0" w:color="auto"/>
              <w:right w:val="single" w:sz="4" w:space="0" w:color="auto"/>
            </w:tcBorders>
            <w:shd w:val="clear" w:color="auto" w:fill="auto"/>
            <w:noWrap/>
            <w:vAlign w:val="bottom"/>
            <w:hideMark/>
          </w:tcPr>
          <w:p w14:paraId="0C1DCAF4"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0.001</w:t>
            </w:r>
          </w:p>
        </w:tc>
      </w:tr>
      <w:tr w:rsidR="00CE0FF5" w:rsidRPr="00CE0FF5" w14:paraId="1136F693" w14:textId="77777777" w:rsidTr="00CE0FF5">
        <w:trPr>
          <w:trHeight w:val="20"/>
        </w:trPr>
        <w:tc>
          <w:tcPr>
            <w:tcW w:w="960" w:type="dxa"/>
            <w:tcBorders>
              <w:top w:val="nil"/>
              <w:left w:val="single" w:sz="4" w:space="0" w:color="auto"/>
              <w:bottom w:val="nil"/>
              <w:right w:val="nil"/>
            </w:tcBorders>
            <w:shd w:val="clear" w:color="auto" w:fill="auto"/>
            <w:noWrap/>
            <w:vAlign w:val="bottom"/>
            <w:hideMark/>
          </w:tcPr>
          <w:p w14:paraId="06E4986C"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excluded</w:t>
            </w:r>
          </w:p>
        </w:tc>
        <w:tc>
          <w:tcPr>
            <w:tcW w:w="1620" w:type="dxa"/>
            <w:tcBorders>
              <w:top w:val="nil"/>
              <w:left w:val="nil"/>
              <w:bottom w:val="nil"/>
              <w:right w:val="nil"/>
            </w:tcBorders>
            <w:shd w:val="clear" w:color="auto" w:fill="auto"/>
            <w:noWrap/>
            <w:vAlign w:val="bottom"/>
            <w:hideMark/>
          </w:tcPr>
          <w:p w14:paraId="0AB82641"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NA</w:t>
            </w:r>
          </w:p>
        </w:tc>
        <w:tc>
          <w:tcPr>
            <w:tcW w:w="1400" w:type="dxa"/>
            <w:tcBorders>
              <w:top w:val="nil"/>
              <w:left w:val="nil"/>
              <w:bottom w:val="nil"/>
              <w:right w:val="nil"/>
            </w:tcBorders>
            <w:shd w:val="clear" w:color="auto" w:fill="auto"/>
            <w:noWrap/>
            <w:vAlign w:val="bottom"/>
            <w:hideMark/>
          </w:tcPr>
          <w:p w14:paraId="55A035DF"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No</w:t>
            </w:r>
          </w:p>
        </w:tc>
        <w:tc>
          <w:tcPr>
            <w:tcW w:w="960" w:type="dxa"/>
            <w:tcBorders>
              <w:top w:val="nil"/>
              <w:left w:val="nil"/>
              <w:bottom w:val="nil"/>
              <w:right w:val="nil"/>
            </w:tcBorders>
            <w:shd w:val="clear" w:color="auto" w:fill="auto"/>
            <w:noWrap/>
            <w:vAlign w:val="bottom"/>
            <w:hideMark/>
          </w:tcPr>
          <w:p w14:paraId="7E3F96EE"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NA</w:t>
            </w:r>
          </w:p>
        </w:tc>
        <w:tc>
          <w:tcPr>
            <w:tcW w:w="1360" w:type="dxa"/>
            <w:tcBorders>
              <w:top w:val="nil"/>
              <w:left w:val="nil"/>
              <w:bottom w:val="nil"/>
              <w:right w:val="nil"/>
            </w:tcBorders>
            <w:shd w:val="clear" w:color="auto" w:fill="auto"/>
            <w:noWrap/>
            <w:vAlign w:val="bottom"/>
            <w:hideMark/>
          </w:tcPr>
          <w:p w14:paraId="688E3061"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Yes</w:t>
            </w:r>
          </w:p>
        </w:tc>
        <w:tc>
          <w:tcPr>
            <w:tcW w:w="1440" w:type="dxa"/>
            <w:tcBorders>
              <w:top w:val="nil"/>
              <w:left w:val="nil"/>
              <w:bottom w:val="nil"/>
              <w:right w:val="nil"/>
            </w:tcBorders>
            <w:shd w:val="clear" w:color="auto" w:fill="auto"/>
            <w:noWrap/>
            <w:vAlign w:val="bottom"/>
            <w:hideMark/>
          </w:tcPr>
          <w:p w14:paraId="31E2E643"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exceed 50%</w:t>
            </w:r>
          </w:p>
        </w:tc>
        <w:tc>
          <w:tcPr>
            <w:tcW w:w="1340" w:type="dxa"/>
            <w:tcBorders>
              <w:top w:val="nil"/>
              <w:left w:val="nil"/>
              <w:bottom w:val="nil"/>
              <w:right w:val="nil"/>
            </w:tcBorders>
            <w:shd w:val="clear" w:color="auto" w:fill="auto"/>
            <w:noWrap/>
            <w:vAlign w:val="bottom"/>
            <w:hideMark/>
          </w:tcPr>
          <w:p w14:paraId="68A856D4"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3</w:t>
            </w:r>
          </w:p>
        </w:tc>
        <w:tc>
          <w:tcPr>
            <w:tcW w:w="1300" w:type="dxa"/>
            <w:tcBorders>
              <w:top w:val="nil"/>
              <w:left w:val="nil"/>
              <w:bottom w:val="nil"/>
              <w:right w:val="nil"/>
            </w:tcBorders>
            <w:shd w:val="clear" w:color="auto" w:fill="auto"/>
            <w:noWrap/>
            <w:vAlign w:val="bottom"/>
            <w:hideMark/>
          </w:tcPr>
          <w:p w14:paraId="1D17EF97"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4</w:t>
            </w:r>
          </w:p>
        </w:tc>
        <w:tc>
          <w:tcPr>
            <w:tcW w:w="1420" w:type="dxa"/>
            <w:tcBorders>
              <w:top w:val="nil"/>
              <w:left w:val="nil"/>
              <w:bottom w:val="nil"/>
              <w:right w:val="nil"/>
            </w:tcBorders>
            <w:shd w:val="clear" w:color="auto" w:fill="auto"/>
            <w:noWrap/>
            <w:vAlign w:val="bottom"/>
            <w:hideMark/>
          </w:tcPr>
          <w:p w14:paraId="3A4F2EE6"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88.05</w:t>
            </w:r>
          </w:p>
        </w:tc>
        <w:tc>
          <w:tcPr>
            <w:tcW w:w="1420" w:type="dxa"/>
            <w:tcBorders>
              <w:top w:val="nil"/>
              <w:left w:val="nil"/>
              <w:bottom w:val="nil"/>
              <w:right w:val="single" w:sz="4" w:space="0" w:color="auto"/>
            </w:tcBorders>
            <w:shd w:val="clear" w:color="auto" w:fill="auto"/>
            <w:noWrap/>
            <w:vAlign w:val="bottom"/>
            <w:hideMark/>
          </w:tcPr>
          <w:p w14:paraId="0AC70C7E"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0.001</w:t>
            </w:r>
          </w:p>
        </w:tc>
      </w:tr>
      <w:tr w:rsidR="00CE0FF5" w:rsidRPr="00CE0FF5" w14:paraId="2484CF13" w14:textId="77777777" w:rsidTr="00CE0FF5">
        <w:trPr>
          <w:trHeight w:val="20"/>
        </w:trPr>
        <w:tc>
          <w:tcPr>
            <w:tcW w:w="960" w:type="dxa"/>
            <w:tcBorders>
              <w:top w:val="nil"/>
              <w:left w:val="single" w:sz="4" w:space="0" w:color="auto"/>
              <w:bottom w:val="nil"/>
              <w:right w:val="nil"/>
            </w:tcBorders>
            <w:shd w:val="clear" w:color="auto" w:fill="auto"/>
            <w:noWrap/>
            <w:vAlign w:val="bottom"/>
            <w:hideMark/>
          </w:tcPr>
          <w:p w14:paraId="049E0CBE"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excluded</w:t>
            </w:r>
          </w:p>
        </w:tc>
        <w:tc>
          <w:tcPr>
            <w:tcW w:w="1620" w:type="dxa"/>
            <w:tcBorders>
              <w:top w:val="nil"/>
              <w:left w:val="nil"/>
              <w:bottom w:val="nil"/>
              <w:right w:val="nil"/>
            </w:tcBorders>
            <w:shd w:val="clear" w:color="auto" w:fill="auto"/>
            <w:noWrap/>
            <w:vAlign w:val="bottom"/>
            <w:hideMark/>
          </w:tcPr>
          <w:p w14:paraId="3E5B965D"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NA</w:t>
            </w:r>
          </w:p>
        </w:tc>
        <w:tc>
          <w:tcPr>
            <w:tcW w:w="1400" w:type="dxa"/>
            <w:tcBorders>
              <w:top w:val="nil"/>
              <w:left w:val="nil"/>
              <w:bottom w:val="nil"/>
              <w:right w:val="nil"/>
            </w:tcBorders>
            <w:shd w:val="clear" w:color="auto" w:fill="auto"/>
            <w:noWrap/>
            <w:vAlign w:val="bottom"/>
            <w:hideMark/>
          </w:tcPr>
          <w:p w14:paraId="5AA4303F"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Yes</w:t>
            </w:r>
          </w:p>
        </w:tc>
        <w:tc>
          <w:tcPr>
            <w:tcW w:w="960" w:type="dxa"/>
            <w:tcBorders>
              <w:top w:val="nil"/>
              <w:left w:val="nil"/>
              <w:bottom w:val="nil"/>
              <w:right w:val="nil"/>
            </w:tcBorders>
            <w:shd w:val="clear" w:color="auto" w:fill="auto"/>
            <w:noWrap/>
            <w:vAlign w:val="bottom"/>
            <w:hideMark/>
          </w:tcPr>
          <w:p w14:paraId="67DBBF25"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1</w:t>
            </w:r>
          </w:p>
        </w:tc>
        <w:tc>
          <w:tcPr>
            <w:tcW w:w="1360" w:type="dxa"/>
            <w:tcBorders>
              <w:top w:val="nil"/>
              <w:left w:val="nil"/>
              <w:bottom w:val="nil"/>
              <w:right w:val="nil"/>
            </w:tcBorders>
            <w:shd w:val="clear" w:color="auto" w:fill="auto"/>
            <w:noWrap/>
            <w:vAlign w:val="bottom"/>
            <w:hideMark/>
          </w:tcPr>
          <w:p w14:paraId="7440DB9C"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Yes</w:t>
            </w:r>
          </w:p>
        </w:tc>
        <w:tc>
          <w:tcPr>
            <w:tcW w:w="1440" w:type="dxa"/>
            <w:tcBorders>
              <w:top w:val="nil"/>
              <w:left w:val="nil"/>
              <w:bottom w:val="nil"/>
              <w:right w:val="nil"/>
            </w:tcBorders>
            <w:shd w:val="clear" w:color="auto" w:fill="auto"/>
            <w:noWrap/>
            <w:vAlign w:val="bottom"/>
            <w:hideMark/>
          </w:tcPr>
          <w:p w14:paraId="7735E275"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exceed 50%</w:t>
            </w:r>
          </w:p>
        </w:tc>
        <w:tc>
          <w:tcPr>
            <w:tcW w:w="1340" w:type="dxa"/>
            <w:tcBorders>
              <w:top w:val="nil"/>
              <w:left w:val="nil"/>
              <w:bottom w:val="nil"/>
              <w:right w:val="nil"/>
            </w:tcBorders>
            <w:shd w:val="clear" w:color="auto" w:fill="auto"/>
            <w:noWrap/>
            <w:vAlign w:val="bottom"/>
            <w:hideMark/>
          </w:tcPr>
          <w:p w14:paraId="693DAD32"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2</w:t>
            </w:r>
          </w:p>
        </w:tc>
        <w:tc>
          <w:tcPr>
            <w:tcW w:w="1300" w:type="dxa"/>
            <w:tcBorders>
              <w:top w:val="nil"/>
              <w:left w:val="nil"/>
              <w:bottom w:val="nil"/>
              <w:right w:val="nil"/>
            </w:tcBorders>
            <w:shd w:val="clear" w:color="auto" w:fill="auto"/>
            <w:noWrap/>
            <w:vAlign w:val="bottom"/>
            <w:hideMark/>
          </w:tcPr>
          <w:p w14:paraId="7E2A3964"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3</w:t>
            </w:r>
          </w:p>
        </w:tc>
        <w:tc>
          <w:tcPr>
            <w:tcW w:w="1420" w:type="dxa"/>
            <w:tcBorders>
              <w:top w:val="nil"/>
              <w:left w:val="nil"/>
              <w:bottom w:val="nil"/>
              <w:right w:val="nil"/>
            </w:tcBorders>
            <w:shd w:val="clear" w:color="auto" w:fill="auto"/>
            <w:noWrap/>
            <w:vAlign w:val="bottom"/>
            <w:hideMark/>
          </w:tcPr>
          <w:p w14:paraId="34E8B68D"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168.35</w:t>
            </w:r>
          </w:p>
        </w:tc>
        <w:tc>
          <w:tcPr>
            <w:tcW w:w="1420" w:type="dxa"/>
            <w:tcBorders>
              <w:top w:val="nil"/>
              <w:left w:val="nil"/>
              <w:bottom w:val="nil"/>
              <w:right w:val="single" w:sz="4" w:space="0" w:color="auto"/>
            </w:tcBorders>
            <w:shd w:val="clear" w:color="auto" w:fill="auto"/>
            <w:noWrap/>
            <w:vAlign w:val="bottom"/>
            <w:hideMark/>
          </w:tcPr>
          <w:p w14:paraId="5EB01790"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0.001</w:t>
            </w:r>
          </w:p>
        </w:tc>
      </w:tr>
      <w:tr w:rsidR="00CE0FF5" w:rsidRPr="00CE0FF5" w14:paraId="5AAEB35C" w14:textId="77777777" w:rsidTr="00CE0FF5">
        <w:trPr>
          <w:trHeight w:val="20"/>
        </w:trPr>
        <w:tc>
          <w:tcPr>
            <w:tcW w:w="960" w:type="dxa"/>
            <w:tcBorders>
              <w:top w:val="nil"/>
              <w:left w:val="single" w:sz="4" w:space="0" w:color="auto"/>
              <w:bottom w:val="nil"/>
              <w:right w:val="nil"/>
            </w:tcBorders>
            <w:shd w:val="clear" w:color="auto" w:fill="auto"/>
            <w:noWrap/>
            <w:vAlign w:val="bottom"/>
            <w:hideMark/>
          </w:tcPr>
          <w:p w14:paraId="1608C4A0"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excluded</w:t>
            </w:r>
          </w:p>
        </w:tc>
        <w:tc>
          <w:tcPr>
            <w:tcW w:w="1620" w:type="dxa"/>
            <w:tcBorders>
              <w:top w:val="nil"/>
              <w:left w:val="nil"/>
              <w:bottom w:val="nil"/>
              <w:right w:val="nil"/>
            </w:tcBorders>
            <w:shd w:val="clear" w:color="auto" w:fill="auto"/>
            <w:noWrap/>
            <w:vAlign w:val="bottom"/>
            <w:hideMark/>
          </w:tcPr>
          <w:p w14:paraId="696BF4DB"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NA</w:t>
            </w:r>
          </w:p>
        </w:tc>
        <w:tc>
          <w:tcPr>
            <w:tcW w:w="1400" w:type="dxa"/>
            <w:tcBorders>
              <w:top w:val="nil"/>
              <w:left w:val="nil"/>
              <w:bottom w:val="nil"/>
              <w:right w:val="nil"/>
            </w:tcBorders>
            <w:shd w:val="clear" w:color="auto" w:fill="auto"/>
            <w:noWrap/>
            <w:vAlign w:val="bottom"/>
            <w:hideMark/>
          </w:tcPr>
          <w:p w14:paraId="6D9D6161"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Yes</w:t>
            </w:r>
          </w:p>
        </w:tc>
        <w:tc>
          <w:tcPr>
            <w:tcW w:w="960" w:type="dxa"/>
            <w:tcBorders>
              <w:top w:val="nil"/>
              <w:left w:val="nil"/>
              <w:bottom w:val="nil"/>
              <w:right w:val="nil"/>
            </w:tcBorders>
            <w:shd w:val="clear" w:color="auto" w:fill="auto"/>
            <w:noWrap/>
            <w:vAlign w:val="bottom"/>
            <w:hideMark/>
          </w:tcPr>
          <w:p w14:paraId="49ADAEB0"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2</w:t>
            </w:r>
          </w:p>
        </w:tc>
        <w:tc>
          <w:tcPr>
            <w:tcW w:w="1360" w:type="dxa"/>
            <w:tcBorders>
              <w:top w:val="nil"/>
              <w:left w:val="nil"/>
              <w:bottom w:val="nil"/>
              <w:right w:val="nil"/>
            </w:tcBorders>
            <w:shd w:val="clear" w:color="auto" w:fill="auto"/>
            <w:noWrap/>
            <w:vAlign w:val="bottom"/>
            <w:hideMark/>
          </w:tcPr>
          <w:p w14:paraId="271377DF"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Yes</w:t>
            </w:r>
          </w:p>
        </w:tc>
        <w:tc>
          <w:tcPr>
            <w:tcW w:w="1440" w:type="dxa"/>
            <w:tcBorders>
              <w:top w:val="nil"/>
              <w:left w:val="nil"/>
              <w:bottom w:val="nil"/>
              <w:right w:val="nil"/>
            </w:tcBorders>
            <w:shd w:val="clear" w:color="auto" w:fill="auto"/>
            <w:noWrap/>
            <w:vAlign w:val="bottom"/>
            <w:hideMark/>
          </w:tcPr>
          <w:p w14:paraId="30EA6900"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exceed 50%</w:t>
            </w:r>
          </w:p>
        </w:tc>
        <w:tc>
          <w:tcPr>
            <w:tcW w:w="1340" w:type="dxa"/>
            <w:tcBorders>
              <w:top w:val="nil"/>
              <w:left w:val="nil"/>
              <w:bottom w:val="nil"/>
              <w:right w:val="nil"/>
            </w:tcBorders>
            <w:shd w:val="clear" w:color="auto" w:fill="auto"/>
            <w:noWrap/>
            <w:vAlign w:val="bottom"/>
            <w:hideMark/>
          </w:tcPr>
          <w:p w14:paraId="2BCAE750"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3</w:t>
            </w:r>
          </w:p>
        </w:tc>
        <w:tc>
          <w:tcPr>
            <w:tcW w:w="1300" w:type="dxa"/>
            <w:tcBorders>
              <w:top w:val="nil"/>
              <w:left w:val="nil"/>
              <w:bottom w:val="nil"/>
              <w:right w:val="nil"/>
            </w:tcBorders>
            <w:shd w:val="clear" w:color="auto" w:fill="auto"/>
            <w:noWrap/>
            <w:vAlign w:val="bottom"/>
            <w:hideMark/>
          </w:tcPr>
          <w:p w14:paraId="2218B863"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3</w:t>
            </w:r>
          </w:p>
        </w:tc>
        <w:tc>
          <w:tcPr>
            <w:tcW w:w="1420" w:type="dxa"/>
            <w:tcBorders>
              <w:top w:val="nil"/>
              <w:left w:val="nil"/>
              <w:bottom w:val="nil"/>
              <w:right w:val="nil"/>
            </w:tcBorders>
            <w:shd w:val="clear" w:color="auto" w:fill="auto"/>
            <w:noWrap/>
            <w:vAlign w:val="bottom"/>
            <w:hideMark/>
          </w:tcPr>
          <w:p w14:paraId="29667D04"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91.76</w:t>
            </w:r>
          </w:p>
        </w:tc>
        <w:tc>
          <w:tcPr>
            <w:tcW w:w="1420" w:type="dxa"/>
            <w:tcBorders>
              <w:top w:val="nil"/>
              <w:left w:val="nil"/>
              <w:bottom w:val="nil"/>
              <w:right w:val="single" w:sz="4" w:space="0" w:color="auto"/>
            </w:tcBorders>
            <w:shd w:val="clear" w:color="auto" w:fill="auto"/>
            <w:noWrap/>
            <w:vAlign w:val="bottom"/>
            <w:hideMark/>
          </w:tcPr>
          <w:p w14:paraId="5BD6CE21"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0.001</w:t>
            </w:r>
          </w:p>
        </w:tc>
      </w:tr>
      <w:tr w:rsidR="00CE0FF5" w:rsidRPr="00CE0FF5" w14:paraId="713CD781" w14:textId="77777777" w:rsidTr="00CE0FF5">
        <w:trPr>
          <w:trHeight w:val="20"/>
        </w:trPr>
        <w:tc>
          <w:tcPr>
            <w:tcW w:w="960" w:type="dxa"/>
            <w:tcBorders>
              <w:top w:val="single" w:sz="4" w:space="0" w:color="auto"/>
              <w:left w:val="single" w:sz="4" w:space="0" w:color="auto"/>
              <w:bottom w:val="nil"/>
              <w:right w:val="nil"/>
            </w:tcBorders>
            <w:shd w:val="clear" w:color="auto" w:fill="auto"/>
            <w:noWrap/>
            <w:vAlign w:val="bottom"/>
            <w:hideMark/>
          </w:tcPr>
          <w:p w14:paraId="7B23B56C"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included</w:t>
            </w:r>
          </w:p>
        </w:tc>
        <w:tc>
          <w:tcPr>
            <w:tcW w:w="1620" w:type="dxa"/>
            <w:tcBorders>
              <w:top w:val="single" w:sz="4" w:space="0" w:color="auto"/>
              <w:left w:val="nil"/>
              <w:bottom w:val="nil"/>
              <w:right w:val="nil"/>
            </w:tcBorders>
            <w:shd w:val="clear" w:color="auto" w:fill="auto"/>
            <w:noWrap/>
            <w:vAlign w:val="bottom"/>
            <w:hideMark/>
          </w:tcPr>
          <w:p w14:paraId="23F3EABF"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1</w:t>
            </w:r>
          </w:p>
        </w:tc>
        <w:tc>
          <w:tcPr>
            <w:tcW w:w="1400" w:type="dxa"/>
            <w:tcBorders>
              <w:top w:val="single" w:sz="4" w:space="0" w:color="auto"/>
              <w:left w:val="nil"/>
              <w:bottom w:val="nil"/>
              <w:right w:val="nil"/>
            </w:tcBorders>
            <w:shd w:val="clear" w:color="auto" w:fill="auto"/>
            <w:noWrap/>
            <w:vAlign w:val="bottom"/>
            <w:hideMark/>
          </w:tcPr>
          <w:p w14:paraId="5F815443"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No</w:t>
            </w:r>
          </w:p>
        </w:tc>
        <w:tc>
          <w:tcPr>
            <w:tcW w:w="960" w:type="dxa"/>
            <w:tcBorders>
              <w:top w:val="single" w:sz="4" w:space="0" w:color="auto"/>
              <w:left w:val="nil"/>
              <w:bottom w:val="nil"/>
              <w:right w:val="nil"/>
            </w:tcBorders>
            <w:shd w:val="clear" w:color="auto" w:fill="auto"/>
            <w:noWrap/>
            <w:vAlign w:val="bottom"/>
            <w:hideMark/>
          </w:tcPr>
          <w:p w14:paraId="7F8A74FD"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NA</w:t>
            </w:r>
          </w:p>
        </w:tc>
        <w:tc>
          <w:tcPr>
            <w:tcW w:w="1360" w:type="dxa"/>
            <w:tcBorders>
              <w:top w:val="single" w:sz="4" w:space="0" w:color="auto"/>
              <w:left w:val="nil"/>
              <w:bottom w:val="nil"/>
              <w:right w:val="nil"/>
            </w:tcBorders>
            <w:shd w:val="clear" w:color="auto" w:fill="auto"/>
            <w:noWrap/>
            <w:vAlign w:val="bottom"/>
            <w:hideMark/>
          </w:tcPr>
          <w:p w14:paraId="7DB70844"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No</w:t>
            </w:r>
          </w:p>
        </w:tc>
        <w:tc>
          <w:tcPr>
            <w:tcW w:w="1440" w:type="dxa"/>
            <w:tcBorders>
              <w:top w:val="single" w:sz="4" w:space="0" w:color="auto"/>
              <w:left w:val="nil"/>
              <w:bottom w:val="nil"/>
              <w:right w:val="nil"/>
            </w:tcBorders>
            <w:shd w:val="clear" w:color="auto" w:fill="auto"/>
            <w:noWrap/>
            <w:vAlign w:val="bottom"/>
            <w:hideMark/>
          </w:tcPr>
          <w:p w14:paraId="71C50A5E"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NA</w:t>
            </w:r>
          </w:p>
        </w:tc>
        <w:tc>
          <w:tcPr>
            <w:tcW w:w="1340" w:type="dxa"/>
            <w:tcBorders>
              <w:top w:val="single" w:sz="4" w:space="0" w:color="auto"/>
              <w:left w:val="nil"/>
              <w:bottom w:val="nil"/>
              <w:right w:val="nil"/>
            </w:tcBorders>
            <w:shd w:val="clear" w:color="auto" w:fill="auto"/>
            <w:noWrap/>
            <w:vAlign w:val="bottom"/>
            <w:hideMark/>
          </w:tcPr>
          <w:p w14:paraId="2F2BA71E"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NA</w:t>
            </w:r>
          </w:p>
        </w:tc>
        <w:tc>
          <w:tcPr>
            <w:tcW w:w="1300" w:type="dxa"/>
            <w:tcBorders>
              <w:top w:val="single" w:sz="4" w:space="0" w:color="auto"/>
              <w:left w:val="nil"/>
              <w:bottom w:val="nil"/>
              <w:right w:val="nil"/>
            </w:tcBorders>
            <w:shd w:val="clear" w:color="auto" w:fill="auto"/>
            <w:noWrap/>
            <w:vAlign w:val="bottom"/>
            <w:hideMark/>
          </w:tcPr>
          <w:p w14:paraId="38B70430"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5</w:t>
            </w:r>
          </w:p>
        </w:tc>
        <w:tc>
          <w:tcPr>
            <w:tcW w:w="1420" w:type="dxa"/>
            <w:tcBorders>
              <w:top w:val="single" w:sz="4" w:space="0" w:color="auto"/>
              <w:left w:val="nil"/>
              <w:bottom w:val="nil"/>
              <w:right w:val="nil"/>
            </w:tcBorders>
            <w:shd w:val="clear" w:color="auto" w:fill="auto"/>
            <w:noWrap/>
            <w:vAlign w:val="bottom"/>
            <w:hideMark/>
          </w:tcPr>
          <w:p w14:paraId="60287A8E"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26.52</w:t>
            </w:r>
          </w:p>
        </w:tc>
        <w:tc>
          <w:tcPr>
            <w:tcW w:w="1420" w:type="dxa"/>
            <w:tcBorders>
              <w:top w:val="single" w:sz="4" w:space="0" w:color="auto"/>
              <w:left w:val="nil"/>
              <w:bottom w:val="nil"/>
              <w:right w:val="single" w:sz="4" w:space="0" w:color="auto"/>
            </w:tcBorders>
            <w:shd w:val="clear" w:color="auto" w:fill="auto"/>
            <w:noWrap/>
            <w:vAlign w:val="bottom"/>
            <w:hideMark/>
          </w:tcPr>
          <w:p w14:paraId="0BF2809E"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0.001</w:t>
            </w:r>
          </w:p>
        </w:tc>
      </w:tr>
      <w:tr w:rsidR="00CE0FF5" w:rsidRPr="00CE0FF5" w14:paraId="7B55CB8A" w14:textId="77777777" w:rsidTr="00CE0FF5">
        <w:trPr>
          <w:trHeight w:val="20"/>
        </w:trPr>
        <w:tc>
          <w:tcPr>
            <w:tcW w:w="960" w:type="dxa"/>
            <w:tcBorders>
              <w:top w:val="nil"/>
              <w:left w:val="single" w:sz="4" w:space="0" w:color="auto"/>
              <w:bottom w:val="nil"/>
              <w:right w:val="nil"/>
            </w:tcBorders>
            <w:shd w:val="clear" w:color="auto" w:fill="auto"/>
            <w:noWrap/>
            <w:vAlign w:val="bottom"/>
            <w:hideMark/>
          </w:tcPr>
          <w:p w14:paraId="46247336"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included</w:t>
            </w:r>
          </w:p>
        </w:tc>
        <w:tc>
          <w:tcPr>
            <w:tcW w:w="1620" w:type="dxa"/>
            <w:tcBorders>
              <w:top w:val="nil"/>
              <w:left w:val="nil"/>
              <w:bottom w:val="nil"/>
              <w:right w:val="nil"/>
            </w:tcBorders>
            <w:shd w:val="clear" w:color="auto" w:fill="auto"/>
            <w:noWrap/>
            <w:vAlign w:val="bottom"/>
            <w:hideMark/>
          </w:tcPr>
          <w:p w14:paraId="7F64C87D"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1</w:t>
            </w:r>
          </w:p>
        </w:tc>
        <w:tc>
          <w:tcPr>
            <w:tcW w:w="1400" w:type="dxa"/>
            <w:tcBorders>
              <w:top w:val="nil"/>
              <w:left w:val="nil"/>
              <w:bottom w:val="nil"/>
              <w:right w:val="nil"/>
            </w:tcBorders>
            <w:shd w:val="clear" w:color="auto" w:fill="auto"/>
            <w:noWrap/>
            <w:vAlign w:val="bottom"/>
            <w:hideMark/>
          </w:tcPr>
          <w:p w14:paraId="586C5680"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Yes</w:t>
            </w:r>
          </w:p>
        </w:tc>
        <w:tc>
          <w:tcPr>
            <w:tcW w:w="960" w:type="dxa"/>
            <w:tcBorders>
              <w:top w:val="nil"/>
              <w:left w:val="nil"/>
              <w:bottom w:val="nil"/>
              <w:right w:val="nil"/>
            </w:tcBorders>
            <w:shd w:val="clear" w:color="auto" w:fill="auto"/>
            <w:noWrap/>
            <w:vAlign w:val="bottom"/>
            <w:hideMark/>
          </w:tcPr>
          <w:p w14:paraId="4F3F4657"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1</w:t>
            </w:r>
          </w:p>
        </w:tc>
        <w:tc>
          <w:tcPr>
            <w:tcW w:w="1360" w:type="dxa"/>
            <w:tcBorders>
              <w:top w:val="nil"/>
              <w:left w:val="nil"/>
              <w:bottom w:val="nil"/>
              <w:right w:val="nil"/>
            </w:tcBorders>
            <w:shd w:val="clear" w:color="auto" w:fill="auto"/>
            <w:noWrap/>
            <w:vAlign w:val="bottom"/>
            <w:hideMark/>
          </w:tcPr>
          <w:p w14:paraId="497A4947"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No</w:t>
            </w:r>
          </w:p>
        </w:tc>
        <w:tc>
          <w:tcPr>
            <w:tcW w:w="1440" w:type="dxa"/>
            <w:tcBorders>
              <w:top w:val="nil"/>
              <w:left w:val="nil"/>
              <w:bottom w:val="nil"/>
              <w:right w:val="nil"/>
            </w:tcBorders>
            <w:shd w:val="clear" w:color="auto" w:fill="auto"/>
            <w:noWrap/>
            <w:vAlign w:val="bottom"/>
            <w:hideMark/>
          </w:tcPr>
          <w:p w14:paraId="735A022E"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NA</w:t>
            </w:r>
          </w:p>
        </w:tc>
        <w:tc>
          <w:tcPr>
            <w:tcW w:w="1340" w:type="dxa"/>
            <w:tcBorders>
              <w:top w:val="nil"/>
              <w:left w:val="nil"/>
              <w:bottom w:val="nil"/>
              <w:right w:val="nil"/>
            </w:tcBorders>
            <w:shd w:val="clear" w:color="auto" w:fill="auto"/>
            <w:noWrap/>
            <w:vAlign w:val="bottom"/>
            <w:hideMark/>
          </w:tcPr>
          <w:p w14:paraId="5F12934C"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NA</w:t>
            </w:r>
          </w:p>
        </w:tc>
        <w:tc>
          <w:tcPr>
            <w:tcW w:w="1300" w:type="dxa"/>
            <w:tcBorders>
              <w:top w:val="nil"/>
              <w:left w:val="nil"/>
              <w:bottom w:val="nil"/>
              <w:right w:val="nil"/>
            </w:tcBorders>
            <w:shd w:val="clear" w:color="auto" w:fill="auto"/>
            <w:noWrap/>
            <w:vAlign w:val="bottom"/>
            <w:hideMark/>
          </w:tcPr>
          <w:p w14:paraId="66A9BCB9"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3</w:t>
            </w:r>
          </w:p>
        </w:tc>
        <w:tc>
          <w:tcPr>
            <w:tcW w:w="1420" w:type="dxa"/>
            <w:tcBorders>
              <w:top w:val="nil"/>
              <w:left w:val="nil"/>
              <w:bottom w:val="nil"/>
              <w:right w:val="nil"/>
            </w:tcBorders>
            <w:shd w:val="clear" w:color="auto" w:fill="auto"/>
            <w:noWrap/>
            <w:vAlign w:val="bottom"/>
            <w:hideMark/>
          </w:tcPr>
          <w:p w14:paraId="18B9F78D"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32.19</w:t>
            </w:r>
          </w:p>
        </w:tc>
        <w:tc>
          <w:tcPr>
            <w:tcW w:w="1420" w:type="dxa"/>
            <w:tcBorders>
              <w:top w:val="nil"/>
              <w:left w:val="nil"/>
              <w:bottom w:val="nil"/>
              <w:right w:val="single" w:sz="4" w:space="0" w:color="auto"/>
            </w:tcBorders>
            <w:shd w:val="clear" w:color="auto" w:fill="auto"/>
            <w:noWrap/>
            <w:vAlign w:val="bottom"/>
            <w:hideMark/>
          </w:tcPr>
          <w:p w14:paraId="315A96BE"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0.001</w:t>
            </w:r>
          </w:p>
        </w:tc>
      </w:tr>
      <w:tr w:rsidR="00CE0FF5" w:rsidRPr="00CE0FF5" w14:paraId="04FFC807" w14:textId="77777777" w:rsidTr="00CE0FF5">
        <w:trPr>
          <w:trHeight w:val="20"/>
        </w:trPr>
        <w:tc>
          <w:tcPr>
            <w:tcW w:w="960" w:type="dxa"/>
            <w:tcBorders>
              <w:top w:val="nil"/>
              <w:left w:val="single" w:sz="4" w:space="0" w:color="auto"/>
              <w:bottom w:val="nil"/>
              <w:right w:val="nil"/>
            </w:tcBorders>
            <w:shd w:val="clear" w:color="auto" w:fill="auto"/>
            <w:noWrap/>
            <w:vAlign w:val="bottom"/>
            <w:hideMark/>
          </w:tcPr>
          <w:p w14:paraId="256E6924"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included</w:t>
            </w:r>
          </w:p>
        </w:tc>
        <w:tc>
          <w:tcPr>
            <w:tcW w:w="1620" w:type="dxa"/>
            <w:tcBorders>
              <w:top w:val="nil"/>
              <w:left w:val="nil"/>
              <w:bottom w:val="nil"/>
              <w:right w:val="nil"/>
            </w:tcBorders>
            <w:shd w:val="clear" w:color="auto" w:fill="auto"/>
            <w:noWrap/>
            <w:vAlign w:val="bottom"/>
            <w:hideMark/>
          </w:tcPr>
          <w:p w14:paraId="17C4553C"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1</w:t>
            </w:r>
          </w:p>
        </w:tc>
        <w:tc>
          <w:tcPr>
            <w:tcW w:w="1400" w:type="dxa"/>
            <w:tcBorders>
              <w:top w:val="nil"/>
              <w:left w:val="nil"/>
              <w:bottom w:val="nil"/>
              <w:right w:val="nil"/>
            </w:tcBorders>
            <w:shd w:val="clear" w:color="auto" w:fill="auto"/>
            <w:noWrap/>
            <w:vAlign w:val="bottom"/>
            <w:hideMark/>
          </w:tcPr>
          <w:p w14:paraId="62069964"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Yes</w:t>
            </w:r>
          </w:p>
        </w:tc>
        <w:tc>
          <w:tcPr>
            <w:tcW w:w="960" w:type="dxa"/>
            <w:tcBorders>
              <w:top w:val="nil"/>
              <w:left w:val="nil"/>
              <w:bottom w:val="nil"/>
              <w:right w:val="nil"/>
            </w:tcBorders>
            <w:shd w:val="clear" w:color="auto" w:fill="auto"/>
            <w:noWrap/>
            <w:vAlign w:val="bottom"/>
            <w:hideMark/>
          </w:tcPr>
          <w:p w14:paraId="32376CD1"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2</w:t>
            </w:r>
          </w:p>
        </w:tc>
        <w:tc>
          <w:tcPr>
            <w:tcW w:w="1360" w:type="dxa"/>
            <w:tcBorders>
              <w:top w:val="nil"/>
              <w:left w:val="nil"/>
              <w:bottom w:val="nil"/>
              <w:right w:val="nil"/>
            </w:tcBorders>
            <w:shd w:val="clear" w:color="auto" w:fill="auto"/>
            <w:noWrap/>
            <w:vAlign w:val="bottom"/>
            <w:hideMark/>
          </w:tcPr>
          <w:p w14:paraId="13565F73"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No</w:t>
            </w:r>
          </w:p>
        </w:tc>
        <w:tc>
          <w:tcPr>
            <w:tcW w:w="1440" w:type="dxa"/>
            <w:tcBorders>
              <w:top w:val="nil"/>
              <w:left w:val="nil"/>
              <w:bottom w:val="nil"/>
              <w:right w:val="nil"/>
            </w:tcBorders>
            <w:shd w:val="clear" w:color="auto" w:fill="auto"/>
            <w:noWrap/>
            <w:vAlign w:val="bottom"/>
            <w:hideMark/>
          </w:tcPr>
          <w:p w14:paraId="73988A3A"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NA</w:t>
            </w:r>
          </w:p>
        </w:tc>
        <w:tc>
          <w:tcPr>
            <w:tcW w:w="1340" w:type="dxa"/>
            <w:tcBorders>
              <w:top w:val="nil"/>
              <w:left w:val="nil"/>
              <w:bottom w:val="nil"/>
              <w:right w:val="nil"/>
            </w:tcBorders>
            <w:shd w:val="clear" w:color="auto" w:fill="auto"/>
            <w:noWrap/>
            <w:vAlign w:val="bottom"/>
            <w:hideMark/>
          </w:tcPr>
          <w:p w14:paraId="3DFBCFE7"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NA</w:t>
            </w:r>
          </w:p>
        </w:tc>
        <w:tc>
          <w:tcPr>
            <w:tcW w:w="1300" w:type="dxa"/>
            <w:tcBorders>
              <w:top w:val="nil"/>
              <w:left w:val="nil"/>
              <w:bottom w:val="nil"/>
              <w:right w:val="nil"/>
            </w:tcBorders>
            <w:shd w:val="clear" w:color="auto" w:fill="auto"/>
            <w:noWrap/>
            <w:vAlign w:val="bottom"/>
            <w:hideMark/>
          </w:tcPr>
          <w:p w14:paraId="00639C13"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4</w:t>
            </w:r>
          </w:p>
        </w:tc>
        <w:tc>
          <w:tcPr>
            <w:tcW w:w="1420" w:type="dxa"/>
            <w:tcBorders>
              <w:top w:val="nil"/>
              <w:left w:val="nil"/>
              <w:bottom w:val="nil"/>
              <w:right w:val="nil"/>
            </w:tcBorders>
            <w:shd w:val="clear" w:color="auto" w:fill="auto"/>
            <w:noWrap/>
            <w:vAlign w:val="bottom"/>
            <w:hideMark/>
          </w:tcPr>
          <w:p w14:paraId="08673F80"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33.50</w:t>
            </w:r>
          </w:p>
        </w:tc>
        <w:tc>
          <w:tcPr>
            <w:tcW w:w="1420" w:type="dxa"/>
            <w:tcBorders>
              <w:top w:val="nil"/>
              <w:left w:val="nil"/>
              <w:bottom w:val="nil"/>
              <w:right w:val="single" w:sz="4" w:space="0" w:color="auto"/>
            </w:tcBorders>
            <w:shd w:val="clear" w:color="auto" w:fill="auto"/>
            <w:noWrap/>
            <w:vAlign w:val="bottom"/>
            <w:hideMark/>
          </w:tcPr>
          <w:p w14:paraId="7BFBC69F"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0.001</w:t>
            </w:r>
          </w:p>
        </w:tc>
      </w:tr>
      <w:tr w:rsidR="00CE0FF5" w:rsidRPr="00CE0FF5" w14:paraId="70BDE6E1" w14:textId="77777777" w:rsidTr="00CE0FF5">
        <w:trPr>
          <w:trHeight w:val="20"/>
        </w:trPr>
        <w:tc>
          <w:tcPr>
            <w:tcW w:w="960" w:type="dxa"/>
            <w:tcBorders>
              <w:top w:val="nil"/>
              <w:left w:val="single" w:sz="4" w:space="0" w:color="auto"/>
              <w:bottom w:val="nil"/>
              <w:right w:val="nil"/>
            </w:tcBorders>
            <w:shd w:val="clear" w:color="auto" w:fill="auto"/>
            <w:noWrap/>
            <w:vAlign w:val="bottom"/>
            <w:hideMark/>
          </w:tcPr>
          <w:p w14:paraId="63A96C10"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included</w:t>
            </w:r>
          </w:p>
        </w:tc>
        <w:tc>
          <w:tcPr>
            <w:tcW w:w="1620" w:type="dxa"/>
            <w:tcBorders>
              <w:top w:val="nil"/>
              <w:left w:val="nil"/>
              <w:bottom w:val="nil"/>
              <w:right w:val="nil"/>
            </w:tcBorders>
            <w:shd w:val="clear" w:color="auto" w:fill="auto"/>
            <w:noWrap/>
            <w:vAlign w:val="bottom"/>
            <w:hideMark/>
          </w:tcPr>
          <w:p w14:paraId="75A39280"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2</w:t>
            </w:r>
          </w:p>
        </w:tc>
        <w:tc>
          <w:tcPr>
            <w:tcW w:w="1400" w:type="dxa"/>
            <w:tcBorders>
              <w:top w:val="nil"/>
              <w:left w:val="nil"/>
              <w:bottom w:val="nil"/>
              <w:right w:val="nil"/>
            </w:tcBorders>
            <w:shd w:val="clear" w:color="auto" w:fill="auto"/>
            <w:noWrap/>
            <w:vAlign w:val="bottom"/>
            <w:hideMark/>
          </w:tcPr>
          <w:p w14:paraId="1F383FE6"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No</w:t>
            </w:r>
          </w:p>
        </w:tc>
        <w:tc>
          <w:tcPr>
            <w:tcW w:w="960" w:type="dxa"/>
            <w:tcBorders>
              <w:top w:val="nil"/>
              <w:left w:val="nil"/>
              <w:bottom w:val="nil"/>
              <w:right w:val="nil"/>
            </w:tcBorders>
            <w:shd w:val="clear" w:color="auto" w:fill="auto"/>
            <w:noWrap/>
            <w:vAlign w:val="bottom"/>
            <w:hideMark/>
          </w:tcPr>
          <w:p w14:paraId="4BF816B9"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NA</w:t>
            </w:r>
          </w:p>
        </w:tc>
        <w:tc>
          <w:tcPr>
            <w:tcW w:w="1360" w:type="dxa"/>
            <w:tcBorders>
              <w:top w:val="nil"/>
              <w:left w:val="nil"/>
              <w:bottom w:val="nil"/>
              <w:right w:val="nil"/>
            </w:tcBorders>
            <w:shd w:val="clear" w:color="auto" w:fill="auto"/>
            <w:noWrap/>
            <w:vAlign w:val="bottom"/>
            <w:hideMark/>
          </w:tcPr>
          <w:p w14:paraId="078C8B94"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No</w:t>
            </w:r>
          </w:p>
        </w:tc>
        <w:tc>
          <w:tcPr>
            <w:tcW w:w="1440" w:type="dxa"/>
            <w:tcBorders>
              <w:top w:val="nil"/>
              <w:left w:val="nil"/>
              <w:bottom w:val="nil"/>
              <w:right w:val="nil"/>
            </w:tcBorders>
            <w:shd w:val="clear" w:color="auto" w:fill="auto"/>
            <w:noWrap/>
            <w:vAlign w:val="bottom"/>
            <w:hideMark/>
          </w:tcPr>
          <w:p w14:paraId="35D37479"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NA</w:t>
            </w:r>
          </w:p>
        </w:tc>
        <w:tc>
          <w:tcPr>
            <w:tcW w:w="1340" w:type="dxa"/>
            <w:tcBorders>
              <w:top w:val="nil"/>
              <w:left w:val="nil"/>
              <w:bottom w:val="nil"/>
              <w:right w:val="nil"/>
            </w:tcBorders>
            <w:shd w:val="clear" w:color="auto" w:fill="auto"/>
            <w:noWrap/>
            <w:vAlign w:val="bottom"/>
            <w:hideMark/>
          </w:tcPr>
          <w:p w14:paraId="0C281948"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NA</w:t>
            </w:r>
          </w:p>
        </w:tc>
        <w:tc>
          <w:tcPr>
            <w:tcW w:w="1300" w:type="dxa"/>
            <w:tcBorders>
              <w:top w:val="nil"/>
              <w:left w:val="nil"/>
              <w:bottom w:val="nil"/>
              <w:right w:val="nil"/>
            </w:tcBorders>
            <w:shd w:val="clear" w:color="auto" w:fill="auto"/>
            <w:noWrap/>
            <w:vAlign w:val="bottom"/>
            <w:hideMark/>
          </w:tcPr>
          <w:p w14:paraId="795E9208"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3</w:t>
            </w:r>
          </w:p>
        </w:tc>
        <w:tc>
          <w:tcPr>
            <w:tcW w:w="1420" w:type="dxa"/>
            <w:tcBorders>
              <w:top w:val="nil"/>
              <w:left w:val="nil"/>
              <w:bottom w:val="nil"/>
              <w:right w:val="nil"/>
            </w:tcBorders>
            <w:shd w:val="clear" w:color="auto" w:fill="auto"/>
            <w:noWrap/>
            <w:vAlign w:val="bottom"/>
            <w:hideMark/>
          </w:tcPr>
          <w:p w14:paraId="3C15238F"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22.60</w:t>
            </w:r>
          </w:p>
        </w:tc>
        <w:tc>
          <w:tcPr>
            <w:tcW w:w="1420" w:type="dxa"/>
            <w:tcBorders>
              <w:top w:val="nil"/>
              <w:left w:val="nil"/>
              <w:bottom w:val="nil"/>
              <w:right w:val="single" w:sz="4" w:space="0" w:color="auto"/>
            </w:tcBorders>
            <w:shd w:val="clear" w:color="auto" w:fill="auto"/>
            <w:noWrap/>
            <w:vAlign w:val="bottom"/>
            <w:hideMark/>
          </w:tcPr>
          <w:p w14:paraId="1201F919"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0.001</w:t>
            </w:r>
          </w:p>
        </w:tc>
      </w:tr>
      <w:tr w:rsidR="00CE0FF5" w:rsidRPr="00CE0FF5" w14:paraId="6023BFA4" w14:textId="77777777" w:rsidTr="00CE0FF5">
        <w:trPr>
          <w:trHeight w:val="20"/>
        </w:trPr>
        <w:tc>
          <w:tcPr>
            <w:tcW w:w="960" w:type="dxa"/>
            <w:tcBorders>
              <w:top w:val="nil"/>
              <w:left w:val="single" w:sz="4" w:space="0" w:color="auto"/>
              <w:bottom w:val="nil"/>
              <w:right w:val="nil"/>
            </w:tcBorders>
            <w:shd w:val="clear" w:color="auto" w:fill="auto"/>
            <w:noWrap/>
            <w:vAlign w:val="bottom"/>
            <w:hideMark/>
          </w:tcPr>
          <w:p w14:paraId="404F4BC9"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included</w:t>
            </w:r>
          </w:p>
        </w:tc>
        <w:tc>
          <w:tcPr>
            <w:tcW w:w="1620" w:type="dxa"/>
            <w:tcBorders>
              <w:top w:val="nil"/>
              <w:left w:val="nil"/>
              <w:bottom w:val="nil"/>
              <w:right w:val="nil"/>
            </w:tcBorders>
            <w:shd w:val="clear" w:color="auto" w:fill="auto"/>
            <w:noWrap/>
            <w:vAlign w:val="bottom"/>
            <w:hideMark/>
          </w:tcPr>
          <w:p w14:paraId="3D1B3636"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2</w:t>
            </w:r>
          </w:p>
        </w:tc>
        <w:tc>
          <w:tcPr>
            <w:tcW w:w="1400" w:type="dxa"/>
            <w:tcBorders>
              <w:top w:val="nil"/>
              <w:left w:val="nil"/>
              <w:bottom w:val="nil"/>
              <w:right w:val="nil"/>
            </w:tcBorders>
            <w:shd w:val="clear" w:color="auto" w:fill="auto"/>
            <w:noWrap/>
            <w:vAlign w:val="bottom"/>
            <w:hideMark/>
          </w:tcPr>
          <w:p w14:paraId="57FB8770"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Yes</w:t>
            </w:r>
          </w:p>
        </w:tc>
        <w:tc>
          <w:tcPr>
            <w:tcW w:w="960" w:type="dxa"/>
            <w:tcBorders>
              <w:top w:val="nil"/>
              <w:left w:val="nil"/>
              <w:bottom w:val="nil"/>
              <w:right w:val="nil"/>
            </w:tcBorders>
            <w:shd w:val="clear" w:color="auto" w:fill="auto"/>
            <w:noWrap/>
            <w:vAlign w:val="bottom"/>
            <w:hideMark/>
          </w:tcPr>
          <w:p w14:paraId="6787BB03"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1</w:t>
            </w:r>
          </w:p>
        </w:tc>
        <w:tc>
          <w:tcPr>
            <w:tcW w:w="1360" w:type="dxa"/>
            <w:tcBorders>
              <w:top w:val="nil"/>
              <w:left w:val="nil"/>
              <w:bottom w:val="nil"/>
              <w:right w:val="nil"/>
            </w:tcBorders>
            <w:shd w:val="clear" w:color="auto" w:fill="auto"/>
            <w:noWrap/>
            <w:vAlign w:val="bottom"/>
            <w:hideMark/>
          </w:tcPr>
          <w:p w14:paraId="5D1E4E6F"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No</w:t>
            </w:r>
          </w:p>
        </w:tc>
        <w:tc>
          <w:tcPr>
            <w:tcW w:w="1440" w:type="dxa"/>
            <w:tcBorders>
              <w:top w:val="nil"/>
              <w:left w:val="nil"/>
              <w:bottom w:val="nil"/>
              <w:right w:val="nil"/>
            </w:tcBorders>
            <w:shd w:val="clear" w:color="auto" w:fill="auto"/>
            <w:noWrap/>
            <w:vAlign w:val="bottom"/>
            <w:hideMark/>
          </w:tcPr>
          <w:p w14:paraId="6EB3EB30"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NA</w:t>
            </w:r>
          </w:p>
        </w:tc>
        <w:tc>
          <w:tcPr>
            <w:tcW w:w="1340" w:type="dxa"/>
            <w:tcBorders>
              <w:top w:val="nil"/>
              <w:left w:val="nil"/>
              <w:bottom w:val="nil"/>
              <w:right w:val="nil"/>
            </w:tcBorders>
            <w:shd w:val="clear" w:color="auto" w:fill="auto"/>
            <w:noWrap/>
            <w:vAlign w:val="bottom"/>
            <w:hideMark/>
          </w:tcPr>
          <w:p w14:paraId="07527BBD"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NA</w:t>
            </w:r>
          </w:p>
        </w:tc>
        <w:tc>
          <w:tcPr>
            <w:tcW w:w="1300" w:type="dxa"/>
            <w:tcBorders>
              <w:top w:val="nil"/>
              <w:left w:val="nil"/>
              <w:bottom w:val="nil"/>
              <w:right w:val="nil"/>
            </w:tcBorders>
            <w:shd w:val="clear" w:color="auto" w:fill="auto"/>
            <w:noWrap/>
            <w:vAlign w:val="bottom"/>
            <w:hideMark/>
          </w:tcPr>
          <w:p w14:paraId="0261B956"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4</w:t>
            </w:r>
          </w:p>
        </w:tc>
        <w:tc>
          <w:tcPr>
            <w:tcW w:w="1420" w:type="dxa"/>
            <w:tcBorders>
              <w:top w:val="nil"/>
              <w:left w:val="nil"/>
              <w:bottom w:val="nil"/>
              <w:right w:val="nil"/>
            </w:tcBorders>
            <w:shd w:val="clear" w:color="auto" w:fill="auto"/>
            <w:noWrap/>
            <w:vAlign w:val="bottom"/>
            <w:hideMark/>
          </w:tcPr>
          <w:p w14:paraId="7A0FCA24"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21.59</w:t>
            </w:r>
          </w:p>
        </w:tc>
        <w:tc>
          <w:tcPr>
            <w:tcW w:w="1420" w:type="dxa"/>
            <w:tcBorders>
              <w:top w:val="nil"/>
              <w:left w:val="nil"/>
              <w:bottom w:val="nil"/>
              <w:right w:val="single" w:sz="4" w:space="0" w:color="auto"/>
            </w:tcBorders>
            <w:shd w:val="clear" w:color="auto" w:fill="auto"/>
            <w:noWrap/>
            <w:vAlign w:val="bottom"/>
            <w:hideMark/>
          </w:tcPr>
          <w:p w14:paraId="4ACAC63C"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0.001</w:t>
            </w:r>
          </w:p>
        </w:tc>
      </w:tr>
      <w:tr w:rsidR="00CE0FF5" w:rsidRPr="00CE0FF5" w14:paraId="280FE388" w14:textId="77777777" w:rsidTr="00CE0FF5">
        <w:trPr>
          <w:trHeight w:val="20"/>
        </w:trPr>
        <w:tc>
          <w:tcPr>
            <w:tcW w:w="960" w:type="dxa"/>
            <w:tcBorders>
              <w:top w:val="nil"/>
              <w:left w:val="single" w:sz="4" w:space="0" w:color="auto"/>
              <w:bottom w:val="nil"/>
              <w:right w:val="nil"/>
            </w:tcBorders>
            <w:shd w:val="clear" w:color="auto" w:fill="auto"/>
            <w:noWrap/>
            <w:vAlign w:val="bottom"/>
            <w:hideMark/>
          </w:tcPr>
          <w:p w14:paraId="567BDA3B"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included</w:t>
            </w:r>
          </w:p>
        </w:tc>
        <w:tc>
          <w:tcPr>
            <w:tcW w:w="1620" w:type="dxa"/>
            <w:tcBorders>
              <w:top w:val="nil"/>
              <w:left w:val="nil"/>
              <w:bottom w:val="nil"/>
              <w:right w:val="nil"/>
            </w:tcBorders>
            <w:shd w:val="clear" w:color="auto" w:fill="auto"/>
            <w:noWrap/>
            <w:vAlign w:val="bottom"/>
            <w:hideMark/>
          </w:tcPr>
          <w:p w14:paraId="686FF999"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2</w:t>
            </w:r>
          </w:p>
        </w:tc>
        <w:tc>
          <w:tcPr>
            <w:tcW w:w="1400" w:type="dxa"/>
            <w:tcBorders>
              <w:top w:val="nil"/>
              <w:left w:val="nil"/>
              <w:bottom w:val="nil"/>
              <w:right w:val="nil"/>
            </w:tcBorders>
            <w:shd w:val="clear" w:color="auto" w:fill="auto"/>
            <w:noWrap/>
            <w:vAlign w:val="bottom"/>
            <w:hideMark/>
          </w:tcPr>
          <w:p w14:paraId="2AC75F90"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Yes</w:t>
            </w:r>
          </w:p>
        </w:tc>
        <w:tc>
          <w:tcPr>
            <w:tcW w:w="960" w:type="dxa"/>
            <w:tcBorders>
              <w:top w:val="nil"/>
              <w:left w:val="nil"/>
              <w:bottom w:val="nil"/>
              <w:right w:val="nil"/>
            </w:tcBorders>
            <w:shd w:val="clear" w:color="auto" w:fill="auto"/>
            <w:noWrap/>
            <w:vAlign w:val="bottom"/>
            <w:hideMark/>
          </w:tcPr>
          <w:p w14:paraId="3DA9F041"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2</w:t>
            </w:r>
          </w:p>
        </w:tc>
        <w:tc>
          <w:tcPr>
            <w:tcW w:w="1360" w:type="dxa"/>
            <w:tcBorders>
              <w:top w:val="nil"/>
              <w:left w:val="nil"/>
              <w:bottom w:val="nil"/>
              <w:right w:val="nil"/>
            </w:tcBorders>
            <w:shd w:val="clear" w:color="auto" w:fill="auto"/>
            <w:noWrap/>
            <w:vAlign w:val="bottom"/>
            <w:hideMark/>
          </w:tcPr>
          <w:p w14:paraId="3B72B864"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No</w:t>
            </w:r>
          </w:p>
        </w:tc>
        <w:tc>
          <w:tcPr>
            <w:tcW w:w="1440" w:type="dxa"/>
            <w:tcBorders>
              <w:top w:val="nil"/>
              <w:left w:val="nil"/>
              <w:bottom w:val="nil"/>
              <w:right w:val="nil"/>
            </w:tcBorders>
            <w:shd w:val="clear" w:color="auto" w:fill="auto"/>
            <w:noWrap/>
            <w:vAlign w:val="bottom"/>
            <w:hideMark/>
          </w:tcPr>
          <w:p w14:paraId="3B18B8CF"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NA</w:t>
            </w:r>
          </w:p>
        </w:tc>
        <w:tc>
          <w:tcPr>
            <w:tcW w:w="1340" w:type="dxa"/>
            <w:tcBorders>
              <w:top w:val="nil"/>
              <w:left w:val="nil"/>
              <w:bottom w:val="nil"/>
              <w:right w:val="nil"/>
            </w:tcBorders>
            <w:shd w:val="clear" w:color="auto" w:fill="auto"/>
            <w:noWrap/>
            <w:vAlign w:val="bottom"/>
            <w:hideMark/>
          </w:tcPr>
          <w:p w14:paraId="3E76A6EE"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NA</w:t>
            </w:r>
          </w:p>
        </w:tc>
        <w:tc>
          <w:tcPr>
            <w:tcW w:w="1300" w:type="dxa"/>
            <w:tcBorders>
              <w:top w:val="nil"/>
              <w:left w:val="nil"/>
              <w:bottom w:val="nil"/>
              <w:right w:val="nil"/>
            </w:tcBorders>
            <w:shd w:val="clear" w:color="auto" w:fill="auto"/>
            <w:noWrap/>
            <w:vAlign w:val="bottom"/>
            <w:hideMark/>
          </w:tcPr>
          <w:p w14:paraId="68EEC81C"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3</w:t>
            </w:r>
          </w:p>
        </w:tc>
        <w:tc>
          <w:tcPr>
            <w:tcW w:w="1420" w:type="dxa"/>
            <w:tcBorders>
              <w:top w:val="nil"/>
              <w:left w:val="nil"/>
              <w:bottom w:val="nil"/>
              <w:right w:val="nil"/>
            </w:tcBorders>
            <w:shd w:val="clear" w:color="auto" w:fill="auto"/>
            <w:noWrap/>
            <w:vAlign w:val="bottom"/>
            <w:hideMark/>
          </w:tcPr>
          <w:p w14:paraId="2B7FB73C"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25.05</w:t>
            </w:r>
          </w:p>
        </w:tc>
        <w:tc>
          <w:tcPr>
            <w:tcW w:w="1420" w:type="dxa"/>
            <w:tcBorders>
              <w:top w:val="nil"/>
              <w:left w:val="nil"/>
              <w:bottom w:val="nil"/>
              <w:right w:val="single" w:sz="4" w:space="0" w:color="auto"/>
            </w:tcBorders>
            <w:shd w:val="clear" w:color="auto" w:fill="auto"/>
            <w:noWrap/>
            <w:vAlign w:val="bottom"/>
            <w:hideMark/>
          </w:tcPr>
          <w:p w14:paraId="5DA54333"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0.001</w:t>
            </w:r>
          </w:p>
        </w:tc>
      </w:tr>
      <w:tr w:rsidR="00CE0FF5" w:rsidRPr="00CE0FF5" w14:paraId="491E0F72" w14:textId="77777777" w:rsidTr="00CE0FF5">
        <w:trPr>
          <w:trHeight w:val="20"/>
        </w:trPr>
        <w:tc>
          <w:tcPr>
            <w:tcW w:w="960" w:type="dxa"/>
            <w:tcBorders>
              <w:top w:val="nil"/>
              <w:left w:val="single" w:sz="4" w:space="0" w:color="auto"/>
              <w:bottom w:val="nil"/>
              <w:right w:val="nil"/>
            </w:tcBorders>
            <w:shd w:val="clear" w:color="auto" w:fill="auto"/>
            <w:noWrap/>
            <w:vAlign w:val="bottom"/>
            <w:hideMark/>
          </w:tcPr>
          <w:p w14:paraId="04989062"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included</w:t>
            </w:r>
          </w:p>
        </w:tc>
        <w:tc>
          <w:tcPr>
            <w:tcW w:w="1620" w:type="dxa"/>
            <w:tcBorders>
              <w:top w:val="nil"/>
              <w:left w:val="nil"/>
              <w:bottom w:val="nil"/>
              <w:right w:val="nil"/>
            </w:tcBorders>
            <w:shd w:val="clear" w:color="auto" w:fill="auto"/>
            <w:noWrap/>
            <w:vAlign w:val="bottom"/>
            <w:hideMark/>
          </w:tcPr>
          <w:p w14:paraId="6BE7A703"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3</w:t>
            </w:r>
          </w:p>
        </w:tc>
        <w:tc>
          <w:tcPr>
            <w:tcW w:w="1400" w:type="dxa"/>
            <w:tcBorders>
              <w:top w:val="nil"/>
              <w:left w:val="nil"/>
              <w:bottom w:val="nil"/>
              <w:right w:val="nil"/>
            </w:tcBorders>
            <w:shd w:val="clear" w:color="auto" w:fill="auto"/>
            <w:noWrap/>
            <w:vAlign w:val="bottom"/>
            <w:hideMark/>
          </w:tcPr>
          <w:p w14:paraId="30FF0CC3"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No</w:t>
            </w:r>
          </w:p>
        </w:tc>
        <w:tc>
          <w:tcPr>
            <w:tcW w:w="960" w:type="dxa"/>
            <w:tcBorders>
              <w:top w:val="nil"/>
              <w:left w:val="nil"/>
              <w:bottom w:val="nil"/>
              <w:right w:val="nil"/>
            </w:tcBorders>
            <w:shd w:val="clear" w:color="auto" w:fill="auto"/>
            <w:noWrap/>
            <w:vAlign w:val="bottom"/>
            <w:hideMark/>
          </w:tcPr>
          <w:p w14:paraId="43995341"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NA</w:t>
            </w:r>
          </w:p>
        </w:tc>
        <w:tc>
          <w:tcPr>
            <w:tcW w:w="1360" w:type="dxa"/>
            <w:tcBorders>
              <w:top w:val="nil"/>
              <w:left w:val="nil"/>
              <w:bottom w:val="nil"/>
              <w:right w:val="nil"/>
            </w:tcBorders>
            <w:shd w:val="clear" w:color="auto" w:fill="auto"/>
            <w:noWrap/>
            <w:vAlign w:val="bottom"/>
            <w:hideMark/>
          </w:tcPr>
          <w:p w14:paraId="6C1BCA37"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No</w:t>
            </w:r>
          </w:p>
        </w:tc>
        <w:tc>
          <w:tcPr>
            <w:tcW w:w="1440" w:type="dxa"/>
            <w:tcBorders>
              <w:top w:val="nil"/>
              <w:left w:val="nil"/>
              <w:bottom w:val="nil"/>
              <w:right w:val="nil"/>
            </w:tcBorders>
            <w:shd w:val="clear" w:color="auto" w:fill="auto"/>
            <w:noWrap/>
            <w:vAlign w:val="bottom"/>
            <w:hideMark/>
          </w:tcPr>
          <w:p w14:paraId="01298583"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NA</w:t>
            </w:r>
          </w:p>
        </w:tc>
        <w:tc>
          <w:tcPr>
            <w:tcW w:w="1340" w:type="dxa"/>
            <w:tcBorders>
              <w:top w:val="nil"/>
              <w:left w:val="nil"/>
              <w:bottom w:val="nil"/>
              <w:right w:val="nil"/>
            </w:tcBorders>
            <w:shd w:val="clear" w:color="auto" w:fill="auto"/>
            <w:noWrap/>
            <w:vAlign w:val="bottom"/>
            <w:hideMark/>
          </w:tcPr>
          <w:p w14:paraId="30F3AADD"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NA</w:t>
            </w:r>
          </w:p>
        </w:tc>
        <w:tc>
          <w:tcPr>
            <w:tcW w:w="1300" w:type="dxa"/>
            <w:tcBorders>
              <w:top w:val="nil"/>
              <w:left w:val="nil"/>
              <w:bottom w:val="nil"/>
              <w:right w:val="nil"/>
            </w:tcBorders>
            <w:shd w:val="clear" w:color="auto" w:fill="auto"/>
            <w:noWrap/>
            <w:vAlign w:val="bottom"/>
            <w:hideMark/>
          </w:tcPr>
          <w:p w14:paraId="0EEEA393"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4</w:t>
            </w:r>
          </w:p>
        </w:tc>
        <w:tc>
          <w:tcPr>
            <w:tcW w:w="1420" w:type="dxa"/>
            <w:tcBorders>
              <w:top w:val="nil"/>
              <w:left w:val="nil"/>
              <w:bottom w:val="nil"/>
              <w:right w:val="nil"/>
            </w:tcBorders>
            <w:shd w:val="clear" w:color="auto" w:fill="auto"/>
            <w:noWrap/>
            <w:vAlign w:val="bottom"/>
            <w:hideMark/>
          </w:tcPr>
          <w:p w14:paraId="740601B9"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18.11</w:t>
            </w:r>
          </w:p>
        </w:tc>
        <w:tc>
          <w:tcPr>
            <w:tcW w:w="1420" w:type="dxa"/>
            <w:tcBorders>
              <w:top w:val="nil"/>
              <w:left w:val="nil"/>
              <w:bottom w:val="nil"/>
              <w:right w:val="single" w:sz="4" w:space="0" w:color="auto"/>
            </w:tcBorders>
            <w:shd w:val="clear" w:color="auto" w:fill="auto"/>
            <w:noWrap/>
            <w:vAlign w:val="bottom"/>
            <w:hideMark/>
          </w:tcPr>
          <w:p w14:paraId="257D0B0F"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0.001</w:t>
            </w:r>
          </w:p>
        </w:tc>
      </w:tr>
      <w:tr w:rsidR="00CE0FF5" w:rsidRPr="00CE0FF5" w14:paraId="7C7038AE" w14:textId="77777777" w:rsidTr="00CE0FF5">
        <w:trPr>
          <w:trHeight w:val="20"/>
        </w:trPr>
        <w:tc>
          <w:tcPr>
            <w:tcW w:w="960" w:type="dxa"/>
            <w:tcBorders>
              <w:top w:val="nil"/>
              <w:left w:val="single" w:sz="4" w:space="0" w:color="auto"/>
              <w:bottom w:val="nil"/>
              <w:right w:val="nil"/>
            </w:tcBorders>
            <w:shd w:val="clear" w:color="auto" w:fill="auto"/>
            <w:noWrap/>
            <w:vAlign w:val="bottom"/>
            <w:hideMark/>
          </w:tcPr>
          <w:p w14:paraId="21436FD1"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included</w:t>
            </w:r>
          </w:p>
        </w:tc>
        <w:tc>
          <w:tcPr>
            <w:tcW w:w="1620" w:type="dxa"/>
            <w:tcBorders>
              <w:top w:val="nil"/>
              <w:left w:val="nil"/>
              <w:bottom w:val="nil"/>
              <w:right w:val="nil"/>
            </w:tcBorders>
            <w:shd w:val="clear" w:color="auto" w:fill="auto"/>
            <w:noWrap/>
            <w:vAlign w:val="bottom"/>
            <w:hideMark/>
          </w:tcPr>
          <w:p w14:paraId="332571E1"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3</w:t>
            </w:r>
          </w:p>
        </w:tc>
        <w:tc>
          <w:tcPr>
            <w:tcW w:w="1400" w:type="dxa"/>
            <w:tcBorders>
              <w:top w:val="nil"/>
              <w:left w:val="nil"/>
              <w:bottom w:val="nil"/>
              <w:right w:val="nil"/>
            </w:tcBorders>
            <w:shd w:val="clear" w:color="auto" w:fill="auto"/>
            <w:noWrap/>
            <w:vAlign w:val="bottom"/>
            <w:hideMark/>
          </w:tcPr>
          <w:p w14:paraId="3E8E8D1F"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Yes</w:t>
            </w:r>
          </w:p>
        </w:tc>
        <w:tc>
          <w:tcPr>
            <w:tcW w:w="960" w:type="dxa"/>
            <w:tcBorders>
              <w:top w:val="nil"/>
              <w:left w:val="nil"/>
              <w:bottom w:val="nil"/>
              <w:right w:val="nil"/>
            </w:tcBorders>
            <w:shd w:val="clear" w:color="auto" w:fill="auto"/>
            <w:noWrap/>
            <w:vAlign w:val="bottom"/>
            <w:hideMark/>
          </w:tcPr>
          <w:p w14:paraId="7DC8A391"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1</w:t>
            </w:r>
          </w:p>
        </w:tc>
        <w:tc>
          <w:tcPr>
            <w:tcW w:w="1360" w:type="dxa"/>
            <w:tcBorders>
              <w:top w:val="nil"/>
              <w:left w:val="nil"/>
              <w:bottom w:val="nil"/>
              <w:right w:val="nil"/>
            </w:tcBorders>
            <w:shd w:val="clear" w:color="auto" w:fill="auto"/>
            <w:noWrap/>
            <w:vAlign w:val="bottom"/>
            <w:hideMark/>
          </w:tcPr>
          <w:p w14:paraId="1537F28E"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No</w:t>
            </w:r>
          </w:p>
        </w:tc>
        <w:tc>
          <w:tcPr>
            <w:tcW w:w="1440" w:type="dxa"/>
            <w:tcBorders>
              <w:top w:val="nil"/>
              <w:left w:val="nil"/>
              <w:bottom w:val="nil"/>
              <w:right w:val="nil"/>
            </w:tcBorders>
            <w:shd w:val="clear" w:color="auto" w:fill="auto"/>
            <w:noWrap/>
            <w:vAlign w:val="bottom"/>
            <w:hideMark/>
          </w:tcPr>
          <w:p w14:paraId="1E60F540"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NA</w:t>
            </w:r>
          </w:p>
        </w:tc>
        <w:tc>
          <w:tcPr>
            <w:tcW w:w="1340" w:type="dxa"/>
            <w:tcBorders>
              <w:top w:val="nil"/>
              <w:left w:val="nil"/>
              <w:bottom w:val="nil"/>
              <w:right w:val="nil"/>
            </w:tcBorders>
            <w:shd w:val="clear" w:color="auto" w:fill="auto"/>
            <w:noWrap/>
            <w:vAlign w:val="bottom"/>
            <w:hideMark/>
          </w:tcPr>
          <w:p w14:paraId="08AD4C8E"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NA</w:t>
            </w:r>
          </w:p>
        </w:tc>
        <w:tc>
          <w:tcPr>
            <w:tcW w:w="1300" w:type="dxa"/>
            <w:tcBorders>
              <w:top w:val="nil"/>
              <w:left w:val="nil"/>
              <w:bottom w:val="nil"/>
              <w:right w:val="nil"/>
            </w:tcBorders>
            <w:shd w:val="clear" w:color="auto" w:fill="auto"/>
            <w:noWrap/>
            <w:vAlign w:val="bottom"/>
            <w:hideMark/>
          </w:tcPr>
          <w:p w14:paraId="7B5E8ED1"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3</w:t>
            </w:r>
          </w:p>
        </w:tc>
        <w:tc>
          <w:tcPr>
            <w:tcW w:w="1420" w:type="dxa"/>
            <w:tcBorders>
              <w:top w:val="nil"/>
              <w:left w:val="nil"/>
              <w:bottom w:val="nil"/>
              <w:right w:val="nil"/>
            </w:tcBorders>
            <w:shd w:val="clear" w:color="auto" w:fill="auto"/>
            <w:noWrap/>
            <w:vAlign w:val="bottom"/>
            <w:hideMark/>
          </w:tcPr>
          <w:p w14:paraId="7599E0B5"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26.78</w:t>
            </w:r>
          </w:p>
        </w:tc>
        <w:tc>
          <w:tcPr>
            <w:tcW w:w="1420" w:type="dxa"/>
            <w:tcBorders>
              <w:top w:val="nil"/>
              <w:left w:val="nil"/>
              <w:bottom w:val="nil"/>
              <w:right w:val="single" w:sz="4" w:space="0" w:color="auto"/>
            </w:tcBorders>
            <w:shd w:val="clear" w:color="auto" w:fill="auto"/>
            <w:noWrap/>
            <w:vAlign w:val="bottom"/>
            <w:hideMark/>
          </w:tcPr>
          <w:p w14:paraId="2B4E7877"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0.001</w:t>
            </w:r>
          </w:p>
        </w:tc>
      </w:tr>
      <w:tr w:rsidR="00CE0FF5" w:rsidRPr="00CE0FF5" w14:paraId="131F5119" w14:textId="77777777" w:rsidTr="00CE0FF5">
        <w:trPr>
          <w:trHeight w:val="20"/>
        </w:trPr>
        <w:tc>
          <w:tcPr>
            <w:tcW w:w="960" w:type="dxa"/>
            <w:tcBorders>
              <w:top w:val="nil"/>
              <w:left w:val="single" w:sz="4" w:space="0" w:color="auto"/>
              <w:bottom w:val="nil"/>
              <w:right w:val="nil"/>
            </w:tcBorders>
            <w:shd w:val="clear" w:color="auto" w:fill="auto"/>
            <w:noWrap/>
            <w:vAlign w:val="bottom"/>
            <w:hideMark/>
          </w:tcPr>
          <w:p w14:paraId="783B680A"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included</w:t>
            </w:r>
          </w:p>
        </w:tc>
        <w:tc>
          <w:tcPr>
            <w:tcW w:w="1620" w:type="dxa"/>
            <w:tcBorders>
              <w:top w:val="nil"/>
              <w:left w:val="nil"/>
              <w:bottom w:val="nil"/>
              <w:right w:val="nil"/>
            </w:tcBorders>
            <w:shd w:val="clear" w:color="auto" w:fill="auto"/>
            <w:noWrap/>
            <w:vAlign w:val="bottom"/>
            <w:hideMark/>
          </w:tcPr>
          <w:p w14:paraId="1A133927"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3</w:t>
            </w:r>
          </w:p>
        </w:tc>
        <w:tc>
          <w:tcPr>
            <w:tcW w:w="1400" w:type="dxa"/>
            <w:tcBorders>
              <w:top w:val="nil"/>
              <w:left w:val="nil"/>
              <w:bottom w:val="nil"/>
              <w:right w:val="nil"/>
            </w:tcBorders>
            <w:shd w:val="clear" w:color="auto" w:fill="auto"/>
            <w:noWrap/>
            <w:vAlign w:val="bottom"/>
            <w:hideMark/>
          </w:tcPr>
          <w:p w14:paraId="6E8447D6"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Yes</w:t>
            </w:r>
          </w:p>
        </w:tc>
        <w:tc>
          <w:tcPr>
            <w:tcW w:w="960" w:type="dxa"/>
            <w:tcBorders>
              <w:top w:val="nil"/>
              <w:left w:val="nil"/>
              <w:bottom w:val="nil"/>
              <w:right w:val="nil"/>
            </w:tcBorders>
            <w:shd w:val="clear" w:color="auto" w:fill="auto"/>
            <w:noWrap/>
            <w:vAlign w:val="bottom"/>
            <w:hideMark/>
          </w:tcPr>
          <w:p w14:paraId="63C4BF32"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2</w:t>
            </w:r>
          </w:p>
        </w:tc>
        <w:tc>
          <w:tcPr>
            <w:tcW w:w="1360" w:type="dxa"/>
            <w:tcBorders>
              <w:top w:val="nil"/>
              <w:left w:val="nil"/>
              <w:bottom w:val="nil"/>
              <w:right w:val="nil"/>
            </w:tcBorders>
            <w:shd w:val="clear" w:color="auto" w:fill="auto"/>
            <w:noWrap/>
            <w:vAlign w:val="bottom"/>
            <w:hideMark/>
          </w:tcPr>
          <w:p w14:paraId="0DE7D515"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No</w:t>
            </w:r>
          </w:p>
        </w:tc>
        <w:tc>
          <w:tcPr>
            <w:tcW w:w="1440" w:type="dxa"/>
            <w:tcBorders>
              <w:top w:val="nil"/>
              <w:left w:val="nil"/>
              <w:bottom w:val="nil"/>
              <w:right w:val="nil"/>
            </w:tcBorders>
            <w:shd w:val="clear" w:color="auto" w:fill="auto"/>
            <w:noWrap/>
            <w:vAlign w:val="bottom"/>
            <w:hideMark/>
          </w:tcPr>
          <w:p w14:paraId="11E63A08"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NA</w:t>
            </w:r>
          </w:p>
        </w:tc>
        <w:tc>
          <w:tcPr>
            <w:tcW w:w="1340" w:type="dxa"/>
            <w:tcBorders>
              <w:top w:val="nil"/>
              <w:left w:val="nil"/>
              <w:bottom w:val="nil"/>
              <w:right w:val="nil"/>
            </w:tcBorders>
            <w:shd w:val="clear" w:color="auto" w:fill="auto"/>
            <w:noWrap/>
            <w:vAlign w:val="bottom"/>
            <w:hideMark/>
          </w:tcPr>
          <w:p w14:paraId="484D0F9C"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NA</w:t>
            </w:r>
          </w:p>
        </w:tc>
        <w:tc>
          <w:tcPr>
            <w:tcW w:w="1300" w:type="dxa"/>
            <w:tcBorders>
              <w:top w:val="nil"/>
              <w:left w:val="nil"/>
              <w:bottom w:val="nil"/>
              <w:right w:val="nil"/>
            </w:tcBorders>
            <w:shd w:val="clear" w:color="auto" w:fill="auto"/>
            <w:noWrap/>
            <w:vAlign w:val="bottom"/>
            <w:hideMark/>
          </w:tcPr>
          <w:p w14:paraId="4F5CB12F"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4</w:t>
            </w:r>
          </w:p>
        </w:tc>
        <w:tc>
          <w:tcPr>
            <w:tcW w:w="1420" w:type="dxa"/>
            <w:tcBorders>
              <w:top w:val="nil"/>
              <w:left w:val="nil"/>
              <w:bottom w:val="nil"/>
              <w:right w:val="nil"/>
            </w:tcBorders>
            <w:shd w:val="clear" w:color="auto" w:fill="auto"/>
            <w:noWrap/>
            <w:vAlign w:val="bottom"/>
            <w:hideMark/>
          </w:tcPr>
          <w:p w14:paraId="320625ED"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23.35</w:t>
            </w:r>
          </w:p>
        </w:tc>
        <w:tc>
          <w:tcPr>
            <w:tcW w:w="1420" w:type="dxa"/>
            <w:tcBorders>
              <w:top w:val="nil"/>
              <w:left w:val="nil"/>
              <w:bottom w:val="nil"/>
              <w:right w:val="single" w:sz="4" w:space="0" w:color="auto"/>
            </w:tcBorders>
            <w:shd w:val="clear" w:color="auto" w:fill="auto"/>
            <w:noWrap/>
            <w:vAlign w:val="bottom"/>
            <w:hideMark/>
          </w:tcPr>
          <w:p w14:paraId="30E9C45F"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0.001</w:t>
            </w:r>
          </w:p>
        </w:tc>
      </w:tr>
      <w:tr w:rsidR="00CE0FF5" w:rsidRPr="00CE0FF5" w14:paraId="6B7810C2" w14:textId="77777777" w:rsidTr="00CE0FF5">
        <w:trPr>
          <w:trHeight w:val="20"/>
        </w:trPr>
        <w:tc>
          <w:tcPr>
            <w:tcW w:w="960" w:type="dxa"/>
            <w:tcBorders>
              <w:top w:val="single" w:sz="4" w:space="0" w:color="auto"/>
              <w:left w:val="single" w:sz="4" w:space="0" w:color="auto"/>
              <w:bottom w:val="nil"/>
              <w:right w:val="nil"/>
            </w:tcBorders>
            <w:shd w:val="clear" w:color="auto" w:fill="auto"/>
            <w:noWrap/>
            <w:vAlign w:val="bottom"/>
            <w:hideMark/>
          </w:tcPr>
          <w:p w14:paraId="3376E4BB"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included</w:t>
            </w:r>
          </w:p>
        </w:tc>
        <w:tc>
          <w:tcPr>
            <w:tcW w:w="1620" w:type="dxa"/>
            <w:tcBorders>
              <w:top w:val="single" w:sz="4" w:space="0" w:color="auto"/>
              <w:left w:val="nil"/>
              <w:bottom w:val="nil"/>
              <w:right w:val="nil"/>
            </w:tcBorders>
            <w:shd w:val="clear" w:color="auto" w:fill="auto"/>
            <w:noWrap/>
            <w:vAlign w:val="bottom"/>
            <w:hideMark/>
          </w:tcPr>
          <w:p w14:paraId="733199B2"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1</w:t>
            </w:r>
          </w:p>
        </w:tc>
        <w:tc>
          <w:tcPr>
            <w:tcW w:w="1400" w:type="dxa"/>
            <w:tcBorders>
              <w:top w:val="single" w:sz="4" w:space="0" w:color="auto"/>
              <w:left w:val="nil"/>
              <w:bottom w:val="nil"/>
              <w:right w:val="nil"/>
            </w:tcBorders>
            <w:shd w:val="clear" w:color="auto" w:fill="auto"/>
            <w:noWrap/>
            <w:vAlign w:val="bottom"/>
            <w:hideMark/>
          </w:tcPr>
          <w:p w14:paraId="50E2319B"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No</w:t>
            </w:r>
          </w:p>
        </w:tc>
        <w:tc>
          <w:tcPr>
            <w:tcW w:w="960" w:type="dxa"/>
            <w:tcBorders>
              <w:top w:val="single" w:sz="4" w:space="0" w:color="auto"/>
              <w:left w:val="nil"/>
              <w:bottom w:val="nil"/>
              <w:right w:val="nil"/>
            </w:tcBorders>
            <w:shd w:val="clear" w:color="auto" w:fill="auto"/>
            <w:noWrap/>
            <w:vAlign w:val="bottom"/>
            <w:hideMark/>
          </w:tcPr>
          <w:p w14:paraId="1095EF89"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NA</w:t>
            </w:r>
          </w:p>
        </w:tc>
        <w:tc>
          <w:tcPr>
            <w:tcW w:w="1360" w:type="dxa"/>
            <w:tcBorders>
              <w:top w:val="single" w:sz="4" w:space="0" w:color="auto"/>
              <w:left w:val="nil"/>
              <w:bottom w:val="nil"/>
              <w:right w:val="nil"/>
            </w:tcBorders>
            <w:shd w:val="clear" w:color="auto" w:fill="auto"/>
            <w:noWrap/>
            <w:vAlign w:val="bottom"/>
            <w:hideMark/>
          </w:tcPr>
          <w:p w14:paraId="631327A5"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Yes</w:t>
            </w:r>
          </w:p>
        </w:tc>
        <w:tc>
          <w:tcPr>
            <w:tcW w:w="1440" w:type="dxa"/>
            <w:tcBorders>
              <w:top w:val="single" w:sz="4" w:space="0" w:color="auto"/>
              <w:left w:val="nil"/>
              <w:bottom w:val="nil"/>
              <w:right w:val="nil"/>
            </w:tcBorders>
            <w:shd w:val="clear" w:color="auto" w:fill="auto"/>
            <w:noWrap/>
            <w:vAlign w:val="bottom"/>
            <w:hideMark/>
          </w:tcPr>
          <w:p w14:paraId="70E4CCB7"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exceed 40%</w:t>
            </w:r>
          </w:p>
        </w:tc>
        <w:tc>
          <w:tcPr>
            <w:tcW w:w="1340" w:type="dxa"/>
            <w:tcBorders>
              <w:top w:val="single" w:sz="4" w:space="0" w:color="auto"/>
              <w:left w:val="nil"/>
              <w:bottom w:val="nil"/>
              <w:right w:val="nil"/>
            </w:tcBorders>
            <w:shd w:val="clear" w:color="auto" w:fill="auto"/>
            <w:noWrap/>
            <w:vAlign w:val="bottom"/>
            <w:hideMark/>
          </w:tcPr>
          <w:p w14:paraId="148E7847"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3</w:t>
            </w:r>
          </w:p>
        </w:tc>
        <w:tc>
          <w:tcPr>
            <w:tcW w:w="1300" w:type="dxa"/>
            <w:tcBorders>
              <w:top w:val="single" w:sz="4" w:space="0" w:color="auto"/>
              <w:left w:val="nil"/>
              <w:bottom w:val="nil"/>
              <w:right w:val="nil"/>
            </w:tcBorders>
            <w:shd w:val="clear" w:color="auto" w:fill="auto"/>
            <w:noWrap/>
            <w:vAlign w:val="bottom"/>
            <w:hideMark/>
          </w:tcPr>
          <w:p w14:paraId="38A8EF92"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4</w:t>
            </w:r>
          </w:p>
        </w:tc>
        <w:tc>
          <w:tcPr>
            <w:tcW w:w="1420" w:type="dxa"/>
            <w:tcBorders>
              <w:top w:val="single" w:sz="4" w:space="0" w:color="auto"/>
              <w:left w:val="nil"/>
              <w:bottom w:val="nil"/>
              <w:right w:val="nil"/>
            </w:tcBorders>
            <w:shd w:val="clear" w:color="auto" w:fill="auto"/>
            <w:noWrap/>
            <w:vAlign w:val="bottom"/>
            <w:hideMark/>
          </w:tcPr>
          <w:p w14:paraId="43FB7B39"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99.36</w:t>
            </w:r>
          </w:p>
        </w:tc>
        <w:tc>
          <w:tcPr>
            <w:tcW w:w="1420" w:type="dxa"/>
            <w:tcBorders>
              <w:top w:val="single" w:sz="4" w:space="0" w:color="auto"/>
              <w:left w:val="nil"/>
              <w:bottom w:val="nil"/>
              <w:right w:val="single" w:sz="4" w:space="0" w:color="auto"/>
            </w:tcBorders>
            <w:shd w:val="clear" w:color="auto" w:fill="auto"/>
            <w:noWrap/>
            <w:vAlign w:val="bottom"/>
            <w:hideMark/>
          </w:tcPr>
          <w:p w14:paraId="21B3029D"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0.001</w:t>
            </w:r>
          </w:p>
        </w:tc>
      </w:tr>
      <w:tr w:rsidR="00CE0FF5" w:rsidRPr="00CE0FF5" w14:paraId="724F8097" w14:textId="77777777" w:rsidTr="00CE0FF5">
        <w:trPr>
          <w:trHeight w:val="20"/>
        </w:trPr>
        <w:tc>
          <w:tcPr>
            <w:tcW w:w="960" w:type="dxa"/>
            <w:tcBorders>
              <w:top w:val="nil"/>
              <w:left w:val="single" w:sz="4" w:space="0" w:color="auto"/>
              <w:bottom w:val="nil"/>
              <w:right w:val="nil"/>
            </w:tcBorders>
            <w:shd w:val="clear" w:color="auto" w:fill="auto"/>
            <w:noWrap/>
            <w:vAlign w:val="bottom"/>
            <w:hideMark/>
          </w:tcPr>
          <w:p w14:paraId="7827C681"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included</w:t>
            </w:r>
          </w:p>
        </w:tc>
        <w:tc>
          <w:tcPr>
            <w:tcW w:w="1620" w:type="dxa"/>
            <w:tcBorders>
              <w:top w:val="nil"/>
              <w:left w:val="nil"/>
              <w:bottom w:val="nil"/>
              <w:right w:val="nil"/>
            </w:tcBorders>
            <w:shd w:val="clear" w:color="auto" w:fill="auto"/>
            <w:noWrap/>
            <w:vAlign w:val="bottom"/>
            <w:hideMark/>
          </w:tcPr>
          <w:p w14:paraId="28F72F96"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1</w:t>
            </w:r>
          </w:p>
        </w:tc>
        <w:tc>
          <w:tcPr>
            <w:tcW w:w="1400" w:type="dxa"/>
            <w:tcBorders>
              <w:top w:val="nil"/>
              <w:left w:val="nil"/>
              <w:bottom w:val="nil"/>
              <w:right w:val="nil"/>
            </w:tcBorders>
            <w:shd w:val="clear" w:color="auto" w:fill="auto"/>
            <w:noWrap/>
            <w:vAlign w:val="bottom"/>
            <w:hideMark/>
          </w:tcPr>
          <w:p w14:paraId="2DE9568C"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Yes</w:t>
            </w:r>
          </w:p>
        </w:tc>
        <w:tc>
          <w:tcPr>
            <w:tcW w:w="960" w:type="dxa"/>
            <w:tcBorders>
              <w:top w:val="nil"/>
              <w:left w:val="nil"/>
              <w:bottom w:val="nil"/>
              <w:right w:val="nil"/>
            </w:tcBorders>
            <w:shd w:val="clear" w:color="auto" w:fill="auto"/>
            <w:noWrap/>
            <w:vAlign w:val="bottom"/>
            <w:hideMark/>
          </w:tcPr>
          <w:p w14:paraId="6BAA1684"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1</w:t>
            </w:r>
          </w:p>
        </w:tc>
        <w:tc>
          <w:tcPr>
            <w:tcW w:w="1360" w:type="dxa"/>
            <w:tcBorders>
              <w:top w:val="nil"/>
              <w:left w:val="nil"/>
              <w:bottom w:val="nil"/>
              <w:right w:val="nil"/>
            </w:tcBorders>
            <w:shd w:val="clear" w:color="auto" w:fill="auto"/>
            <w:noWrap/>
            <w:vAlign w:val="bottom"/>
            <w:hideMark/>
          </w:tcPr>
          <w:p w14:paraId="772EC81A"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Yes</w:t>
            </w:r>
          </w:p>
        </w:tc>
        <w:tc>
          <w:tcPr>
            <w:tcW w:w="1440" w:type="dxa"/>
            <w:tcBorders>
              <w:top w:val="nil"/>
              <w:left w:val="nil"/>
              <w:bottom w:val="nil"/>
              <w:right w:val="nil"/>
            </w:tcBorders>
            <w:shd w:val="clear" w:color="auto" w:fill="auto"/>
            <w:noWrap/>
            <w:vAlign w:val="bottom"/>
            <w:hideMark/>
          </w:tcPr>
          <w:p w14:paraId="58BF7AEA"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exceed 40%</w:t>
            </w:r>
          </w:p>
        </w:tc>
        <w:tc>
          <w:tcPr>
            <w:tcW w:w="1340" w:type="dxa"/>
            <w:tcBorders>
              <w:top w:val="nil"/>
              <w:left w:val="nil"/>
              <w:bottom w:val="nil"/>
              <w:right w:val="nil"/>
            </w:tcBorders>
            <w:shd w:val="clear" w:color="auto" w:fill="auto"/>
            <w:noWrap/>
            <w:vAlign w:val="bottom"/>
            <w:hideMark/>
          </w:tcPr>
          <w:p w14:paraId="44DB4B62"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3</w:t>
            </w:r>
          </w:p>
        </w:tc>
        <w:tc>
          <w:tcPr>
            <w:tcW w:w="1300" w:type="dxa"/>
            <w:tcBorders>
              <w:top w:val="nil"/>
              <w:left w:val="nil"/>
              <w:bottom w:val="nil"/>
              <w:right w:val="nil"/>
            </w:tcBorders>
            <w:shd w:val="clear" w:color="auto" w:fill="auto"/>
            <w:noWrap/>
            <w:vAlign w:val="bottom"/>
            <w:hideMark/>
          </w:tcPr>
          <w:p w14:paraId="2BE7C96B"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4</w:t>
            </w:r>
          </w:p>
        </w:tc>
        <w:tc>
          <w:tcPr>
            <w:tcW w:w="1420" w:type="dxa"/>
            <w:tcBorders>
              <w:top w:val="nil"/>
              <w:left w:val="nil"/>
              <w:bottom w:val="nil"/>
              <w:right w:val="nil"/>
            </w:tcBorders>
            <w:shd w:val="clear" w:color="auto" w:fill="auto"/>
            <w:noWrap/>
            <w:vAlign w:val="bottom"/>
            <w:hideMark/>
          </w:tcPr>
          <w:p w14:paraId="7626C70A"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92.42</w:t>
            </w:r>
          </w:p>
        </w:tc>
        <w:tc>
          <w:tcPr>
            <w:tcW w:w="1420" w:type="dxa"/>
            <w:tcBorders>
              <w:top w:val="nil"/>
              <w:left w:val="nil"/>
              <w:bottom w:val="nil"/>
              <w:right w:val="single" w:sz="4" w:space="0" w:color="auto"/>
            </w:tcBorders>
            <w:shd w:val="clear" w:color="auto" w:fill="auto"/>
            <w:noWrap/>
            <w:vAlign w:val="bottom"/>
            <w:hideMark/>
          </w:tcPr>
          <w:p w14:paraId="48AEBB2D"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0.001</w:t>
            </w:r>
          </w:p>
        </w:tc>
      </w:tr>
      <w:tr w:rsidR="00CE0FF5" w:rsidRPr="00CE0FF5" w14:paraId="06D9781F" w14:textId="77777777" w:rsidTr="00CE0FF5">
        <w:trPr>
          <w:trHeight w:val="20"/>
        </w:trPr>
        <w:tc>
          <w:tcPr>
            <w:tcW w:w="960" w:type="dxa"/>
            <w:tcBorders>
              <w:top w:val="nil"/>
              <w:left w:val="single" w:sz="4" w:space="0" w:color="auto"/>
              <w:bottom w:val="nil"/>
              <w:right w:val="nil"/>
            </w:tcBorders>
            <w:shd w:val="clear" w:color="auto" w:fill="auto"/>
            <w:noWrap/>
            <w:vAlign w:val="bottom"/>
            <w:hideMark/>
          </w:tcPr>
          <w:p w14:paraId="6F05197D"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included</w:t>
            </w:r>
          </w:p>
        </w:tc>
        <w:tc>
          <w:tcPr>
            <w:tcW w:w="1620" w:type="dxa"/>
            <w:tcBorders>
              <w:top w:val="nil"/>
              <w:left w:val="nil"/>
              <w:bottom w:val="nil"/>
              <w:right w:val="nil"/>
            </w:tcBorders>
            <w:shd w:val="clear" w:color="auto" w:fill="auto"/>
            <w:noWrap/>
            <w:vAlign w:val="bottom"/>
            <w:hideMark/>
          </w:tcPr>
          <w:p w14:paraId="31AFBB56"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1</w:t>
            </w:r>
          </w:p>
        </w:tc>
        <w:tc>
          <w:tcPr>
            <w:tcW w:w="1400" w:type="dxa"/>
            <w:tcBorders>
              <w:top w:val="nil"/>
              <w:left w:val="nil"/>
              <w:bottom w:val="nil"/>
              <w:right w:val="nil"/>
            </w:tcBorders>
            <w:shd w:val="clear" w:color="auto" w:fill="auto"/>
            <w:noWrap/>
            <w:vAlign w:val="bottom"/>
            <w:hideMark/>
          </w:tcPr>
          <w:p w14:paraId="3DB28D83"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Yes</w:t>
            </w:r>
          </w:p>
        </w:tc>
        <w:tc>
          <w:tcPr>
            <w:tcW w:w="960" w:type="dxa"/>
            <w:tcBorders>
              <w:top w:val="nil"/>
              <w:left w:val="nil"/>
              <w:bottom w:val="nil"/>
              <w:right w:val="nil"/>
            </w:tcBorders>
            <w:shd w:val="clear" w:color="auto" w:fill="auto"/>
            <w:noWrap/>
            <w:vAlign w:val="bottom"/>
            <w:hideMark/>
          </w:tcPr>
          <w:p w14:paraId="05EBA812"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2</w:t>
            </w:r>
          </w:p>
        </w:tc>
        <w:tc>
          <w:tcPr>
            <w:tcW w:w="1360" w:type="dxa"/>
            <w:tcBorders>
              <w:top w:val="nil"/>
              <w:left w:val="nil"/>
              <w:bottom w:val="nil"/>
              <w:right w:val="nil"/>
            </w:tcBorders>
            <w:shd w:val="clear" w:color="auto" w:fill="auto"/>
            <w:noWrap/>
            <w:vAlign w:val="bottom"/>
            <w:hideMark/>
          </w:tcPr>
          <w:p w14:paraId="3C9B66F9"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Yes</w:t>
            </w:r>
          </w:p>
        </w:tc>
        <w:tc>
          <w:tcPr>
            <w:tcW w:w="1440" w:type="dxa"/>
            <w:tcBorders>
              <w:top w:val="nil"/>
              <w:left w:val="nil"/>
              <w:bottom w:val="nil"/>
              <w:right w:val="nil"/>
            </w:tcBorders>
            <w:shd w:val="clear" w:color="auto" w:fill="auto"/>
            <w:noWrap/>
            <w:vAlign w:val="bottom"/>
            <w:hideMark/>
          </w:tcPr>
          <w:p w14:paraId="30CA2D48"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exceed 40%</w:t>
            </w:r>
          </w:p>
        </w:tc>
        <w:tc>
          <w:tcPr>
            <w:tcW w:w="1340" w:type="dxa"/>
            <w:tcBorders>
              <w:top w:val="nil"/>
              <w:left w:val="nil"/>
              <w:bottom w:val="nil"/>
              <w:right w:val="nil"/>
            </w:tcBorders>
            <w:shd w:val="clear" w:color="auto" w:fill="auto"/>
            <w:noWrap/>
            <w:vAlign w:val="bottom"/>
            <w:hideMark/>
          </w:tcPr>
          <w:p w14:paraId="5738004B"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3</w:t>
            </w:r>
          </w:p>
        </w:tc>
        <w:tc>
          <w:tcPr>
            <w:tcW w:w="1300" w:type="dxa"/>
            <w:tcBorders>
              <w:top w:val="nil"/>
              <w:left w:val="nil"/>
              <w:bottom w:val="nil"/>
              <w:right w:val="nil"/>
            </w:tcBorders>
            <w:shd w:val="clear" w:color="auto" w:fill="auto"/>
            <w:noWrap/>
            <w:vAlign w:val="bottom"/>
            <w:hideMark/>
          </w:tcPr>
          <w:p w14:paraId="1A700E9F"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3</w:t>
            </w:r>
          </w:p>
        </w:tc>
        <w:tc>
          <w:tcPr>
            <w:tcW w:w="1420" w:type="dxa"/>
            <w:tcBorders>
              <w:top w:val="nil"/>
              <w:left w:val="nil"/>
              <w:bottom w:val="nil"/>
              <w:right w:val="nil"/>
            </w:tcBorders>
            <w:shd w:val="clear" w:color="auto" w:fill="auto"/>
            <w:noWrap/>
            <w:vAlign w:val="bottom"/>
            <w:hideMark/>
          </w:tcPr>
          <w:p w14:paraId="57EDA747"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125.14</w:t>
            </w:r>
          </w:p>
        </w:tc>
        <w:tc>
          <w:tcPr>
            <w:tcW w:w="1420" w:type="dxa"/>
            <w:tcBorders>
              <w:top w:val="nil"/>
              <w:left w:val="nil"/>
              <w:bottom w:val="nil"/>
              <w:right w:val="single" w:sz="4" w:space="0" w:color="auto"/>
            </w:tcBorders>
            <w:shd w:val="clear" w:color="auto" w:fill="auto"/>
            <w:noWrap/>
            <w:vAlign w:val="bottom"/>
            <w:hideMark/>
          </w:tcPr>
          <w:p w14:paraId="53372D80"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0.001</w:t>
            </w:r>
          </w:p>
        </w:tc>
      </w:tr>
      <w:tr w:rsidR="00CE0FF5" w:rsidRPr="00CE0FF5" w14:paraId="28AA3A1E" w14:textId="77777777" w:rsidTr="00CE0FF5">
        <w:trPr>
          <w:trHeight w:val="20"/>
        </w:trPr>
        <w:tc>
          <w:tcPr>
            <w:tcW w:w="960" w:type="dxa"/>
            <w:tcBorders>
              <w:top w:val="nil"/>
              <w:left w:val="single" w:sz="4" w:space="0" w:color="auto"/>
              <w:bottom w:val="nil"/>
              <w:right w:val="nil"/>
            </w:tcBorders>
            <w:shd w:val="clear" w:color="auto" w:fill="auto"/>
            <w:noWrap/>
            <w:vAlign w:val="bottom"/>
            <w:hideMark/>
          </w:tcPr>
          <w:p w14:paraId="5FE1F0F6"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included</w:t>
            </w:r>
          </w:p>
        </w:tc>
        <w:tc>
          <w:tcPr>
            <w:tcW w:w="1620" w:type="dxa"/>
            <w:tcBorders>
              <w:top w:val="nil"/>
              <w:left w:val="nil"/>
              <w:bottom w:val="nil"/>
              <w:right w:val="nil"/>
            </w:tcBorders>
            <w:shd w:val="clear" w:color="auto" w:fill="auto"/>
            <w:noWrap/>
            <w:vAlign w:val="bottom"/>
            <w:hideMark/>
          </w:tcPr>
          <w:p w14:paraId="79E5F3F1"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2</w:t>
            </w:r>
          </w:p>
        </w:tc>
        <w:tc>
          <w:tcPr>
            <w:tcW w:w="1400" w:type="dxa"/>
            <w:tcBorders>
              <w:top w:val="nil"/>
              <w:left w:val="nil"/>
              <w:bottom w:val="nil"/>
              <w:right w:val="nil"/>
            </w:tcBorders>
            <w:shd w:val="clear" w:color="auto" w:fill="auto"/>
            <w:noWrap/>
            <w:vAlign w:val="bottom"/>
            <w:hideMark/>
          </w:tcPr>
          <w:p w14:paraId="05CC57F2"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No</w:t>
            </w:r>
          </w:p>
        </w:tc>
        <w:tc>
          <w:tcPr>
            <w:tcW w:w="960" w:type="dxa"/>
            <w:tcBorders>
              <w:top w:val="nil"/>
              <w:left w:val="nil"/>
              <w:bottom w:val="nil"/>
              <w:right w:val="nil"/>
            </w:tcBorders>
            <w:shd w:val="clear" w:color="auto" w:fill="auto"/>
            <w:noWrap/>
            <w:vAlign w:val="bottom"/>
            <w:hideMark/>
          </w:tcPr>
          <w:p w14:paraId="0B5687E7"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NA</w:t>
            </w:r>
          </w:p>
        </w:tc>
        <w:tc>
          <w:tcPr>
            <w:tcW w:w="1360" w:type="dxa"/>
            <w:tcBorders>
              <w:top w:val="nil"/>
              <w:left w:val="nil"/>
              <w:bottom w:val="nil"/>
              <w:right w:val="nil"/>
            </w:tcBorders>
            <w:shd w:val="clear" w:color="auto" w:fill="auto"/>
            <w:noWrap/>
            <w:vAlign w:val="bottom"/>
            <w:hideMark/>
          </w:tcPr>
          <w:p w14:paraId="11A86A1C"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Yes</w:t>
            </w:r>
          </w:p>
        </w:tc>
        <w:tc>
          <w:tcPr>
            <w:tcW w:w="1440" w:type="dxa"/>
            <w:tcBorders>
              <w:top w:val="nil"/>
              <w:left w:val="nil"/>
              <w:bottom w:val="nil"/>
              <w:right w:val="nil"/>
            </w:tcBorders>
            <w:shd w:val="clear" w:color="auto" w:fill="auto"/>
            <w:noWrap/>
            <w:vAlign w:val="bottom"/>
            <w:hideMark/>
          </w:tcPr>
          <w:p w14:paraId="04FB68B3"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exceed 40%</w:t>
            </w:r>
          </w:p>
        </w:tc>
        <w:tc>
          <w:tcPr>
            <w:tcW w:w="1340" w:type="dxa"/>
            <w:tcBorders>
              <w:top w:val="nil"/>
              <w:left w:val="nil"/>
              <w:bottom w:val="nil"/>
              <w:right w:val="nil"/>
            </w:tcBorders>
            <w:shd w:val="clear" w:color="auto" w:fill="auto"/>
            <w:noWrap/>
            <w:vAlign w:val="bottom"/>
            <w:hideMark/>
          </w:tcPr>
          <w:p w14:paraId="3BEC5B2B"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3</w:t>
            </w:r>
          </w:p>
        </w:tc>
        <w:tc>
          <w:tcPr>
            <w:tcW w:w="1300" w:type="dxa"/>
            <w:tcBorders>
              <w:top w:val="nil"/>
              <w:left w:val="nil"/>
              <w:bottom w:val="nil"/>
              <w:right w:val="nil"/>
            </w:tcBorders>
            <w:shd w:val="clear" w:color="auto" w:fill="auto"/>
            <w:noWrap/>
            <w:vAlign w:val="bottom"/>
            <w:hideMark/>
          </w:tcPr>
          <w:p w14:paraId="757246AD"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5</w:t>
            </w:r>
          </w:p>
        </w:tc>
        <w:tc>
          <w:tcPr>
            <w:tcW w:w="1420" w:type="dxa"/>
            <w:tcBorders>
              <w:top w:val="nil"/>
              <w:left w:val="nil"/>
              <w:bottom w:val="nil"/>
              <w:right w:val="nil"/>
            </w:tcBorders>
            <w:shd w:val="clear" w:color="auto" w:fill="auto"/>
            <w:noWrap/>
            <w:vAlign w:val="bottom"/>
            <w:hideMark/>
          </w:tcPr>
          <w:p w14:paraId="3C0E54AE"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104.47</w:t>
            </w:r>
          </w:p>
        </w:tc>
        <w:tc>
          <w:tcPr>
            <w:tcW w:w="1420" w:type="dxa"/>
            <w:tcBorders>
              <w:top w:val="nil"/>
              <w:left w:val="nil"/>
              <w:bottom w:val="nil"/>
              <w:right w:val="single" w:sz="4" w:space="0" w:color="auto"/>
            </w:tcBorders>
            <w:shd w:val="clear" w:color="auto" w:fill="auto"/>
            <w:noWrap/>
            <w:vAlign w:val="bottom"/>
            <w:hideMark/>
          </w:tcPr>
          <w:p w14:paraId="0CD37E8A"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0.001</w:t>
            </w:r>
          </w:p>
        </w:tc>
      </w:tr>
      <w:tr w:rsidR="00CE0FF5" w:rsidRPr="00CE0FF5" w14:paraId="2AC89644" w14:textId="77777777" w:rsidTr="00CE0FF5">
        <w:trPr>
          <w:trHeight w:val="20"/>
        </w:trPr>
        <w:tc>
          <w:tcPr>
            <w:tcW w:w="960" w:type="dxa"/>
            <w:tcBorders>
              <w:top w:val="nil"/>
              <w:left w:val="single" w:sz="4" w:space="0" w:color="auto"/>
              <w:bottom w:val="nil"/>
              <w:right w:val="nil"/>
            </w:tcBorders>
            <w:shd w:val="clear" w:color="auto" w:fill="auto"/>
            <w:noWrap/>
            <w:vAlign w:val="bottom"/>
            <w:hideMark/>
          </w:tcPr>
          <w:p w14:paraId="25845D67"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included</w:t>
            </w:r>
          </w:p>
        </w:tc>
        <w:tc>
          <w:tcPr>
            <w:tcW w:w="1620" w:type="dxa"/>
            <w:tcBorders>
              <w:top w:val="nil"/>
              <w:left w:val="nil"/>
              <w:bottom w:val="nil"/>
              <w:right w:val="nil"/>
            </w:tcBorders>
            <w:shd w:val="clear" w:color="auto" w:fill="auto"/>
            <w:noWrap/>
            <w:vAlign w:val="bottom"/>
            <w:hideMark/>
          </w:tcPr>
          <w:p w14:paraId="61FFFD5A"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2</w:t>
            </w:r>
          </w:p>
        </w:tc>
        <w:tc>
          <w:tcPr>
            <w:tcW w:w="1400" w:type="dxa"/>
            <w:tcBorders>
              <w:top w:val="nil"/>
              <w:left w:val="nil"/>
              <w:bottom w:val="nil"/>
              <w:right w:val="nil"/>
            </w:tcBorders>
            <w:shd w:val="clear" w:color="auto" w:fill="auto"/>
            <w:noWrap/>
            <w:vAlign w:val="bottom"/>
            <w:hideMark/>
          </w:tcPr>
          <w:p w14:paraId="34A743BB"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Yes</w:t>
            </w:r>
          </w:p>
        </w:tc>
        <w:tc>
          <w:tcPr>
            <w:tcW w:w="960" w:type="dxa"/>
            <w:tcBorders>
              <w:top w:val="nil"/>
              <w:left w:val="nil"/>
              <w:bottom w:val="nil"/>
              <w:right w:val="nil"/>
            </w:tcBorders>
            <w:shd w:val="clear" w:color="auto" w:fill="auto"/>
            <w:noWrap/>
            <w:vAlign w:val="bottom"/>
            <w:hideMark/>
          </w:tcPr>
          <w:p w14:paraId="0FDE3534"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1</w:t>
            </w:r>
          </w:p>
        </w:tc>
        <w:tc>
          <w:tcPr>
            <w:tcW w:w="1360" w:type="dxa"/>
            <w:tcBorders>
              <w:top w:val="nil"/>
              <w:left w:val="nil"/>
              <w:bottom w:val="nil"/>
              <w:right w:val="nil"/>
            </w:tcBorders>
            <w:shd w:val="clear" w:color="auto" w:fill="auto"/>
            <w:noWrap/>
            <w:vAlign w:val="bottom"/>
            <w:hideMark/>
          </w:tcPr>
          <w:p w14:paraId="5AABBE51"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Yes</w:t>
            </w:r>
          </w:p>
        </w:tc>
        <w:tc>
          <w:tcPr>
            <w:tcW w:w="1440" w:type="dxa"/>
            <w:tcBorders>
              <w:top w:val="nil"/>
              <w:left w:val="nil"/>
              <w:bottom w:val="nil"/>
              <w:right w:val="nil"/>
            </w:tcBorders>
            <w:shd w:val="clear" w:color="auto" w:fill="auto"/>
            <w:noWrap/>
            <w:vAlign w:val="bottom"/>
            <w:hideMark/>
          </w:tcPr>
          <w:p w14:paraId="09B10CA2"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exceed 40%</w:t>
            </w:r>
          </w:p>
        </w:tc>
        <w:tc>
          <w:tcPr>
            <w:tcW w:w="1340" w:type="dxa"/>
            <w:tcBorders>
              <w:top w:val="nil"/>
              <w:left w:val="nil"/>
              <w:bottom w:val="nil"/>
              <w:right w:val="nil"/>
            </w:tcBorders>
            <w:shd w:val="clear" w:color="auto" w:fill="auto"/>
            <w:noWrap/>
            <w:vAlign w:val="bottom"/>
            <w:hideMark/>
          </w:tcPr>
          <w:p w14:paraId="683E6935"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3</w:t>
            </w:r>
          </w:p>
        </w:tc>
        <w:tc>
          <w:tcPr>
            <w:tcW w:w="1300" w:type="dxa"/>
            <w:tcBorders>
              <w:top w:val="nil"/>
              <w:left w:val="nil"/>
              <w:bottom w:val="nil"/>
              <w:right w:val="nil"/>
            </w:tcBorders>
            <w:shd w:val="clear" w:color="auto" w:fill="auto"/>
            <w:noWrap/>
            <w:vAlign w:val="bottom"/>
            <w:hideMark/>
          </w:tcPr>
          <w:p w14:paraId="3D570599"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4</w:t>
            </w:r>
          </w:p>
        </w:tc>
        <w:tc>
          <w:tcPr>
            <w:tcW w:w="1420" w:type="dxa"/>
            <w:tcBorders>
              <w:top w:val="nil"/>
              <w:left w:val="nil"/>
              <w:bottom w:val="nil"/>
              <w:right w:val="nil"/>
            </w:tcBorders>
            <w:shd w:val="clear" w:color="auto" w:fill="auto"/>
            <w:noWrap/>
            <w:vAlign w:val="bottom"/>
            <w:hideMark/>
          </w:tcPr>
          <w:p w14:paraId="4E7E9546"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98.32</w:t>
            </w:r>
          </w:p>
        </w:tc>
        <w:tc>
          <w:tcPr>
            <w:tcW w:w="1420" w:type="dxa"/>
            <w:tcBorders>
              <w:top w:val="nil"/>
              <w:left w:val="nil"/>
              <w:bottom w:val="nil"/>
              <w:right w:val="single" w:sz="4" w:space="0" w:color="auto"/>
            </w:tcBorders>
            <w:shd w:val="clear" w:color="auto" w:fill="auto"/>
            <w:noWrap/>
            <w:vAlign w:val="bottom"/>
            <w:hideMark/>
          </w:tcPr>
          <w:p w14:paraId="69317E56"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0.001</w:t>
            </w:r>
          </w:p>
        </w:tc>
      </w:tr>
      <w:tr w:rsidR="00CE0FF5" w:rsidRPr="00CE0FF5" w14:paraId="5237BFB2" w14:textId="77777777" w:rsidTr="00CE0FF5">
        <w:trPr>
          <w:trHeight w:val="20"/>
        </w:trPr>
        <w:tc>
          <w:tcPr>
            <w:tcW w:w="960" w:type="dxa"/>
            <w:tcBorders>
              <w:top w:val="nil"/>
              <w:left w:val="single" w:sz="4" w:space="0" w:color="auto"/>
              <w:bottom w:val="nil"/>
              <w:right w:val="nil"/>
            </w:tcBorders>
            <w:shd w:val="clear" w:color="auto" w:fill="auto"/>
            <w:noWrap/>
            <w:vAlign w:val="bottom"/>
            <w:hideMark/>
          </w:tcPr>
          <w:p w14:paraId="6C396D31"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included</w:t>
            </w:r>
          </w:p>
        </w:tc>
        <w:tc>
          <w:tcPr>
            <w:tcW w:w="1620" w:type="dxa"/>
            <w:tcBorders>
              <w:top w:val="nil"/>
              <w:left w:val="nil"/>
              <w:bottom w:val="nil"/>
              <w:right w:val="nil"/>
            </w:tcBorders>
            <w:shd w:val="clear" w:color="auto" w:fill="auto"/>
            <w:noWrap/>
            <w:vAlign w:val="bottom"/>
            <w:hideMark/>
          </w:tcPr>
          <w:p w14:paraId="721EDD5F"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2</w:t>
            </w:r>
          </w:p>
        </w:tc>
        <w:tc>
          <w:tcPr>
            <w:tcW w:w="1400" w:type="dxa"/>
            <w:tcBorders>
              <w:top w:val="nil"/>
              <w:left w:val="nil"/>
              <w:bottom w:val="nil"/>
              <w:right w:val="nil"/>
            </w:tcBorders>
            <w:shd w:val="clear" w:color="auto" w:fill="auto"/>
            <w:noWrap/>
            <w:vAlign w:val="bottom"/>
            <w:hideMark/>
          </w:tcPr>
          <w:p w14:paraId="251F66FF"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Yes</w:t>
            </w:r>
          </w:p>
        </w:tc>
        <w:tc>
          <w:tcPr>
            <w:tcW w:w="960" w:type="dxa"/>
            <w:tcBorders>
              <w:top w:val="nil"/>
              <w:left w:val="nil"/>
              <w:bottom w:val="nil"/>
              <w:right w:val="nil"/>
            </w:tcBorders>
            <w:shd w:val="clear" w:color="auto" w:fill="auto"/>
            <w:noWrap/>
            <w:vAlign w:val="bottom"/>
            <w:hideMark/>
          </w:tcPr>
          <w:p w14:paraId="40BF0440"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2</w:t>
            </w:r>
          </w:p>
        </w:tc>
        <w:tc>
          <w:tcPr>
            <w:tcW w:w="1360" w:type="dxa"/>
            <w:tcBorders>
              <w:top w:val="nil"/>
              <w:left w:val="nil"/>
              <w:bottom w:val="nil"/>
              <w:right w:val="nil"/>
            </w:tcBorders>
            <w:shd w:val="clear" w:color="auto" w:fill="auto"/>
            <w:noWrap/>
            <w:vAlign w:val="bottom"/>
            <w:hideMark/>
          </w:tcPr>
          <w:p w14:paraId="7B12ED41"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Yes</w:t>
            </w:r>
          </w:p>
        </w:tc>
        <w:tc>
          <w:tcPr>
            <w:tcW w:w="1440" w:type="dxa"/>
            <w:tcBorders>
              <w:top w:val="nil"/>
              <w:left w:val="nil"/>
              <w:bottom w:val="nil"/>
              <w:right w:val="nil"/>
            </w:tcBorders>
            <w:shd w:val="clear" w:color="auto" w:fill="auto"/>
            <w:noWrap/>
            <w:vAlign w:val="bottom"/>
            <w:hideMark/>
          </w:tcPr>
          <w:p w14:paraId="2024C6EF"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exceed 40%</w:t>
            </w:r>
          </w:p>
        </w:tc>
        <w:tc>
          <w:tcPr>
            <w:tcW w:w="1340" w:type="dxa"/>
            <w:tcBorders>
              <w:top w:val="nil"/>
              <w:left w:val="nil"/>
              <w:bottom w:val="nil"/>
              <w:right w:val="nil"/>
            </w:tcBorders>
            <w:shd w:val="clear" w:color="auto" w:fill="auto"/>
            <w:noWrap/>
            <w:vAlign w:val="bottom"/>
            <w:hideMark/>
          </w:tcPr>
          <w:p w14:paraId="3DF07D17"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3</w:t>
            </w:r>
          </w:p>
        </w:tc>
        <w:tc>
          <w:tcPr>
            <w:tcW w:w="1300" w:type="dxa"/>
            <w:tcBorders>
              <w:top w:val="nil"/>
              <w:left w:val="nil"/>
              <w:bottom w:val="nil"/>
              <w:right w:val="nil"/>
            </w:tcBorders>
            <w:shd w:val="clear" w:color="auto" w:fill="auto"/>
            <w:noWrap/>
            <w:vAlign w:val="bottom"/>
            <w:hideMark/>
          </w:tcPr>
          <w:p w14:paraId="4DFBB305"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4</w:t>
            </w:r>
          </w:p>
        </w:tc>
        <w:tc>
          <w:tcPr>
            <w:tcW w:w="1420" w:type="dxa"/>
            <w:tcBorders>
              <w:top w:val="nil"/>
              <w:left w:val="nil"/>
              <w:bottom w:val="nil"/>
              <w:right w:val="nil"/>
            </w:tcBorders>
            <w:shd w:val="clear" w:color="auto" w:fill="auto"/>
            <w:noWrap/>
            <w:vAlign w:val="bottom"/>
            <w:hideMark/>
          </w:tcPr>
          <w:p w14:paraId="4C0FB496"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80.37</w:t>
            </w:r>
          </w:p>
        </w:tc>
        <w:tc>
          <w:tcPr>
            <w:tcW w:w="1420" w:type="dxa"/>
            <w:tcBorders>
              <w:top w:val="nil"/>
              <w:left w:val="nil"/>
              <w:bottom w:val="nil"/>
              <w:right w:val="single" w:sz="4" w:space="0" w:color="auto"/>
            </w:tcBorders>
            <w:shd w:val="clear" w:color="auto" w:fill="auto"/>
            <w:noWrap/>
            <w:vAlign w:val="bottom"/>
            <w:hideMark/>
          </w:tcPr>
          <w:p w14:paraId="118FBC4E"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0.001</w:t>
            </w:r>
          </w:p>
        </w:tc>
      </w:tr>
      <w:tr w:rsidR="00CE0FF5" w:rsidRPr="00CE0FF5" w14:paraId="0EB303AD" w14:textId="77777777" w:rsidTr="00CE0FF5">
        <w:trPr>
          <w:trHeight w:val="20"/>
        </w:trPr>
        <w:tc>
          <w:tcPr>
            <w:tcW w:w="960" w:type="dxa"/>
            <w:tcBorders>
              <w:top w:val="nil"/>
              <w:left w:val="single" w:sz="4" w:space="0" w:color="auto"/>
              <w:bottom w:val="nil"/>
              <w:right w:val="nil"/>
            </w:tcBorders>
            <w:shd w:val="clear" w:color="auto" w:fill="auto"/>
            <w:noWrap/>
            <w:vAlign w:val="bottom"/>
            <w:hideMark/>
          </w:tcPr>
          <w:p w14:paraId="3FC1F4D1"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included</w:t>
            </w:r>
          </w:p>
        </w:tc>
        <w:tc>
          <w:tcPr>
            <w:tcW w:w="1620" w:type="dxa"/>
            <w:tcBorders>
              <w:top w:val="nil"/>
              <w:left w:val="nil"/>
              <w:bottom w:val="nil"/>
              <w:right w:val="nil"/>
            </w:tcBorders>
            <w:shd w:val="clear" w:color="auto" w:fill="auto"/>
            <w:noWrap/>
            <w:vAlign w:val="bottom"/>
            <w:hideMark/>
          </w:tcPr>
          <w:p w14:paraId="0ED9D803"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3</w:t>
            </w:r>
          </w:p>
        </w:tc>
        <w:tc>
          <w:tcPr>
            <w:tcW w:w="1400" w:type="dxa"/>
            <w:tcBorders>
              <w:top w:val="nil"/>
              <w:left w:val="nil"/>
              <w:bottom w:val="nil"/>
              <w:right w:val="nil"/>
            </w:tcBorders>
            <w:shd w:val="clear" w:color="auto" w:fill="auto"/>
            <w:noWrap/>
            <w:vAlign w:val="bottom"/>
            <w:hideMark/>
          </w:tcPr>
          <w:p w14:paraId="564095A6"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No</w:t>
            </w:r>
          </w:p>
        </w:tc>
        <w:tc>
          <w:tcPr>
            <w:tcW w:w="960" w:type="dxa"/>
            <w:tcBorders>
              <w:top w:val="nil"/>
              <w:left w:val="nil"/>
              <w:bottom w:val="nil"/>
              <w:right w:val="nil"/>
            </w:tcBorders>
            <w:shd w:val="clear" w:color="auto" w:fill="auto"/>
            <w:noWrap/>
            <w:vAlign w:val="bottom"/>
            <w:hideMark/>
          </w:tcPr>
          <w:p w14:paraId="06B9E1BE"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NA</w:t>
            </w:r>
          </w:p>
        </w:tc>
        <w:tc>
          <w:tcPr>
            <w:tcW w:w="1360" w:type="dxa"/>
            <w:tcBorders>
              <w:top w:val="nil"/>
              <w:left w:val="nil"/>
              <w:bottom w:val="nil"/>
              <w:right w:val="nil"/>
            </w:tcBorders>
            <w:shd w:val="clear" w:color="auto" w:fill="auto"/>
            <w:noWrap/>
            <w:vAlign w:val="bottom"/>
            <w:hideMark/>
          </w:tcPr>
          <w:p w14:paraId="2415E0BC"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Yes</w:t>
            </w:r>
          </w:p>
        </w:tc>
        <w:tc>
          <w:tcPr>
            <w:tcW w:w="1440" w:type="dxa"/>
            <w:tcBorders>
              <w:top w:val="nil"/>
              <w:left w:val="nil"/>
              <w:bottom w:val="nil"/>
              <w:right w:val="nil"/>
            </w:tcBorders>
            <w:shd w:val="clear" w:color="auto" w:fill="auto"/>
            <w:noWrap/>
            <w:vAlign w:val="bottom"/>
            <w:hideMark/>
          </w:tcPr>
          <w:p w14:paraId="765B544D"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exceed 40%</w:t>
            </w:r>
          </w:p>
        </w:tc>
        <w:tc>
          <w:tcPr>
            <w:tcW w:w="1340" w:type="dxa"/>
            <w:tcBorders>
              <w:top w:val="nil"/>
              <w:left w:val="nil"/>
              <w:bottom w:val="nil"/>
              <w:right w:val="nil"/>
            </w:tcBorders>
            <w:shd w:val="clear" w:color="auto" w:fill="auto"/>
            <w:noWrap/>
            <w:vAlign w:val="bottom"/>
            <w:hideMark/>
          </w:tcPr>
          <w:p w14:paraId="28BDFD2B"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4</w:t>
            </w:r>
          </w:p>
        </w:tc>
        <w:tc>
          <w:tcPr>
            <w:tcW w:w="1300" w:type="dxa"/>
            <w:tcBorders>
              <w:top w:val="nil"/>
              <w:left w:val="nil"/>
              <w:bottom w:val="nil"/>
              <w:right w:val="nil"/>
            </w:tcBorders>
            <w:shd w:val="clear" w:color="auto" w:fill="auto"/>
            <w:noWrap/>
            <w:vAlign w:val="bottom"/>
            <w:hideMark/>
          </w:tcPr>
          <w:p w14:paraId="1BA62361"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3</w:t>
            </w:r>
          </w:p>
        </w:tc>
        <w:tc>
          <w:tcPr>
            <w:tcW w:w="1420" w:type="dxa"/>
            <w:tcBorders>
              <w:top w:val="nil"/>
              <w:left w:val="nil"/>
              <w:bottom w:val="nil"/>
              <w:right w:val="nil"/>
            </w:tcBorders>
            <w:shd w:val="clear" w:color="auto" w:fill="auto"/>
            <w:noWrap/>
            <w:vAlign w:val="bottom"/>
            <w:hideMark/>
          </w:tcPr>
          <w:p w14:paraId="4FA80206"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61.46</w:t>
            </w:r>
          </w:p>
        </w:tc>
        <w:tc>
          <w:tcPr>
            <w:tcW w:w="1420" w:type="dxa"/>
            <w:tcBorders>
              <w:top w:val="nil"/>
              <w:left w:val="nil"/>
              <w:bottom w:val="nil"/>
              <w:right w:val="single" w:sz="4" w:space="0" w:color="auto"/>
            </w:tcBorders>
            <w:shd w:val="clear" w:color="auto" w:fill="auto"/>
            <w:noWrap/>
            <w:vAlign w:val="bottom"/>
            <w:hideMark/>
          </w:tcPr>
          <w:p w14:paraId="7B628C73"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0.001</w:t>
            </w:r>
          </w:p>
        </w:tc>
      </w:tr>
      <w:tr w:rsidR="00CE0FF5" w:rsidRPr="00CE0FF5" w14:paraId="189E66A7" w14:textId="77777777" w:rsidTr="00CE0FF5">
        <w:trPr>
          <w:trHeight w:val="20"/>
        </w:trPr>
        <w:tc>
          <w:tcPr>
            <w:tcW w:w="960" w:type="dxa"/>
            <w:tcBorders>
              <w:top w:val="nil"/>
              <w:left w:val="single" w:sz="4" w:space="0" w:color="auto"/>
              <w:bottom w:val="nil"/>
              <w:right w:val="nil"/>
            </w:tcBorders>
            <w:shd w:val="clear" w:color="auto" w:fill="auto"/>
            <w:noWrap/>
            <w:vAlign w:val="bottom"/>
            <w:hideMark/>
          </w:tcPr>
          <w:p w14:paraId="04A0CCE8"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included</w:t>
            </w:r>
          </w:p>
        </w:tc>
        <w:tc>
          <w:tcPr>
            <w:tcW w:w="1620" w:type="dxa"/>
            <w:tcBorders>
              <w:top w:val="nil"/>
              <w:left w:val="nil"/>
              <w:bottom w:val="nil"/>
              <w:right w:val="nil"/>
            </w:tcBorders>
            <w:shd w:val="clear" w:color="auto" w:fill="auto"/>
            <w:noWrap/>
            <w:vAlign w:val="bottom"/>
            <w:hideMark/>
          </w:tcPr>
          <w:p w14:paraId="27E19795"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3</w:t>
            </w:r>
          </w:p>
        </w:tc>
        <w:tc>
          <w:tcPr>
            <w:tcW w:w="1400" w:type="dxa"/>
            <w:tcBorders>
              <w:top w:val="nil"/>
              <w:left w:val="nil"/>
              <w:bottom w:val="nil"/>
              <w:right w:val="nil"/>
            </w:tcBorders>
            <w:shd w:val="clear" w:color="auto" w:fill="auto"/>
            <w:noWrap/>
            <w:vAlign w:val="bottom"/>
            <w:hideMark/>
          </w:tcPr>
          <w:p w14:paraId="1480E48E"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Yes</w:t>
            </w:r>
          </w:p>
        </w:tc>
        <w:tc>
          <w:tcPr>
            <w:tcW w:w="960" w:type="dxa"/>
            <w:tcBorders>
              <w:top w:val="nil"/>
              <w:left w:val="nil"/>
              <w:bottom w:val="nil"/>
              <w:right w:val="nil"/>
            </w:tcBorders>
            <w:shd w:val="clear" w:color="auto" w:fill="auto"/>
            <w:noWrap/>
            <w:vAlign w:val="bottom"/>
            <w:hideMark/>
          </w:tcPr>
          <w:p w14:paraId="2FCCE29F"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1</w:t>
            </w:r>
          </w:p>
        </w:tc>
        <w:tc>
          <w:tcPr>
            <w:tcW w:w="1360" w:type="dxa"/>
            <w:tcBorders>
              <w:top w:val="nil"/>
              <w:left w:val="nil"/>
              <w:bottom w:val="nil"/>
              <w:right w:val="nil"/>
            </w:tcBorders>
            <w:shd w:val="clear" w:color="auto" w:fill="auto"/>
            <w:noWrap/>
            <w:vAlign w:val="bottom"/>
            <w:hideMark/>
          </w:tcPr>
          <w:p w14:paraId="621EA8BB"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Yes</w:t>
            </w:r>
          </w:p>
        </w:tc>
        <w:tc>
          <w:tcPr>
            <w:tcW w:w="1440" w:type="dxa"/>
            <w:tcBorders>
              <w:top w:val="nil"/>
              <w:left w:val="nil"/>
              <w:bottom w:val="nil"/>
              <w:right w:val="nil"/>
            </w:tcBorders>
            <w:shd w:val="clear" w:color="auto" w:fill="auto"/>
            <w:noWrap/>
            <w:vAlign w:val="bottom"/>
            <w:hideMark/>
          </w:tcPr>
          <w:p w14:paraId="4D3BE5E6"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exceed 40%</w:t>
            </w:r>
          </w:p>
        </w:tc>
        <w:tc>
          <w:tcPr>
            <w:tcW w:w="1340" w:type="dxa"/>
            <w:tcBorders>
              <w:top w:val="nil"/>
              <w:left w:val="nil"/>
              <w:bottom w:val="nil"/>
              <w:right w:val="nil"/>
            </w:tcBorders>
            <w:shd w:val="clear" w:color="auto" w:fill="auto"/>
            <w:noWrap/>
            <w:vAlign w:val="bottom"/>
            <w:hideMark/>
          </w:tcPr>
          <w:p w14:paraId="0DEF8BD7"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3</w:t>
            </w:r>
          </w:p>
        </w:tc>
        <w:tc>
          <w:tcPr>
            <w:tcW w:w="1300" w:type="dxa"/>
            <w:tcBorders>
              <w:top w:val="nil"/>
              <w:left w:val="nil"/>
              <w:bottom w:val="nil"/>
              <w:right w:val="nil"/>
            </w:tcBorders>
            <w:shd w:val="clear" w:color="auto" w:fill="auto"/>
            <w:noWrap/>
            <w:vAlign w:val="bottom"/>
            <w:hideMark/>
          </w:tcPr>
          <w:p w14:paraId="39D45E12"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4</w:t>
            </w:r>
          </w:p>
        </w:tc>
        <w:tc>
          <w:tcPr>
            <w:tcW w:w="1420" w:type="dxa"/>
            <w:tcBorders>
              <w:top w:val="nil"/>
              <w:left w:val="nil"/>
              <w:bottom w:val="nil"/>
              <w:right w:val="nil"/>
            </w:tcBorders>
            <w:shd w:val="clear" w:color="auto" w:fill="auto"/>
            <w:noWrap/>
            <w:vAlign w:val="bottom"/>
            <w:hideMark/>
          </w:tcPr>
          <w:p w14:paraId="23299D66"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113.43</w:t>
            </w:r>
          </w:p>
        </w:tc>
        <w:tc>
          <w:tcPr>
            <w:tcW w:w="1420" w:type="dxa"/>
            <w:tcBorders>
              <w:top w:val="nil"/>
              <w:left w:val="nil"/>
              <w:bottom w:val="nil"/>
              <w:right w:val="single" w:sz="4" w:space="0" w:color="auto"/>
            </w:tcBorders>
            <w:shd w:val="clear" w:color="auto" w:fill="auto"/>
            <w:noWrap/>
            <w:vAlign w:val="bottom"/>
            <w:hideMark/>
          </w:tcPr>
          <w:p w14:paraId="0E882920"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0.001</w:t>
            </w:r>
          </w:p>
        </w:tc>
      </w:tr>
      <w:tr w:rsidR="00CE0FF5" w:rsidRPr="00CE0FF5" w14:paraId="3972A9A2" w14:textId="77777777" w:rsidTr="00CE0FF5">
        <w:trPr>
          <w:trHeight w:val="20"/>
        </w:trPr>
        <w:tc>
          <w:tcPr>
            <w:tcW w:w="960" w:type="dxa"/>
            <w:tcBorders>
              <w:top w:val="nil"/>
              <w:left w:val="single" w:sz="4" w:space="0" w:color="auto"/>
              <w:bottom w:val="single" w:sz="4" w:space="0" w:color="auto"/>
              <w:right w:val="nil"/>
            </w:tcBorders>
            <w:shd w:val="clear" w:color="auto" w:fill="auto"/>
            <w:noWrap/>
            <w:vAlign w:val="bottom"/>
            <w:hideMark/>
          </w:tcPr>
          <w:p w14:paraId="0FD4C6B9"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included</w:t>
            </w:r>
          </w:p>
        </w:tc>
        <w:tc>
          <w:tcPr>
            <w:tcW w:w="1620" w:type="dxa"/>
            <w:tcBorders>
              <w:top w:val="nil"/>
              <w:left w:val="nil"/>
              <w:bottom w:val="single" w:sz="4" w:space="0" w:color="auto"/>
              <w:right w:val="nil"/>
            </w:tcBorders>
            <w:shd w:val="clear" w:color="auto" w:fill="auto"/>
            <w:noWrap/>
            <w:vAlign w:val="bottom"/>
            <w:hideMark/>
          </w:tcPr>
          <w:p w14:paraId="70D86791"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3</w:t>
            </w:r>
          </w:p>
        </w:tc>
        <w:tc>
          <w:tcPr>
            <w:tcW w:w="1400" w:type="dxa"/>
            <w:tcBorders>
              <w:top w:val="nil"/>
              <w:left w:val="nil"/>
              <w:bottom w:val="single" w:sz="4" w:space="0" w:color="auto"/>
              <w:right w:val="nil"/>
            </w:tcBorders>
            <w:shd w:val="clear" w:color="auto" w:fill="auto"/>
            <w:noWrap/>
            <w:vAlign w:val="bottom"/>
            <w:hideMark/>
          </w:tcPr>
          <w:p w14:paraId="390A2701"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Yes</w:t>
            </w:r>
          </w:p>
        </w:tc>
        <w:tc>
          <w:tcPr>
            <w:tcW w:w="960" w:type="dxa"/>
            <w:tcBorders>
              <w:top w:val="nil"/>
              <w:left w:val="nil"/>
              <w:bottom w:val="single" w:sz="4" w:space="0" w:color="auto"/>
              <w:right w:val="nil"/>
            </w:tcBorders>
            <w:shd w:val="clear" w:color="auto" w:fill="auto"/>
            <w:noWrap/>
            <w:vAlign w:val="bottom"/>
            <w:hideMark/>
          </w:tcPr>
          <w:p w14:paraId="5587189E"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2</w:t>
            </w:r>
          </w:p>
        </w:tc>
        <w:tc>
          <w:tcPr>
            <w:tcW w:w="1360" w:type="dxa"/>
            <w:tcBorders>
              <w:top w:val="nil"/>
              <w:left w:val="nil"/>
              <w:bottom w:val="single" w:sz="4" w:space="0" w:color="auto"/>
              <w:right w:val="nil"/>
            </w:tcBorders>
            <w:shd w:val="clear" w:color="auto" w:fill="auto"/>
            <w:noWrap/>
            <w:vAlign w:val="bottom"/>
            <w:hideMark/>
          </w:tcPr>
          <w:p w14:paraId="3AC85BA3"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Yes</w:t>
            </w:r>
          </w:p>
        </w:tc>
        <w:tc>
          <w:tcPr>
            <w:tcW w:w="1440" w:type="dxa"/>
            <w:tcBorders>
              <w:top w:val="nil"/>
              <w:left w:val="nil"/>
              <w:bottom w:val="single" w:sz="4" w:space="0" w:color="auto"/>
              <w:right w:val="nil"/>
            </w:tcBorders>
            <w:shd w:val="clear" w:color="auto" w:fill="auto"/>
            <w:noWrap/>
            <w:vAlign w:val="bottom"/>
            <w:hideMark/>
          </w:tcPr>
          <w:p w14:paraId="337047D2"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exceed 40%</w:t>
            </w:r>
          </w:p>
        </w:tc>
        <w:tc>
          <w:tcPr>
            <w:tcW w:w="1340" w:type="dxa"/>
            <w:tcBorders>
              <w:top w:val="nil"/>
              <w:left w:val="nil"/>
              <w:bottom w:val="single" w:sz="4" w:space="0" w:color="auto"/>
              <w:right w:val="nil"/>
            </w:tcBorders>
            <w:shd w:val="clear" w:color="auto" w:fill="auto"/>
            <w:noWrap/>
            <w:vAlign w:val="bottom"/>
            <w:hideMark/>
          </w:tcPr>
          <w:p w14:paraId="75800154"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4</w:t>
            </w:r>
          </w:p>
        </w:tc>
        <w:tc>
          <w:tcPr>
            <w:tcW w:w="1300" w:type="dxa"/>
            <w:tcBorders>
              <w:top w:val="nil"/>
              <w:left w:val="nil"/>
              <w:bottom w:val="single" w:sz="4" w:space="0" w:color="auto"/>
              <w:right w:val="nil"/>
            </w:tcBorders>
            <w:shd w:val="clear" w:color="auto" w:fill="auto"/>
            <w:noWrap/>
            <w:vAlign w:val="bottom"/>
            <w:hideMark/>
          </w:tcPr>
          <w:p w14:paraId="4ABFDCA4"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3</w:t>
            </w:r>
          </w:p>
        </w:tc>
        <w:tc>
          <w:tcPr>
            <w:tcW w:w="1420" w:type="dxa"/>
            <w:tcBorders>
              <w:top w:val="nil"/>
              <w:left w:val="nil"/>
              <w:bottom w:val="single" w:sz="4" w:space="0" w:color="auto"/>
              <w:right w:val="nil"/>
            </w:tcBorders>
            <w:shd w:val="clear" w:color="auto" w:fill="auto"/>
            <w:noWrap/>
            <w:vAlign w:val="bottom"/>
            <w:hideMark/>
          </w:tcPr>
          <w:p w14:paraId="3D80536C"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62.66</w:t>
            </w:r>
          </w:p>
        </w:tc>
        <w:tc>
          <w:tcPr>
            <w:tcW w:w="1420" w:type="dxa"/>
            <w:tcBorders>
              <w:top w:val="nil"/>
              <w:left w:val="nil"/>
              <w:bottom w:val="single" w:sz="4" w:space="0" w:color="auto"/>
              <w:right w:val="single" w:sz="4" w:space="0" w:color="auto"/>
            </w:tcBorders>
            <w:shd w:val="clear" w:color="auto" w:fill="auto"/>
            <w:noWrap/>
            <w:vAlign w:val="bottom"/>
            <w:hideMark/>
          </w:tcPr>
          <w:p w14:paraId="7F0D39E3"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0.001</w:t>
            </w:r>
          </w:p>
        </w:tc>
      </w:tr>
      <w:tr w:rsidR="00CE0FF5" w:rsidRPr="00CE0FF5" w14:paraId="42AB5CF5" w14:textId="77777777" w:rsidTr="00CE0FF5">
        <w:trPr>
          <w:trHeight w:val="20"/>
        </w:trPr>
        <w:tc>
          <w:tcPr>
            <w:tcW w:w="960" w:type="dxa"/>
            <w:tcBorders>
              <w:top w:val="nil"/>
              <w:left w:val="single" w:sz="4" w:space="0" w:color="auto"/>
              <w:bottom w:val="nil"/>
              <w:right w:val="nil"/>
            </w:tcBorders>
            <w:shd w:val="clear" w:color="auto" w:fill="auto"/>
            <w:noWrap/>
            <w:vAlign w:val="bottom"/>
            <w:hideMark/>
          </w:tcPr>
          <w:p w14:paraId="7EE2828A"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included</w:t>
            </w:r>
          </w:p>
        </w:tc>
        <w:tc>
          <w:tcPr>
            <w:tcW w:w="1620" w:type="dxa"/>
            <w:tcBorders>
              <w:top w:val="nil"/>
              <w:left w:val="nil"/>
              <w:bottom w:val="nil"/>
              <w:right w:val="nil"/>
            </w:tcBorders>
            <w:shd w:val="clear" w:color="auto" w:fill="auto"/>
            <w:noWrap/>
            <w:vAlign w:val="bottom"/>
            <w:hideMark/>
          </w:tcPr>
          <w:p w14:paraId="52B6EE67"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1</w:t>
            </w:r>
          </w:p>
        </w:tc>
        <w:tc>
          <w:tcPr>
            <w:tcW w:w="1400" w:type="dxa"/>
            <w:tcBorders>
              <w:top w:val="nil"/>
              <w:left w:val="nil"/>
              <w:bottom w:val="nil"/>
              <w:right w:val="nil"/>
            </w:tcBorders>
            <w:shd w:val="clear" w:color="auto" w:fill="auto"/>
            <w:noWrap/>
            <w:vAlign w:val="bottom"/>
            <w:hideMark/>
          </w:tcPr>
          <w:p w14:paraId="4EE4D270"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No</w:t>
            </w:r>
          </w:p>
        </w:tc>
        <w:tc>
          <w:tcPr>
            <w:tcW w:w="960" w:type="dxa"/>
            <w:tcBorders>
              <w:top w:val="nil"/>
              <w:left w:val="nil"/>
              <w:bottom w:val="nil"/>
              <w:right w:val="nil"/>
            </w:tcBorders>
            <w:shd w:val="clear" w:color="auto" w:fill="auto"/>
            <w:noWrap/>
            <w:vAlign w:val="bottom"/>
            <w:hideMark/>
          </w:tcPr>
          <w:p w14:paraId="3B69F78B"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NA</w:t>
            </w:r>
          </w:p>
        </w:tc>
        <w:tc>
          <w:tcPr>
            <w:tcW w:w="1360" w:type="dxa"/>
            <w:tcBorders>
              <w:top w:val="nil"/>
              <w:left w:val="nil"/>
              <w:bottom w:val="nil"/>
              <w:right w:val="nil"/>
            </w:tcBorders>
            <w:shd w:val="clear" w:color="auto" w:fill="auto"/>
            <w:noWrap/>
            <w:vAlign w:val="bottom"/>
            <w:hideMark/>
          </w:tcPr>
          <w:p w14:paraId="6B4A55B4"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Yes</w:t>
            </w:r>
          </w:p>
        </w:tc>
        <w:tc>
          <w:tcPr>
            <w:tcW w:w="1440" w:type="dxa"/>
            <w:tcBorders>
              <w:top w:val="nil"/>
              <w:left w:val="nil"/>
              <w:bottom w:val="nil"/>
              <w:right w:val="nil"/>
            </w:tcBorders>
            <w:shd w:val="clear" w:color="auto" w:fill="auto"/>
            <w:noWrap/>
            <w:vAlign w:val="bottom"/>
            <w:hideMark/>
          </w:tcPr>
          <w:p w14:paraId="1DC6BBCD"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exceed 50%</w:t>
            </w:r>
          </w:p>
        </w:tc>
        <w:tc>
          <w:tcPr>
            <w:tcW w:w="1340" w:type="dxa"/>
            <w:tcBorders>
              <w:top w:val="nil"/>
              <w:left w:val="nil"/>
              <w:bottom w:val="nil"/>
              <w:right w:val="nil"/>
            </w:tcBorders>
            <w:shd w:val="clear" w:color="auto" w:fill="auto"/>
            <w:noWrap/>
            <w:vAlign w:val="bottom"/>
            <w:hideMark/>
          </w:tcPr>
          <w:p w14:paraId="6C1F600B"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4</w:t>
            </w:r>
          </w:p>
        </w:tc>
        <w:tc>
          <w:tcPr>
            <w:tcW w:w="1300" w:type="dxa"/>
            <w:tcBorders>
              <w:top w:val="nil"/>
              <w:left w:val="nil"/>
              <w:bottom w:val="nil"/>
              <w:right w:val="nil"/>
            </w:tcBorders>
            <w:shd w:val="clear" w:color="auto" w:fill="auto"/>
            <w:noWrap/>
            <w:vAlign w:val="bottom"/>
            <w:hideMark/>
          </w:tcPr>
          <w:p w14:paraId="0AB46529"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4</w:t>
            </w:r>
          </w:p>
        </w:tc>
        <w:tc>
          <w:tcPr>
            <w:tcW w:w="1420" w:type="dxa"/>
            <w:tcBorders>
              <w:top w:val="nil"/>
              <w:left w:val="nil"/>
              <w:bottom w:val="nil"/>
              <w:right w:val="nil"/>
            </w:tcBorders>
            <w:shd w:val="clear" w:color="auto" w:fill="auto"/>
            <w:noWrap/>
            <w:vAlign w:val="bottom"/>
            <w:hideMark/>
          </w:tcPr>
          <w:p w14:paraId="45997D62"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60.78</w:t>
            </w:r>
          </w:p>
        </w:tc>
        <w:tc>
          <w:tcPr>
            <w:tcW w:w="1420" w:type="dxa"/>
            <w:tcBorders>
              <w:top w:val="nil"/>
              <w:left w:val="nil"/>
              <w:bottom w:val="nil"/>
              <w:right w:val="single" w:sz="4" w:space="0" w:color="auto"/>
            </w:tcBorders>
            <w:shd w:val="clear" w:color="auto" w:fill="auto"/>
            <w:noWrap/>
            <w:vAlign w:val="bottom"/>
            <w:hideMark/>
          </w:tcPr>
          <w:p w14:paraId="2C6BE7E1"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0.001</w:t>
            </w:r>
          </w:p>
        </w:tc>
      </w:tr>
      <w:tr w:rsidR="00CE0FF5" w:rsidRPr="00CE0FF5" w14:paraId="0991B002" w14:textId="77777777" w:rsidTr="00CE0FF5">
        <w:trPr>
          <w:trHeight w:val="20"/>
        </w:trPr>
        <w:tc>
          <w:tcPr>
            <w:tcW w:w="960" w:type="dxa"/>
            <w:tcBorders>
              <w:top w:val="nil"/>
              <w:left w:val="single" w:sz="4" w:space="0" w:color="auto"/>
              <w:bottom w:val="nil"/>
              <w:right w:val="nil"/>
            </w:tcBorders>
            <w:shd w:val="clear" w:color="auto" w:fill="auto"/>
            <w:noWrap/>
            <w:vAlign w:val="bottom"/>
            <w:hideMark/>
          </w:tcPr>
          <w:p w14:paraId="431A0203"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included</w:t>
            </w:r>
          </w:p>
        </w:tc>
        <w:tc>
          <w:tcPr>
            <w:tcW w:w="1620" w:type="dxa"/>
            <w:tcBorders>
              <w:top w:val="nil"/>
              <w:left w:val="nil"/>
              <w:bottom w:val="nil"/>
              <w:right w:val="nil"/>
            </w:tcBorders>
            <w:shd w:val="clear" w:color="auto" w:fill="auto"/>
            <w:noWrap/>
            <w:vAlign w:val="bottom"/>
            <w:hideMark/>
          </w:tcPr>
          <w:p w14:paraId="57CC1337"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1</w:t>
            </w:r>
          </w:p>
        </w:tc>
        <w:tc>
          <w:tcPr>
            <w:tcW w:w="1400" w:type="dxa"/>
            <w:tcBorders>
              <w:top w:val="nil"/>
              <w:left w:val="nil"/>
              <w:bottom w:val="nil"/>
              <w:right w:val="nil"/>
            </w:tcBorders>
            <w:shd w:val="clear" w:color="auto" w:fill="auto"/>
            <w:noWrap/>
            <w:vAlign w:val="bottom"/>
            <w:hideMark/>
          </w:tcPr>
          <w:p w14:paraId="4B0A14EC"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Yes</w:t>
            </w:r>
          </w:p>
        </w:tc>
        <w:tc>
          <w:tcPr>
            <w:tcW w:w="960" w:type="dxa"/>
            <w:tcBorders>
              <w:top w:val="nil"/>
              <w:left w:val="nil"/>
              <w:bottom w:val="nil"/>
              <w:right w:val="nil"/>
            </w:tcBorders>
            <w:shd w:val="clear" w:color="auto" w:fill="auto"/>
            <w:noWrap/>
            <w:vAlign w:val="bottom"/>
            <w:hideMark/>
          </w:tcPr>
          <w:p w14:paraId="5CD189CF"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1</w:t>
            </w:r>
          </w:p>
        </w:tc>
        <w:tc>
          <w:tcPr>
            <w:tcW w:w="1360" w:type="dxa"/>
            <w:tcBorders>
              <w:top w:val="nil"/>
              <w:left w:val="nil"/>
              <w:bottom w:val="nil"/>
              <w:right w:val="nil"/>
            </w:tcBorders>
            <w:shd w:val="clear" w:color="auto" w:fill="auto"/>
            <w:noWrap/>
            <w:vAlign w:val="bottom"/>
            <w:hideMark/>
          </w:tcPr>
          <w:p w14:paraId="6DA0AF80"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Yes</w:t>
            </w:r>
          </w:p>
        </w:tc>
        <w:tc>
          <w:tcPr>
            <w:tcW w:w="1440" w:type="dxa"/>
            <w:tcBorders>
              <w:top w:val="nil"/>
              <w:left w:val="nil"/>
              <w:bottom w:val="nil"/>
              <w:right w:val="nil"/>
            </w:tcBorders>
            <w:shd w:val="clear" w:color="auto" w:fill="auto"/>
            <w:noWrap/>
            <w:vAlign w:val="bottom"/>
            <w:hideMark/>
          </w:tcPr>
          <w:p w14:paraId="4879B185"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exceed 50%</w:t>
            </w:r>
          </w:p>
        </w:tc>
        <w:tc>
          <w:tcPr>
            <w:tcW w:w="1340" w:type="dxa"/>
            <w:tcBorders>
              <w:top w:val="nil"/>
              <w:left w:val="nil"/>
              <w:bottom w:val="nil"/>
              <w:right w:val="nil"/>
            </w:tcBorders>
            <w:shd w:val="clear" w:color="auto" w:fill="auto"/>
            <w:noWrap/>
            <w:vAlign w:val="bottom"/>
            <w:hideMark/>
          </w:tcPr>
          <w:p w14:paraId="7F9C0411"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4</w:t>
            </w:r>
          </w:p>
        </w:tc>
        <w:tc>
          <w:tcPr>
            <w:tcW w:w="1300" w:type="dxa"/>
            <w:tcBorders>
              <w:top w:val="nil"/>
              <w:left w:val="nil"/>
              <w:bottom w:val="nil"/>
              <w:right w:val="nil"/>
            </w:tcBorders>
            <w:shd w:val="clear" w:color="auto" w:fill="auto"/>
            <w:noWrap/>
            <w:vAlign w:val="bottom"/>
            <w:hideMark/>
          </w:tcPr>
          <w:p w14:paraId="1F550EB1"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4</w:t>
            </w:r>
          </w:p>
        </w:tc>
        <w:tc>
          <w:tcPr>
            <w:tcW w:w="1420" w:type="dxa"/>
            <w:tcBorders>
              <w:top w:val="nil"/>
              <w:left w:val="nil"/>
              <w:bottom w:val="nil"/>
              <w:right w:val="nil"/>
            </w:tcBorders>
            <w:shd w:val="clear" w:color="auto" w:fill="auto"/>
            <w:noWrap/>
            <w:vAlign w:val="bottom"/>
            <w:hideMark/>
          </w:tcPr>
          <w:p w14:paraId="1D21625C"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69.59</w:t>
            </w:r>
          </w:p>
        </w:tc>
        <w:tc>
          <w:tcPr>
            <w:tcW w:w="1420" w:type="dxa"/>
            <w:tcBorders>
              <w:top w:val="nil"/>
              <w:left w:val="nil"/>
              <w:bottom w:val="nil"/>
              <w:right w:val="single" w:sz="4" w:space="0" w:color="auto"/>
            </w:tcBorders>
            <w:shd w:val="clear" w:color="auto" w:fill="auto"/>
            <w:noWrap/>
            <w:vAlign w:val="bottom"/>
            <w:hideMark/>
          </w:tcPr>
          <w:p w14:paraId="24C736E5"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0.001</w:t>
            </w:r>
          </w:p>
        </w:tc>
      </w:tr>
      <w:tr w:rsidR="00CE0FF5" w:rsidRPr="00CE0FF5" w14:paraId="48920CB0" w14:textId="77777777" w:rsidTr="00CE0FF5">
        <w:trPr>
          <w:trHeight w:val="20"/>
        </w:trPr>
        <w:tc>
          <w:tcPr>
            <w:tcW w:w="960" w:type="dxa"/>
            <w:tcBorders>
              <w:top w:val="nil"/>
              <w:left w:val="single" w:sz="4" w:space="0" w:color="auto"/>
              <w:bottom w:val="nil"/>
              <w:right w:val="nil"/>
            </w:tcBorders>
            <w:shd w:val="clear" w:color="auto" w:fill="auto"/>
            <w:noWrap/>
            <w:vAlign w:val="bottom"/>
            <w:hideMark/>
          </w:tcPr>
          <w:p w14:paraId="3519F4C6"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included</w:t>
            </w:r>
          </w:p>
        </w:tc>
        <w:tc>
          <w:tcPr>
            <w:tcW w:w="1620" w:type="dxa"/>
            <w:tcBorders>
              <w:top w:val="nil"/>
              <w:left w:val="nil"/>
              <w:bottom w:val="nil"/>
              <w:right w:val="nil"/>
            </w:tcBorders>
            <w:shd w:val="clear" w:color="auto" w:fill="auto"/>
            <w:noWrap/>
            <w:vAlign w:val="bottom"/>
            <w:hideMark/>
          </w:tcPr>
          <w:p w14:paraId="3FD024AD"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1</w:t>
            </w:r>
          </w:p>
        </w:tc>
        <w:tc>
          <w:tcPr>
            <w:tcW w:w="1400" w:type="dxa"/>
            <w:tcBorders>
              <w:top w:val="nil"/>
              <w:left w:val="nil"/>
              <w:bottom w:val="nil"/>
              <w:right w:val="nil"/>
            </w:tcBorders>
            <w:shd w:val="clear" w:color="auto" w:fill="auto"/>
            <w:noWrap/>
            <w:vAlign w:val="bottom"/>
            <w:hideMark/>
          </w:tcPr>
          <w:p w14:paraId="2F1BC509"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Yes</w:t>
            </w:r>
          </w:p>
        </w:tc>
        <w:tc>
          <w:tcPr>
            <w:tcW w:w="960" w:type="dxa"/>
            <w:tcBorders>
              <w:top w:val="nil"/>
              <w:left w:val="nil"/>
              <w:bottom w:val="nil"/>
              <w:right w:val="nil"/>
            </w:tcBorders>
            <w:shd w:val="clear" w:color="auto" w:fill="auto"/>
            <w:noWrap/>
            <w:vAlign w:val="bottom"/>
            <w:hideMark/>
          </w:tcPr>
          <w:p w14:paraId="5762A8FC"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2</w:t>
            </w:r>
          </w:p>
        </w:tc>
        <w:tc>
          <w:tcPr>
            <w:tcW w:w="1360" w:type="dxa"/>
            <w:tcBorders>
              <w:top w:val="nil"/>
              <w:left w:val="nil"/>
              <w:bottom w:val="nil"/>
              <w:right w:val="nil"/>
            </w:tcBorders>
            <w:shd w:val="clear" w:color="auto" w:fill="auto"/>
            <w:noWrap/>
            <w:vAlign w:val="bottom"/>
            <w:hideMark/>
          </w:tcPr>
          <w:p w14:paraId="7EF9A6A8"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Yes</w:t>
            </w:r>
          </w:p>
        </w:tc>
        <w:tc>
          <w:tcPr>
            <w:tcW w:w="1440" w:type="dxa"/>
            <w:tcBorders>
              <w:top w:val="nil"/>
              <w:left w:val="nil"/>
              <w:bottom w:val="nil"/>
              <w:right w:val="nil"/>
            </w:tcBorders>
            <w:shd w:val="clear" w:color="auto" w:fill="auto"/>
            <w:noWrap/>
            <w:vAlign w:val="bottom"/>
            <w:hideMark/>
          </w:tcPr>
          <w:p w14:paraId="4A7B7670"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exceed 50%</w:t>
            </w:r>
          </w:p>
        </w:tc>
        <w:tc>
          <w:tcPr>
            <w:tcW w:w="1340" w:type="dxa"/>
            <w:tcBorders>
              <w:top w:val="nil"/>
              <w:left w:val="nil"/>
              <w:bottom w:val="nil"/>
              <w:right w:val="nil"/>
            </w:tcBorders>
            <w:shd w:val="clear" w:color="auto" w:fill="auto"/>
            <w:noWrap/>
            <w:vAlign w:val="bottom"/>
            <w:hideMark/>
          </w:tcPr>
          <w:p w14:paraId="7D7B86D1"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4</w:t>
            </w:r>
          </w:p>
        </w:tc>
        <w:tc>
          <w:tcPr>
            <w:tcW w:w="1300" w:type="dxa"/>
            <w:tcBorders>
              <w:top w:val="nil"/>
              <w:left w:val="nil"/>
              <w:bottom w:val="nil"/>
              <w:right w:val="nil"/>
            </w:tcBorders>
            <w:shd w:val="clear" w:color="auto" w:fill="auto"/>
            <w:noWrap/>
            <w:vAlign w:val="bottom"/>
            <w:hideMark/>
          </w:tcPr>
          <w:p w14:paraId="06F001DB"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4</w:t>
            </w:r>
          </w:p>
        </w:tc>
        <w:tc>
          <w:tcPr>
            <w:tcW w:w="1420" w:type="dxa"/>
            <w:tcBorders>
              <w:top w:val="nil"/>
              <w:left w:val="nil"/>
              <w:bottom w:val="nil"/>
              <w:right w:val="nil"/>
            </w:tcBorders>
            <w:shd w:val="clear" w:color="auto" w:fill="auto"/>
            <w:noWrap/>
            <w:vAlign w:val="bottom"/>
            <w:hideMark/>
          </w:tcPr>
          <w:p w14:paraId="4083E0D6"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68.39</w:t>
            </w:r>
          </w:p>
        </w:tc>
        <w:tc>
          <w:tcPr>
            <w:tcW w:w="1420" w:type="dxa"/>
            <w:tcBorders>
              <w:top w:val="nil"/>
              <w:left w:val="nil"/>
              <w:bottom w:val="nil"/>
              <w:right w:val="single" w:sz="4" w:space="0" w:color="auto"/>
            </w:tcBorders>
            <w:shd w:val="clear" w:color="auto" w:fill="auto"/>
            <w:noWrap/>
            <w:vAlign w:val="bottom"/>
            <w:hideMark/>
          </w:tcPr>
          <w:p w14:paraId="1E554703"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0.001</w:t>
            </w:r>
          </w:p>
        </w:tc>
      </w:tr>
      <w:tr w:rsidR="00CE0FF5" w:rsidRPr="00CE0FF5" w14:paraId="3567F775" w14:textId="77777777" w:rsidTr="00CE0FF5">
        <w:trPr>
          <w:trHeight w:val="20"/>
        </w:trPr>
        <w:tc>
          <w:tcPr>
            <w:tcW w:w="960" w:type="dxa"/>
            <w:tcBorders>
              <w:top w:val="nil"/>
              <w:left w:val="single" w:sz="4" w:space="0" w:color="auto"/>
              <w:bottom w:val="nil"/>
              <w:right w:val="nil"/>
            </w:tcBorders>
            <w:shd w:val="clear" w:color="auto" w:fill="auto"/>
            <w:noWrap/>
            <w:vAlign w:val="bottom"/>
            <w:hideMark/>
          </w:tcPr>
          <w:p w14:paraId="25FDAA89"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included</w:t>
            </w:r>
          </w:p>
        </w:tc>
        <w:tc>
          <w:tcPr>
            <w:tcW w:w="1620" w:type="dxa"/>
            <w:tcBorders>
              <w:top w:val="nil"/>
              <w:left w:val="nil"/>
              <w:bottom w:val="nil"/>
              <w:right w:val="nil"/>
            </w:tcBorders>
            <w:shd w:val="clear" w:color="auto" w:fill="auto"/>
            <w:noWrap/>
            <w:vAlign w:val="bottom"/>
            <w:hideMark/>
          </w:tcPr>
          <w:p w14:paraId="0F840125"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2</w:t>
            </w:r>
          </w:p>
        </w:tc>
        <w:tc>
          <w:tcPr>
            <w:tcW w:w="1400" w:type="dxa"/>
            <w:tcBorders>
              <w:top w:val="nil"/>
              <w:left w:val="nil"/>
              <w:bottom w:val="nil"/>
              <w:right w:val="nil"/>
            </w:tcBorders>
            <w:shd w:val="clear" w:color="auto" w:fill="auto"/>
            <w:noWrap/>
            <w:vAlign w:val="bottom"/>
            <w:hideMark/>
          </w:tcPr>
          <w:p w14:paraId="562CA4D5"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No</w:t>
            </w:r>
          </w:p>
        </w:tc>
        <w:tc>
          <w:tcPr>
            <w:tcW w:w="960" w:type="dxa"/>
            <w:tcBorders>
              <w:top w:val="nil"/>
              <w:left w:val="nil"/>
              <w:bottom w:val="nil"/>
              <w:right w:val="nil"/>
            </w:tcBorders>
            <w:shd w:val="clear" w:color="auto" w:fill="auto"/>
            <w:noWrap/>
            <w:vAlign w:val="bottom"/>
            <w:hideMark/>
          </w:tcPr>
          <w:p w14:paraId="09BC68A8"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NA</w:t>
            </w:r>
          </w:p>
        </w:tc>
        <w:tc>
          <w:tcPr>
            <w:tcW w:w="1360" w:type="dxa"/>
            <w:tcBorders>
              <w:top w:val="nil"/>
              <w:left w:val="nil"/>
              <w:bottom w:val="nil"/>
              <w:right w:val="nil"/>
            </w:tcBorders>
            <w:shd w:val="clear" w:color="auto" w:fill="auto"/>
            <w:noWrap/>
            <w:vAlign w:val="bottom"/>
            <w:hideMark/>
          </w:tcPr>
          <w:p w14:paraId="1C07B061"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Yes</w:t>
            </w:r>
          </w:p>
        </w:tc>
        <w:tc>
          <w:tcPr>
            <w:tcW w:w="1440" w:type="dxa"/>
            <w:tcBorders>
              <w:top w:val="nil"/>
              <w:left w:val="nil"/>
              <w:bottom w:val="nil"/>
              <w:right w:val="nil"/>
            </w:tcBorders>
            <w:shd w:val="clear" w:color="auto" w:fill="auto"/>
            <w:noWrap/>
            <w:vAlign w:val="bottom"/>
            <w:hideMark/>
          </w:tcPr>
          <w:p w14:paraId="6E062751"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exceed 50%</w:t>
            </w:r>
          </w:p>
        </w:tc>
        <w:tc>
          <w:tcPr>
            <w:tcW w:w="1340" w:type="dxa"/>
            <w:tcBorders>
              <w:top w:val="nil"/>
              <w:left w:val="nil"/>
              <w:bottom w:val="nil"/>
              <w:right w:val="nil"/>
            </w:tcBorders>
            <w:shd w:val="clear" w:color="auto" w:fill="auto"/>
            <w:noWrap/>
            <w:vAlign w:val="bottom"/>
            <w:hideMark/>
          </w:tcPr>
          <w:p w14:paraId="7D1F4376"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5</w:t>
            </w:r>
          </w:p>
        </w:tc>
        <w:tc>
          <w:tcPr>
            <w:tcW w:w="1300" w:type="dxa"/>
            <w:tcBorders>
              <w:top w:val="nil"/>
              <w:left w:val="nil"/>
              <w:bottom w:val="nil"/>
              <w:right w:val="nil"/>
            </w:tcBorders>
            <w:shd w:val="clear" w:color="auto" w:fill="auto"/>
            <w:noWrap/>
            <w:vAlign w:val="bottom"/>
            <w:hideMark/>
          </w:tcPr>
          <w:p w14:paraId="336BFB95"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3</w:t>
            </w:r>
          </w:p>
        </w:tc>
        <w:tc>
          <w:tcPr>
            <w:tcW w:w="1420" w:type="dxa"/>
            <w:tcBorders>
              <w:top w:val="nil"/>
              <w:left w:val="nil"/>
              <w:bottom w:val="nil"/>
              <w:right w:val="nil"/>
            </w:tcBorders>
            <w:shd w:val="clear" w:color="auto" w:fill="auto"/>
            <w:noWrap/>
            <w:vAlign w:val="bottom"/>
            <w:hideMark/>
          </w:tcPr>
          <w:p w14:paraId="509F4464"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44.31</w:t>
            </w:r>
          </w:p>
        </w:tc>
        <w:tc>
          <w:tcPr>
            <w:tcW w:w="1420" w:type="dxa"/>
            <w:tcBorders>
              <w:top w:val="nil"/>
              <w:left w:val="nil"/>
              <w:bottom w:val="nil"/>
              <w:right w:val="single" w:sz="4" w:space="0" w:color="auto"/>
            </w:tcBorders>
            <w:shd w:val="clear" w:color="auto" w:fill="auto"/>
            <w:noWrap/>
            <w:vAlign w:val="bottom"/>
            <w:hideMark/>
          </w:tcPr>
          <w:p w14:paraId="090F9230"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0.001</w:t>
            </w:r>
          </w:p>
        </w:tc>
      </w:tr>
      <w:tr w:rsidR="00CE0FF5" w:rsidRPr="00CE0FF5" w14:paraId="032D2238" w14:textId="77777777" w:rsidTr="00CE0FF5">
        <w:trPr>
          <w:trHeight w:val="20"/>
        </w:trPr>
        <w:tc>
          <w:tcPr>
            <w:tcW w:w="960" w:type="dxa"/>
            <w:tcBorders>
              <w:top w:val="nil"/>
              <w:left w:val="single" w:sz="4" w:space="0" w:color="auto"/>
              <w:bottom w:val="nil"/>
              <w:right w:val="nil"/>
            </w:tcBorders>
            <w:shd w:val="clear" w:color="auto" w:fill="auto"/>
            <w:noWrap/>
            <w:vAlign w:val="bottom"/>
            <w:hideMark/>
          </w:tcPr>
          <w:p w14:paraId="708D09EF"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included</w:t>
            </w:r>
          </w:p>
        </w:tc>
        <w:tc>
          <w:tcPr>
            <w:tcW w:w="1620" w:type="dxa"/>
            <w:tcBorders>
              <w:top w:val="nil"/>
              <w:left w:val="nil"/>
              <w:bottom w:val="nil"/>
              <w:right w:val="nil"/>
            </w:tcBorders>
            <w:shd w:val="clear" w:color="auto" w:fill="auto"/>
            <w:noWrap/>
            <w:vAlign w:val="bottom"/>
            <w:hideMark/>
          </w:tcPr>
          <w:p w14:paraId="6DC30C22"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2</w:t>
            </w:r>
          </w:p>
        </w:tc>
        <w:tc>
          <w:tcPr>
            <w:tcW w:w="1400" w:type="dxa"/>
            <w:tcBorders>
              <w:top w:val="nil"/>
              <w:left w:val="nil"/>
              <w:bottom w:val="nil"/>
              <w:right w:val="nil"/>
            </w:tcBorders>
            <w:shd w:val="clear" w:color="auto" w:fill="auto"/>
            <w:noWrap/>
            <w:vAlign w:val="bottom"/>
            <w:hideMark/>
          </w:tcPr>
          <w:p w14:paraId="6EB56D5C"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Yes</w:t>
            </w:r>
          </w:p>
        </w:tc>
        <w:tc>
          <w:tcPr>
            <w:tcW w:w="960" w:type="dxa"/>
            <w:tcBorders>
              <w:top w:val="nil"/>
              <w:left w:val="nil"/>
              <w:bottom w:val="nil"/>
              <w:right w:val="nil"/>
            </w:tcBorders>
            <w:shd w:val="clear" w:color="auto" w:fill="auto"/>
            <w:noWrap/>
            <w:vAlign w:val="bottom"/>
            <w:hideMark/>
          </w:tcPr>
          <w:p w14:paraId="413149C0"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1</w:t>
            </w:r>
          </w:p>
        </w:tc>
        <w:tc>
          <w:tcPr>
            <w:tcW w:w="1360" w:type="dxa"/>
            <w:tcBorders>
              <w:top w:val="nil"/>
              <w:left w:val="nil"/>
              <w:bottom w:val="nil"/>
              <w:right w:val="nil"/>
            </w:tcBorders>
            <w:shd w:val="clear" w:color="auto" w:fill="auto"/>
            <w:noWrap/>
            <w:vAlign w:val="bottom"/>
            <w:hideMark/>
          </w:tcPr>
          <w:p w14:paraId="1AE710CF"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Yes</w:t>
            </w:r>
          </w:p>
        </w:tc>
        <w:tc>
          <w:tcPr>
            <w:tcW w:w="1440" w:type="dxa"/>
            <w:tcBorders>
              <w:top w:val="nil"/>
              <w:left w:val="nil"/>
              <w:bottom w:val="nil"/>
              <w:right w:val="nil"/>
            </w:tcBorders>
            <w:shd w:val="clear" w:color="auto" w:fill="auto"/>
            <w:noWrap/>
            <w:vAlign w:val="bottom"/>
            <w:hideMark/>
          </w:tcPr>
          <w:p w14:paraId="2D7CA8AC"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exceed 50%</w:t>
            </w:r>
          </w:p>
        </w:tc>
        <w:tc>
          <w:tcPr>
            <w:tcW w:w="1340" w:type="dxa"/>
            <w:tcBorders>
              <w:top w:val="nil"/>
              <w:left w:val="nil"/>
              <w:bottom w:val="nil"/>
              <w:right w:val="nil"/>
            </w:tcBorders>
            <w:shd w:val="clear" w:color="auto" w:fill="auto"/>
            <w:noWrap/>
            <w:vAlign w:val="bottom"/>
            <w:hideMark/>
          </w:tcPr>
          <w:p w14:paraId="225F8F4D"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5</w:t>
            </w:r>
          </w:p>
        </w:tc>
        <w:tc>
          <w:tcPr>
            <w:tcW w:w="1300" w:type="dxa"/>
            <w:tcBorders>
              <w:top w:val="nil"/>
              <w:left w:val="nil"/>
              <w:bottom w:val="nil"/>
              <w:right w:val="nil"/>
            </w:tcBorders>
            <w:shd w:val="clear" w:color="auto" w:fill="auto"/>
            <w:noWrap/>
            <w:vAlign w:val="bottom"/>
            <w:hideMark/>
          </w:tcPr>
          <w:p w14:paraId="47093505"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3</w:t>
            </w:r>
          </w:p>
        </w:tc>
        <w:tc>
          <w:tcPr>
            <w:tcW w:w="1420" w:type="dxa"/>
            <w:tcBorders>
              <w:top w:val="nil"/>
              <w:left w:val="nil"/>
              <w:bottom w:val="nil"/>
              <w:right w:val="nil"/>
            </w:tcBorders>
            <w:shd w:val="clear" w:color="auto" w:fill="auto"/>
            <w:noWrap/>
            <w:vAlign w:val="bottom"/>
            <w:hideMark/>
          </w:tcPr>
          <w:p w14:paraId="4743D58F"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50.40</w:t>
            </w:r>
          </w:p>
        </w:tc>
        <w:tc>
          <w:tcPr>
            <w:tcW w:w="1420" w:type="dxa"/>
            <w:tcBorders>
              <w:top w:val="nil"/>
              <w:left w:val="nil"/>
              <w:bottom w:val="nil"/>
              <w:right w:val="single" w:sz="4" w:space="0" w:color="auto"/>
            </w:tcBorders>
            <w:shd w:val="clear" w:color="auto" w:fill="auto"/>
            <w:noWrap/>
            <w:vAlign w:val="bottom"/>
            <w:hideMark/>
          </w:tcPr>
          <w:p w14:paraId="1064B980"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0.001</w:t>
            </w:r>
          </w:p>
        </w:tc>
      </w:tr>
      <w:tr w:rsidR="00CE0FF5" w:rsidRPr="00CE0FF5" w14:paraId="3352CD28" w14:textId="77777777" w:rsidTr="00CE0FF5">
        <w:trPr>
          <w:trHeight w:val="20"/>
        </w:trPr>
        <w:tc>
          <w:tcPr>
            <w:tcW w:w="960" w:type="dxa"/>
            <w:tcBorders>
              <w:top w:val="nil"/>
              <w:left w:val="single" w:sz="4" w:space="0" w:color="auto"/>
              <w:bottom w:val="nil"/>
              <w:right w:val="nil"/>
            </w:tcBorders>
            <w:shd w:val="clear" w:color="auto" w:fill="auto"/>
            <w:noWrap/>
            <w:vAlign w:val="bottom"/>
            <w:hideMark/>
          </w:tcPr>
          <w:p w14:paraId="75867317"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included</w:t>
            </w:r>
          </w:p>
        </w:tc>
        <w:tc>
          <w:tcPr>
            <w:tcW w:w="1620" w:type="dxa"/>
            <w:tcBorders>
              <w:top w:val="nil"/>
              <w:left w:val="nil"/>
              <w:bottom w:val="nil"/>
              <w:right w:val="nil"/>
            </w:tcBorders>
            <w:shd w:val="clear" w:color="auto" w:fill="auto"/>
            <w:noWrap/>
            <w:vAlign w:val="bottom"/>
            <w:hideMark/>
          </w:tcPr>
          <w:p w14:paraId="41FA34C4"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2</w:t>
            </w:r>
          </w:p>
        </w:tc>
        <w:tc>
          <w:tcPr>
            <w:tcW w:w="1400" w:type="dxa"/>
            <w:tcBorders>
              <w:top w:val="nil"/>
              <w:left w:val="nil"/>
              <w:bottom w:val="nil"/>
              <w:right w:val="nil"/>
            </w:tcBorders>
            <w:shd w:val="clear" w:color="auto" w:fill="auto"/>
            <w:noWrap/>
            <w:vAlign w:val="bottom"/>
            <w:hideMark/>
          </w:tcPr>
          <w:p w14:paraId="36C713E7"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Yes</w:t>
            </w:r>
          </w:p>
        </w:tc>
        <w:tc>
          <w:tcPr>
            <w:tcW w:w="960" w:type="dxa"/>
            <w:tcBorders>
              <w:top w:val="nil"/>
              <w:left w:val="nil"/>
              <w:bottom w:val="nil"/>
              <w:right w:val="nil"/>
            </w:tcBorders>
            <w:shd w:val="clear" w:color="auto" w:fill="auto"/>
            <w:noWrap/>
            <w:vAlign w:val="bottom"/>
            <w:hideMark/>
          </w:tcPr>
          <w:p w14:paraId="0E535073"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2</w:t>
            </w:r>
          </w:p>
        </w:tc>
        <w:tc>
          <w:tcPr>
            <w:tcW w:w="1360" w:type="dxa"/>
            <w:tcBorders>
              <w:top w:val="nil"/>
              <w:left w:val="nil"/>
              <w:bottom w:val="nil"/>
              <w:right w:val="nil"/>
            </w:tcBorders>
            <w:shd w:val="clear" w:color="auto" w:fill="auto"/>
            <w:noWrap/>
            <w:vAlign w:val="bottom"/>
            <w:hideMark/>
          </w:tcPr>
          <w:p w14:paraId="2D4202DA"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Yes</w:t>
            </w:r>
          </w:p>
        </w:tc>
        <w:tc>
          <w:tcPr>
            <w:tcW w:w="1440" w:type="dxa"/>
            <w:tcBorders>
              <w:top w:val="nil"/>
              <w:left w:val="nil"/>
              <w:bottom w:val="nil"/>
              <w:right w:val="nil"/>
            </w:tcBorders>
            <w:shd w:val="clear" w:color="auto" w:fill="auto"/>
            <w:noWrap/>
            <w:vAlign w:val="bottom"/>
            <w:hideMark/>
          </w:tcPr>
          <w:p w14:paraId="58742C14"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exceed 50%</w:t>
            </w:r>
          </w:p>
        </w:tc>
        <w:tc>
          <w:tcPr>
            <w:tcW w:w="1340" w:type="dxa"/>
            <w:tcBorders>
              <w:top w:val="nil"/>
              <w:left w:val="nil"/>
              <w:bottom w:val="nil"/>
              <w:right w:val="nil"/>
            </w:tcBorders>
            <w:shd w:val="clear" w:color="auto" w:fill="auto"/>
            <w:noWrap/>
            <w:vAlign w:val="bottom"/>
            <w:hideMark/>
          </w:tcPr>
          <w:p w14:paraId="7BCBCEA8"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5</w:t>
            </w:r>
          </w:p>
        </w:tc>
        <w:tc>
          <w:tcPr>
            <w:tcW w:w="1300" w:type="dxa"/>
            <w:tcBorders>
              <w:top w:val="nil"/>
              <w:left w:val="nil"/>
              <w:bottom w:val="nil"/>
              <w:right w:val="nil"/>
            </w:tcBorders>
            <w:shd w:val="clear" w:color="auto" w:fill="auto"/>
            <w:noWrap/>
            <w:vAlign w:val="bottom"/>
            <w:hideMark/>
          </w:tcPr>
          <w:p w14:paraId="54C4099A"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3</w:t>
            </w:r>
          </w:p>
        </w:tc>
        <w:tc>
          <w:tcPr>
            <w:tcW w:w="1420" w:type="dxa"/>
            <w:tcBorders>
              <w:top w:val="nil"/>
              <w:left w:val="nil"/>
              <w:bottom w:val="nil"/>
              <w:right w:val="nil"/>
            </w:tcBorders>
            <w:shd w:val="clear" w:color="auto" w:fill="auto"/>
            <w:noWrap/>
            <w:vAlign w:val="bottom"/>
            <w:hideMark/>
          </w:tcPr>
          <w:p w14:paraId="7FB13B79"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41.59</w:t>
            </w:r>
          </w:p>
        </w:tc>
        <w:tc>
          <w:tcPr>
            <w:tcW w:w="1420" w:type="dxa"/>
            <w:tcBorders>
              <w:top w:val="nil"/>
              <w:left w:val="nil"/>
              <w:bottom w:val="nil"/>
              <w:right w:val="single" w:sz="4" w:space="0" w:color="auto"/>
            </w:tcBorders>
            <w:shd w:val="clear" w:color="auto" w:fill="auto"/>
            <w:noWrap/>
            <w:vAlign w:val="bottom"/>
            <w:hideMark/>
          </w:tcPr>
          <w:p w14:paraId="4D438BB0"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0.001</w:t>
            </w:r>
          </w:p>
        </w:tc>
      </w:tr>
      <w:tr w:rsidR="00CE0FF5" w:rsidRPr="00CE0FF5" w14:paraId="632EC938" w14:textId="77777777" w:rsidTr="00CE0FF5">
        <w:trPr>
          <w:trHeight w:val="20"/>
        </w:trPr>
        <w:tc>
          <w:tcPr>
            <w:tcW w:w="960" w:type="dxa"/>
            <w:tcBorders>
              <w:top w:val="nil"/>
              <w:left w:val="single" w:sz="4" w:space="0" w:color="auto"/>
              <w:bottom w:val="nil"/>
              <w:right w:val="nil"/>
            </w:tcBorders>
            <w:shd w:val="clear" w:color="auto" w:fill="auto"/>
            <w:noWrap/>
            <w:vAlign w:val="bottom"/>
            <w:hideMark/>
          </w:tcPr>
          <w:p w14:paraId="0A9558CB"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included</w:t>
            </w:r>
          </w:p>
        </w:tc>
        <w:tc>
          <w:tcPr>
            <w:tcW w:w="1620" w:type="dxa"/>
            <w:tcBorders>
              <w:top w:val="nil"/>
              <w:left w:val="nil"/>
              <w:bottom w:val="nil"/>
              <w:right w:val="nil"/>
            </w:tcBorders>
            <w:shd w:val="clear" w:color="auto" w:fill="auto"/>
            <w:noWrap/>
            <w:vAlign w:val="bottom"/>
            <w:hideMark/>
          </w:tcPr>
          <w:p w14:paraId="1E7C0E62"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3</w:t>
            </w:r>
          </w:p>
        </w:tc>
        <w:tc>
          <w:tcPr>
            <w:tcW w:w="1400" w:type="dxa"/>
            <w:tcBorders>
              <w:top w:val="nil"/>
              <w:left w:val="nil"/>
              <w:bottom w:val="nil"/>
              <w:right w:val="nil"/>
            </w:tcBorders>
            <w:shd w:val="clear" w:color="auto" w:fill="auto"/>
            <w:noWrap/>
            <w:vAlign w:val="bottom"/>
            <w:hideMark/>
          </w:tcPr>
          <w:p w14:paraId="184086A4"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No</w:t>
            </w:r>
          </w:p>
        </w:tc>
        <w:tc>
          <w:tcPr>
            <w:tcW w:w="960" w:type="dxa"/>
            <w:tcBorders>
              <w:top w:val="nil"/>
              <w:left w:val="nil"/>
              <w:bottom w:val="nil"/>
              <w:right w:val="nil"/>
            </w:tcBorders>
            <w:shd w:val="clear" w:color="auto" w:fill="auto"/>
            <w:noWrap/>
            <w:vAlign w:val="bottom"/>
            <w:hideMark/>
          </w:tcPr>
          <w:p w14:paraId="7E7A0E87"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NA</w:t>
            </w:r>
          </w:p>
        </w:tc>
        <w:tc>
          <w:tcPr>
            <w:tcW w:w="1360" w:type="dxa"/>
            <w:tcBorders>
              <w:top w:val="nil"/>
              <w:left w:val="nil"/>
              <w:bottom w:val="nil"/>
              <w:right w:val="nil"/>
            </w:tcBorders>
            <w:shd w:val="clear" w:color="auto" w:fill="auto"/>
            <w:noWrap/>
            <w:vAlign w:val="bottom"/>
            <w:hideMark/>
          </w:tcPr>
          <w:p w14:paraId="2B8C3FCA"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Yes</w:t>
            </w:r>
          </w:p>
        </w:tc>
        <w:tc>
          <w:tcPr>
            <w:tcW w:w="1440" w:type="dxa"/>
            <w:tcBorders>
              <w:top w:val="nil"/>
              <w:left w:val="nil"/>
              <w:bottom w:val="nil"/>
              <w:right w:val="nil"/>
            </w:tcBorders>
            <w:shd w:val="clear" w:color="auto" w:fill="auto"/>
            <w:noWrap/>
            <w:vAlign w:val="bottom"/>
            <w:hideMark/>
          </w:tcPr>
          <w:p w14:paraId="3E77EDD7"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exceed 50%</w:t>
            </w:r>
          </w:p>
        </w:tc>
        <w:tc>
          <w:tcPr>
            <w:tcW w:w="1340" w:type="dxa"/>
            <w:tcBorders>
              <w:top w:val="nil"/>
              <w:left w:val="nil"/>
              <w:bottom w:val="nil"/>
              <w:right w:val="nil"/>
            </w:tcBorders>
            <w:shd w:val="clear" w:color="auto" w:fill="auto"/>
            <w:noWrap/>
            <w:vAlign w:val="bottom"/>
            <w:hideMark/>
          </w:tcPr>
          <w:p w14:paraId="19EC398F"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5</w:t>
            </w:r>
          </w:p>
        </w:tc>
        <w:tc>
          <w:tcPr>
            <w:tcW w:w="1300" w:type="dxa"/>
            <w:tcBorders>
              <w:top w:val="nil"/>
              <w:left w:val="nil"/>
              <w:bottom w:val="nil"/>
              <w:right w:val="nil"/>
            </w:tcBorders>
            <w:shd w:val="clear" w:color="auto" w:fill="auto"/>
            <w:noWrap/>
            <w:vAlign w:val="bottom"/>
            <w:hideMark/>
          </w:tcPr>
          <w:p w14:paraId="1668DE5F"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3</w:t>
            </w:r>
          </w:p>
        </w:tc>
        <w:tc>
          <w:tcPr>
            <w:tcW w:w="1420" w:type="dxa"/>
            <w:tcBorders>
              <w:top w:val="nil"/>
              <w:left w:val="nil"/>
              <w:bottom w:val="nil"/>
              <w:right w:val="nil"/>
            </w:tcBorders>
            <w:shd w:val="clear" w:color="auto" w:fill="auto"/>
            <w:noWrap/>
            <w:vAlign w:val="bottom"/>
            <w:hideMark/>
          </w:tcPr>
          <w:p w14:paraId="5027978F"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40.81</w:t>
            </w:r>
          </w:p>
        </w:tc>
        <w:tc>
          <w:tcPr>
            <w:tcW w:w="1420" w:type="dxa"/>
            <w:tcBorders>
              <w:top w:val="nil"/>
              <w:left w:val="nil"/>
              <w:bottom w:val="nil"/>
              <w:right w:val="single" w:sz="4" w:space="0" w:color="auto"/>
            </w:tcBorders>
            <w:shd w:val="clear" w:color="auto" w:fill="auto"/>
            <w:noWrap/>
            <w:vAlign w:val="bottom"/>
            <w:hideMark/>
          </w:tcPr>
          <w:p w14:paraId="19EE39DE"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0.001</w:t>
            </w:r>
          </w:p>
        </w:tc>
      </w:tr>
      <w:tr w:rsidR="00CE0FF5" w:rsidRPr="00CE0FF5" w14:paraId="5526839D" w14:textId="77777777" w:rsidTr="00CE0FF5">
        <w:trPr>
          <w:trHeight w:val="20"/>
        </w:trPr>
        <w:tc>
          <w:tcPr>
            <w:tcW w:w="960" w:type="dxa"/>
            <w:tcBorders>
              <w:top w:val="nil"/>
              <w:left w:val="single" w:sz="4" w:space="0" w:color="auto"/>
              <w:bottom w:val="nil"/>
              <w:right w:val="nil"/>
            </w:tcBorders>
            <w:shd w:val="clear" w:color="auto" w:fill="auto"/>
            <w:noWrap/>
            <w:vAlign w:val="bottom"/>
            <w:hideMark/>
          </w:tcPr>
          <w:p w14:paraId="14EA65CD"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included</w:t>
            </w:r>
          </w:p>
        </w:tc>
        <w:tc>
          <w:tcPr>
            <w:tcW w:w="1620" w:type="dxa"/>
            <w:tcBorders>
              <w:top w:val="nil"/>
              <w:left w:val="nil"/>
              <w:bottom w:val="nil"/>
              <w:right w:val="nil"/>
            </w:tcBorders>
            <w:shd w:val="clear" w:color="auto" w:fill="auto"/>
            <w:noWrap/>
            <w:vAlign w:val="bottom"/>
            <w:hideMark/>
          </w:tcPr>
          <w:p w14:paraId="7F5037FE"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3</w:t>
            </w:r>
          </w:p>
        </w:tc>
        <w:tc>
          <w:tcPr>
            <w:tcW w:w="1400" w:type="dxa"/>
            <w:tcBorders>
              <w:top w:val="nil"/>
              <w:left w:val="nil"/>
              <w:bottom w:val="nil"/>
              <w:right w:val="nil"/>
            </w:tcBorders>
            <w:shd w:val="clear" w:color="auto" w:fill="auto"/>
            <w:noWrap/>
            <w:vAlign w:val="bottom"/>
            <w:hideMark/>
          </w:tcPr>
          <w:p w14:paraId="43811943"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Yes</w:t>
            </w:r>
          </w:p>
        </w:tc>
        <w:tc>
          <w:tcPr>
            <w:tcW w:w="960" w:type="dxa"/>
            <w:tcBorders>
              <w:top w:val="nil"/>
              <w:left w:val="nil"/>
              <w:bottom w:val="nil"/>
              <w:right w:val="nil"/>
            </w:tcBorders>
            <w:shd w:val="clear" w:color="auto" w:fill="auto"/>
            <w:noWrap/>
            <w:vAlign w:val="bottom"/>
            <w:hideMark/>
          </w:tcPr>
          <w:p w14:paraId="4AB30145"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1</w:t>
            </w:r>
          </w:p>
        </w:tc>
        <w:tc>
          <w:tcPr>
            <w:tcW w:w="1360" w:type="dxa"/>
            <w:tcBorders>
              <w:top w:val="nil"/>
              <w:left w:val="nil"/>
              <w:bottom w:val="nil"/>
              <w:right w:val="nil"/>
            </w:tcBorders>
            <w:shd w:val="clear" w:color="auto" w:fill="auto"/>
            <w:noWrap/>
            <w:vAlign w:val="bottom"/>
            <w:hideMark/>
          </w:tcPr>
          <w:p w14:paraId="50449D6A"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Yes</w:t>
            </w:r>
          </w:p>
        </w:tc>
        <w:tc>
          <w:tcPr>
            <w:tcW w:w="1440" w:type="dxa"/>
            <w:tcBorders>
              <w:top w:val="nil"/>
              <w:left w:val="nil"/>
              <w:bottom w:val="nil"/>
              <w:right w:val="nil"/>
            </w:tcBorders>
            <w:shd w:val="clear" w:color="auto" w:fill="auto"/>
            <w:noWrap/>
            <w:vAlign w:val="bottom"/>
            <w:hideMark/>
          </w:tcPr>
          <w:p w14:paraId="7357D42E"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exceed 50%</w:t>
            </w:r>
          </w:p>
        </w:tc>
        <w:tc>
          <w:tcPr>
            <w:tcW w:w="1340" w:type="dxa"/>
            <w:tcBorders>
              <w:top w:val="nil"/>
              <w:left w:val="nil"/>
              <w:bottom w:val="nil"/>
              <w:right w:val="nil"/>
            </w:tcBorders>
            <w:shd w:val="clear" w:color="auto" w:fill="auto"/>
            <w:noWrap/>
            <w:vAlign w:val="bottom"/>
            <w:hideMark/>
          </w:tcPr>
          <w:p w14:paraId="0B73DF67"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5</w:t>
            </w:r>
          </w:p>
        </w:tc>
        <w:tc>
          <w:tcPr>
            <w:tcW w:w="1300" w:type="dxa"/>
            <w:tcBorders>
              <w:top w:val="nil"/>
              <w:left w:val="nil"/>
              <w:bottom w:val="nil"/>
              <w:right w:val="nil"/>
            </w:tcBorders>
            <w:shd w:val="clear" w:color="auto" w:fill="auto"/>
            <w:noWrap/>
            <w:vAlign w:val="bottom"/>
            <w:hideMark/>
          </w:tcPr>
          <w:p w14:paraId="774E1B1A"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4</w:t>
            </w:r>
          </w:p>
        </w:tc>
        <w:tc>
          <w:tcPr>
            <w:tcW w:w="1420" w:type="dxa"/>
            <w:tcBorders>
              <w:top w:val="nil"/>
              <w:left w:val="nil"/>
              <w:bottom w:val="nil"/>
              <w:right w:val="nil"/>
            </w:tcBorders>
            <w:shd w:val="clear" w:color="auto" w:fill="auto"/>
            <w:noWrap/>
            <w:vAlign w:val="bottom"/>
            <w:hideMark/>
          </w:tcPr>
          <w:p w14:paraId="0A72A67D"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54.58</w:t>
            </w:r>
          </w:p>
        </w:tc>
        <w:tc>
          <w:tcPr>
            <w:tcW w:w="1420" w:type="dxa"/>
            <w:tcBorders>
              <w:top w:val="nil"/>
              <w:left w:val="nil"/>
              <w:bottom w:val="nil"/>
              <w:right w:val="single" w:sz="4" w:space="0" w:color="auto"/>
            </w:tcBorders>
            <w:shd w:val="clear" w:color="auto" w:fill="auto"/>
            <w:noWrap/>
            <w:vAlign w:val="bottom"/>
            <w:hideMark/>
          </w:tcPr>
          <w:p w14:paraId="6B69CE91"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0.001</w:t>
            </w:r>
          </w:p>
        </w:tc>
      </w:tr>
      <w:tr w:rsidR="00CE0FF5" w:rsidRPr="00CE0FF5" w14:paraId="3D679FBA" w14:textId="77777777" w:rsidTr="00CE0FF5">
        <w:trPr>
          <w:trHeight w:val="20"/>
        </w:trPr>
        <w:tc>
          <w:tcPr>
            <w:tcW w:w="960" w:type="dxa"/>
            <w:tcBorders>
              <w:top w:val="nil"/>
              <w:left w:val="single" w:sz="4" w:space="0" w:color="auto"/>
              <w:bottom w:val="single" w:sz="4" w:space="0" w:color="auto"/>
              <w:right w:val="nil"/>
            </w:tcBorders>
            <w:shd w:val="clear" w:color="auto" w:fill="auto"/>
            <w:noWrap/>
            <w:vAlign w:val="bottom"/>
            <w:hideMark/>
          </w:tcPr>
          <w:p w14:paraId="41941073"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included</w:t>
            </w:r>
          </w:p>
        </w:tc>
        <w:tc>
          <w:tcPr>
            <w:tcW w:w="1620" w:type="dxa"/>
            <w:tcBorders>
              <w:top w:val="nil"/>
              <w:left w:val="nil"/>
              <w:bottom w:val="single" w:sz="4" w:space="0" w:color="auto"/>
              <w:right w:val="nil"/>
            </w:tcBorders>
            <w:shd w:val="clear" w:color="auto" w:fill="auto"/>
            <w:noWrap/>
            <w:vAlign w:val="bottom"/>
            <w:hideMark/>
          </w:tcPr>
          <w:p w14:paraId="6847F3A0"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3</w:t>
            </w:r>
          </w:p>
        </w:tc>
        <w:tc>
          <w:tcPr>
            <w:tcW w:w="1400" w:type="dxa"/>
            <w:tcBorders>
              <w:top w:val="nil"/>
              <w:left w:val="nil"/>
              <w:bottom w:val="single" w:sz="4" w:space="0" w:color="auto"/>
              <w:right w:val="nil"/>
            </w:tcBorders>
            <w:shd w:val="clear" w:color="auto" w:fill="auto"/>
            <w:noWrap/>
            <w:vAlign w:val="bottom"/>
            <w:hideMark/>
          </w:tcPr>
          <w:p w14:paraId="2B5A37E3"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Yes</w:t>
            </w:r>
          </w:p>
        </w:tc>
        <w:tc>
          <w:tcPr>
            <w:tcW w:w="960" w:type="dxa"/>
            <w:tcBorders>
              <w:top w:val="nil"/>
              <w:left w:val="nil"/>
              <w:bottom w:val="single" w:sz="4" w:space="0" w:color="auto"/>
              <w:right w:val="nil"/>
            </w:tcBorders>
            <w:shd w:val="clear" w:color="auto" w:fill="auto"/>
            <w:noWrap/>
            <w:vAlign w:val="bottom"/>
            <w:hideMark/>
          </w:tcPr>
          <w:p w14:paraId="3F1ED57C"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2</w:t>
            </w:r>
          </w:p>
        </w:tc>
        <w:tc>
          <w:tcPr>
            <w:tcW w:w="1360" w:type="dxa"/>
            <w:tcBorders>
              <w:top w:val="nil"/>
              <w:left w:val="nil"/>
              <w:bottom w:val="single" w:sz="4" w:space="0" w:color="auto"/>
              <w:right w:val="nil"/>
            </w:tcBorders>
            <w:shd w:val="clear" w:color="auto" w:fill="auto"/>
            <w:noWrap/>
            <w:vAlign w:val="bottom"/>
            <w:hideMark/>
          </w:tcPr>
          <w:p w14:paraId="1CF0BD9B"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Yes</w:t>
            </w:r>
          </w:p>
        </w:tc>
        <w:tc>
          <w:tcPr>
            <w:tcW w:w="1440" w:type="dxa"/>
            <w:tcBorders>
              <w:top w:val="nil"/>
              <w:left w:val="nil"/>
              <w:bottom w:val="single" w:sz="4" w:space="0" w:color="auto"/>
              <w:right w:val="nil"/>
            </w:tcBorders>
            <w:shd w:val="clear" w:color="auto" w:fill="auto"/>
            <w:noWrap/>
            <w:vAlign w:val="bottom"/>
            <w:hideMark/>
          </w:tcPr>
          <w:p w14:paraId="5AA6A8B1"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exceed 50%</w:t>
            </w:r>
          </w:p>
        </w:tc>
        <w:tc>
          <w:tcPr>
            <w:tcW w:w="1340" w:type="dxa"/>
            <w:tcBorders>
              <w:top w:val="nil"/>
              <w:left w:val="nil"/>
              <w:bottom w:val="single" w:sz="4" w:space="0" w:color="auto"/>
              <w:right w:val="nil"/>
            </w:tcBorders>
            <w:shd w:val="clear" w:color="auto" w:fill="auto"/>
            <w:noWrap/>
            <w:vAlign w:val="bottom"/>
            <w:hideMark/>
          </w:tcPr>
          <w:p w14:paraId="46A26FC8"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5</w:t>
            </w:r>
          </w:p>
        </w:tc>
        <w:tc>
          <w:tcPr>
            <w:tcW w:w="1300" w:type="dxa"/>
            <w:tcBorders>
              <w:top w:val="nil"/>
              <w:left w:val="nil"/>
              <w:bottom w:val="single" w:sz="4" w:space="0" w:color="auto"/>
              <w:right w:val="nil"/>
            </w:tcBorders>
            <w:shd w:val="clear" w:color="auto" w:fill="auto"/>
            <w:noWrap/>
            <w:vAlign w:val="bottom"/>
            <w:hideMark/>
          </w:tcPr>
          <w:p w14:paraId="60A7318F"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5</w:t>
            </w:r>
          </w:p>
        </w:tc>
        <w:tc>
          <w:tcPr>
            <w:tcW w:w="1420" w:type="dxa"/>
            <w:tcBorders>
              <w:top w:val="nil"/>
              <w:left w:val="nil"/>
              <w:bottom w:val="single" w:sz="4" w:space="0" w:color="auto"/>
              <w:right w:val="nil"/>
            </w:tcBorders>
            <w:shd w:val="clear" w:color="auto" w:fill="auto"/>
            <w:noWrap/>
            <w:vAlign w:val="bottom"/>
            <w:hideMark/>
          </w:tcPr>
          <w:p w14:paraId="092515FE"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45.52</w:t>
            </w:r>
          </w:p>
        </w:tc>
        <w:tc>
          <w:tcPr>
            <w:tcW w:w="1420" w:type="dxa"/>
            <w:tcBorders>
              <w:top w:val="nil"/>
              <w:left w:val="nil"/>
              <w:bottom w:val="single" w:sz="4" w:space="0" w:color="auto"/>
              <w:right w:val="single" w:sz="4" w:space="0" w:color="auto"/>
            </w:tcBorders>
            <w:shd w:val="clear" w:color="auto" w:fill="auto"/>
            <w:noWrap/>
            <w:vAlign w:val="bottom"/>
            <w:hideMark/>
          </w:tcPr>
          <w:p w14:paraId="6EC958FC" w14:textId="77777777" w:rsidR="00CE0FF5" w:rsidRPr="00CE0FF5" w:rsidRDefault="00CE0FF5" w:rsidP="00CE0FF5">
            <w:pPr>
              <w:spacing w:after="0" w:line="240" w:lineRule="auto"/>
              <w:jc w:val="right"/>
              <w:rPr>
                <w:rFonts w:ascii="Calibri" w:eastAsia="Times New Roman" w:hAnsi="Calibri" w:cs="Calibri"/>
                <w:color w:val="000000"/>
                <w:sz w:val="18"/>
                <w:szCs w:val="18"/>
                <w:lang w:eastAsia="en-GB"/>
              </w:rPr>
            </w:pPr>
            <w:r w:rsidRPr="00CE0FF5">
              <w:rPr>
                <w:rFonts w:ascii="Calibri" w:eastAsia="Times New Roman" w:hAnsi="Calibri" w:cs="Calibri"/>
                <w:color w:val="000000"/>
                <w:sz w:val="18"/>
                <w:szCs w:val="18"/>
                <w:lang w:eastAsia="en-GB"/>
              </w:rPr>
              <w:t>0.001</w:t>
            </w:r>
          </w:p>
        </w:tc>
      </w:tr>
    </w:tbl>
    <w:p w14:paraId="380F2EEE" w14:textId="6D7048AE" w:rsidR="002D5B6F" w:rsidRDefault="002D5B6F" w:rsidP="005111BC">
      <w:pPr>
        <w:spacing w:after="0" w:line="240" w:lineRule="auto"/>
        <w:jc w:val="both"/>
        <w:sectPr w:rsidR="002D5B6F" w:rsidSect="002D5B6F">
          <w:pgSz w:w="16838" w:h="11906" w:orient="landscape"/>
          <w:pgMar w:top="1134" w:right="1134" w:bottom="1134" w:left="1134" w:header="708" w:footer="708" w:gutter="0"/>
          <w:cols w:space="708"/>
          <w:docGrid w:linePitch="360"/>
        </w:sectPr>
      </w:pPr>
      <w:r>
        <w:t xml:space="preserve">Table 1: Results of typologies constructed under varying parameterisations. </w:t>
      </w:r>
      <w:r w:rsidR="005111BC">
        <w:t xml:space="preserve">The number of dimensions retained in the PCO was defined by the number taken to explain a specific threshold of variance (either 40 or 50%). F-values and associated p-values were obtained from an analysis of dissimilarity of the resulting clusters. </w:t>
      </w:r>
    </w:p>
    <w:p w14:paraId="0F70887C" w14:textId="413AFDF0" w:rsidR="007A3A61" w:rsidRDefault="005246E0" w:rsidP="00111045">
      <w:pPr>
        <w:spacing w:line="360" w:lineRule="auto"/>
        <w:jc w:val="both"/>
      </w:pPr>
      <w:r>
        <w:rPr>
          <w:noProof/>
        </w:rPr>
        <w:drawing>
          <wp:inline distT="0" distB="0" distL="0" distR="0" wp14:anchorId="0F2CBF46" wp14:editId="4939504A">
            <wp:extent cx="5731510" cy="290258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2902585"/>
                    </a:xfrm>
                    <a:prstGeom prst="rect">
                      <a:avLst/>
                    </a:prstGeom>
                  </pic:spPr>
                </pic:pic>
              </a:graphicData>
            </a:graphic>
          </wp:inline>
        </w:drawing>
      </w:r>
    </w:p>
    <w:p w14:paraId="2927C48E" w14:textId="7EDB248A" w:rsidR="00F11E6C" w:rsidRPr="00F11E6C" w:rsidRDefault="00F11E6C" w:rsidP="00F11E6C">
      <w:pPr>
        <w:spacing w:line="240" w:lineRule="auto"/>
        <w:jc w:val="both"/>
      </w:pPr>
      <w:r>
        <w:t xml:space="preserve">Figure </w:t>
      </w:r>
      <w:r w:rsidR="00ED02F0" w:rsidRPr="00ED02F0">
        <w:rPr>
          <w:color w:val="FF0000"/>
        </w:rPr>
        <w:t>5</w:t>
      </w:r>
      <w:r>
        <w:t>: F</w:t>
      </w:r>
      <w:r w:rsidR="00904D2B">
        <w:t>-</w:t>
      </w:r>
      <w:r>
        <w:t xml:space="preserve">statistics as obtained from the analysis of similarity for each combination of input options to the </w:t>
      </w:r>
      <w:r>
        <w:rPr>
          <w:i/>
          <w:iCs/>
        </w:rPr>
        <w:t>TypologyGenerator</w:t>
      </w:r>
      <w:r>
        <w:t>. Note, F-</w:t>
      </w:r>
      <w:r w:rsidR="00904D2B">
        <w:t>statistics</w:t>
      </w:r>
      <w:r>
        <w:t xml:space="preserve"> are </w:t>
      </w:r>
      <w:r>
        <w:t xml:space="preserve">only </w:t>
      </w:r>
      <w:r>
        <w:t xml:space="preserve">directly comparable for typologies based on the same input data and should therefore only be compared within each panel. </w:t>
      </w:r>
    </w:p>
    <w:p w14:paraId="6B4E16B2" w14:textId="79777BE0" w:rsidR="00F11E6C" w:rsidRDefault="00F11E6C" w:rsidP="00111045">
      <w:pPr>
        <w:spacing w:line="360" w:lineRule="auto"/>
        <w:jc w:val="both"/>
      </w:pPr>
    </w:p>
    <w:p w14:paraId="073CC085" w14:textId="6F20053B" w:rsidR="00255C75" w:rsidRDefault="00F11E6C" w:rsidP="00111045">
      <w:pPr>
        <w:spacing w:line="360" w:lineRule="auto"/>
        <w:jc w:val="both"/>
      </w:pPr>
      <w:r>
        <w:t xml:space="preserve">It is </w:t>
      </w:r>
      <w:r w:rsidR="005246E0">
        <w:t>clear that the impact of different typology options differs depending on the input data and in combination with other options. For instance, whe</w:t>
      </w:r>
      <w:r w:rsidR="003E1835">
        <w:t>re</w:t>
      </w:r>
      <w:r w:rsidR="005246E0">
        <w:t xml:space="preserve"> binary variables are included, in general greater separation between groups (larger F-statistics) is obtained when binary variables are given equal weighting to continuous variables. The exception, however, occurs when a PCO is used and dimensions are retained that explain 40% of the total variation. Here, it is preferable to downweight binary variables but this in turn seems to depend on the overall weighting chosen for the variable categories. It is also interesting to note that the impact of the high-level weighting differs in each scenario</w:t>
      </w:r>
      <w:r w:rsidR="003E1835">
        <w:t xml:space="preserve"> (e.g.</w:t>
      </w:r>
      <w:r w:rsidR="0014697F">
        <w:t>,</w:t>
      </w:r>
      <w:r w:rsidR="003E1835">
        <w:t xml:space="preserve"> to include or exclude a dimension reduction step)</w:t>
      </w:r>
      <w:r w:rsidR="005246E0">
        <w:t xml:space="preserve">. This is perhaps unsurprising due to the different amounts of data being fed into the algorithms </w:t>
      </w:r>
      <w:r w:rsidR="00904D2B">
        <w:t xml:space="preserve">in each case and </w:t>
      </w:r>
      <w:r w:rsidR="005246E0">
        <w:t>highlight</w:t>
      </w:r>
      <w:r w:rsidR="00904D2B">
        <w:t>s</w:t>
      </w:r>
      <w:r w:rsidR="005246E0">
        <w:t xml:space="preserve"> the need to </w:t>
      </w:r>
      <w:r w:rsidR="00904D2B">
        <w:t xml:space="preserve">investigate the typology options each time. </w:t>
      </w:r>
      <w:r w:rsidR="00255C75">
        <w:t>In general</w:t>
      </w:r>
      <w:r w:rsidR="003E1835">
        <w:t>,</w:t>
      </w:r>
      <w:r w:rsidR="00255C75">
        <w:t xml:space="preserve"> including a categorisation of the different </w:t>
      </w:r>
      <w:r w:rsidR="003E1835">
        <w:t xml:space="preserve">input </w:t>
      </w:r>
      <w:r w:rsidR="00255C75">
        <w:t>variables improves the distinctness of the typology definition, certainly when the binary variables are included. It is tempting to conclude that including a dimension reduction step improves the distinctness of the typology groups, however, direct quantitative comparisons using the F-statistics from an analysis of similarity cannot be made as the input data are different. Having said this, the fact the F-statistics increase as the dimension reduction is included implies that more background noise is being removed and the algorithms are finding it easier to define the clusters. This does, however come at the cost of interpretation</w:t>
      </w:r>
      <w:r w:rsidR="003A05C8">
        <w:t xml:space="preserve"> as i</w:t>
      </w:r>
      <w:r w:rsidR="00255C75">
        <w:t xml:space="preserve">t can be difficult to identify the variables that are principally responsible for the resulting classification due to the additional step of dimension reduction. </w:t>
      </w:r>
    </w:p>
    <w:p w14:paraId="73BDF3B4" w14:textId="5470B895" w:rsidR="005929D3" w:rsidRDefault="005929D3" w:rsidP="00111045">
      <w:pPr>
        <w:spacing w:line="360" w:lineRule="auto"/>
        <w:jc w:val="both"/>
      </w:pPr>
      <w:r>
        <w:t xml:space="preserve">Although the F-statistics give an assessment of whether the identified typologies are statistically distinct, one may also wish to have other features in the typologies. For instance, the cluster evenness gives an indication of how equal the group sizes are in the resulting typologies and the cluster clarity indicates how “easy” it was to define the appropriate cut point on the dendrogram. These are shown in Figure </w:t>
      </w:r>
      <w:r w:rsidR="007C1CD8" w:rsidRPr="007C1CD8">
        <w:rPr>
          <w:color w:val="FF0000"/>
        </w:rPr>
        <w:t>6</w:t>
      </w:r>
      <w:r>
        <w:t xml:space="preserve">. </w:t>
      </w:r>
      <w:r w:rsidR="0075195B">
        <w:t xml:space="preserve">Cluster evenness is generally best when more data (binary variables included and no dimension reduction) is used. </w:t>
      </w:r>
      <w:r w:rsidR="004043CF">
        <w:t xml:space="preserve">Cluster clarity appears to be greater when binary variables are excluded but when they are included, clarity is generally improved under a dimension reduction step. </w:t>
      </w:r>
      <w:r w:rsidR="00CC00D4">
        <w:t>Examples of different dendrograms</w:t>
      </w:r>
      <w:r w:rsidR="003612A0">
        <w:t xml:space="preserve"> exhibiting different levels of evenness and clarity</w:t>
      </w:r>
      <w:r w:rsidR="00CC00D4">
        <w:t xml:space="preserve"> are shown in Appendix A</w:t>
      </w:r>
      <w:r w:rsidR="007C1CD8" w:rsidRPr="007C1CD8">
        <w:rPr>
          <w:color w:val="FF0000"/>
        </w:rPr>
        <w:t>3</w:t>
      </w:r>
      <w:r w:rsidR="00CC00D4">
        <w:t xml:space="preserve">. </w:t>
      </w:r>
    </w:p>
    <w:p w14:paraId="5F7F1C6D" w14:textId="5FA7F632" w:rsidR="005929D3" w:rsidRDefault="00CC00D4" w:rsidP="00111045">
      <w:pPr>
        <w:spacing w:line="360" w:lineRule="auto"/>
        <w:jc w:val="both"/>
      </w:pPr>
      <w:r>
        <w:rPr>
          <w:noProof/>
        </w:rPr>
        <w:drawing>
          <wp:inline distT="0" distB="0" distL="0" distR="0" wp14:anchorId="499CB2DB" wp14:editId="7F6DB6EE">
            <wp:extent cx="5731510" cy="3312795"/>
            <wp:effectExtent l="0" t="0" r="254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312795"/>
                    </a:xfrm>
                    <a:prstGeom prst="rect">
                      <a:avLst/>
                    </a:prstGeom>
                  </pic:spPr>
                </pic:pic>
              </a:graphicData>
            </a:graphic>
          </wp:inline>
        </w:drawing>
      </w:r>
    </w:p>
    <w:p w14:paraId="7BB667EE" w14:textId="715B213D" w:rsidR="005929D3" w:rsidRDefault="005929D3" w:rsidP="00111045">
      <w:pPr>
        <w:spacing w:line="360" w:lineRule="auto"/>
        <w:jc w:val="both"/>
      </w:pPr>
      <w:r>
        <w:rPr>
          <w:noProof/>
        </w:rPr>
        <w:drawing>
          <wp:inline distT="0" distB="0" distL="0" distR="0" wp14:anchorId="301354D5" wp14:editId="411510B3">
            <wp:extent cx="5731510" cy="289560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2895600"/>
                    </a:xfrm>
                    <a:prstGeom prst="rect">
                      <a:avLst/>
                    </a:prstGeom>
                  </pic:spPr>
                </pic:pic>
              </a:graphicData>
            </a:graphic>
          </wp:inline>
        </w:drawing>
      </w:r>
    </w:p>
    <w:p w14:paraId="50170DBB" w14:textId="13C59966" w:rsidR="005929D3" w:rsidRDefault="005929D3" w:rsidP="005929D3">
      <w:pPr>
        <w:spacing w:line="240" w:lineRule="auto"/>
        <w:jc w:val="both"/>
      </w:pPr>
      <w:r>
        <w:t xml:space="preserve">Figure </w:t>
      </w:r>
      <w:r w:rsidR="00ED02F0">
        <w:rPr>
          <w:color w:val="FF0000"/>
        </w:rPr>
        <w:t>6</w:t>
      </w:r>
      <w:r>
        <w:t xml:space="preserve">: Cluster evenness (top panel) and clarity (bottom panel) for each of the scenarios listed in Table 1. </w:t>
      </w:r>
    </w:p>
    <w:p w14:paraId="49A349B5" w14:textId="77777777" w:rsidR="00343F3B" w:rsidRPr="00EA2AE0" w:rsidRDefault="00343F3B" w:rsidP="005929D3">
      <w:pPr>
        <w:spacing w:line="240" w:lineRule="auto"/>
        <w:jc w:val="both"/>
      </w:pPr>
    </w:p>
    <w:p w14:paraId="761FD196" w14:textId="0590CF91" w:rsidR="00AC52A4" w:rsidRPr="00207EE7" w:rsidRDefault="00A244D9" w:rsidP="00111045">
      <w:pPr>
        <w:spacing w:line="360" w:lineRule="auto"/>
        <w:jc w:val="both"/>
        <w:rPr>
          <w:i/>
          <w:iCs/>
        </w:rPr>
      </w:pPr>
      <w:r>
        <w:rPr>
          <w:i/>
          <w:iCs/>
        </w:rPr>
        <w:t>Case Study</w:t>
      </w:r>
    </w:p>
    <w:p w14:paraId="11EE7839" w14:textId="35B026D7" w:rsidR="006C4A51" w:rsidRDefault="00827D40" w:rsidP="00111045">
      <w:pPr>
        <w:spacing w:line="360" w:lineRule="auto"/>
        <w:jc w:val="both"/>
      </w:pPr>
      <w:r>
        <w:rPr>
          <w:color w:val="FF0000"/>
        </w:rPr>
        <w:t>T</w:t>
      </w:r>
      <w:r w:rsidRPr="00DD7802">
        <w:rPr>
          <w:color w:val="FF0000"/>
        </w:rPr>
        <w:t>o understand farming household heterogeneity</w:t>
      </w:r>
      <w:r>
        <w:t xml:space="preserve"> </w:t>
      </w:r>
      <w:r w:rsidRPr="00827D40">
        <w:rPr>
          <w:color w:val="FF0000"/>
        </w:rPr>
        <w:t>in Murehwa, we developed a delineation through the TypologyGenerator.</w:t>
      </w:r>
      <w:r>
        <w:t xml:space="preserve"> </w:t>
      </w:r>
      <w:r w:rsidR="00812976">
        <w:t>The final typology selected for th</w:t>
      </w:r>
      <w:r w:rsidR="00343F3B">
        <w:t>e Murehwa case</w:t>
      </w:r>
      <w:r w:rsidR="00812976">
        <w:t xml:space="preserve"> study consisted of the following options. </w:t>
      </w:r>
      <w:r w:rsidR="003612A0">
        <w:t>Within each category of variables (functional, nutritional and structural), continuous variables were given three times as much weight as binary variables. A PCO was done to retain t</w:t>
      </w:r>
      <w:r w:rsidR="001A588D">
        <w:t>hree dimensions and four cluster were delineated</w:t>
      </w:r>
      <w:r w:rsidR="003612A0">
        <w:t xml:space="preserve"> from the resulting dendrogram</w:t>
      </w:r>
      <w:r w:rsidR="001A588D">
        <w:t xml:space="preserve"> (Figure </w:t>
      </w:r>
      <w:r w:rsidR="007C1CD8" w:rsidRPr="007C1CD8">
        <w:rPr>
          <w:color w:val="FF0000"/>
        </w:rPr>
        <w:t>7</w:t>
      </w:r>
      <w:r w:rsidR="001A588D">
        <w:t>).</w:t>
      </w:r>
    </w:p>
    <w:p w14:paraId="3EB501F9" w14:textId="77777777" w:rsidR="006C4A51" w:rsidRDefault="006C4A51" w:rsidP="00111045">
      <w:pPr>
        <w:spacing w:line="360" w:lineRule="auto"/>
        <w:jc w:val="both"/>
      </w:pPr>
    </w:p>
    <w:p w14:paraId="423BF75A" w14:textId="1286D93B" w:rsidR="001A588D" w:rsidRDefault="001A588D" w:rsidP="00111045">
      <w:pPr>
        <w:spacing w:line="360" w:lineRule="auto"/>
        <w:jc w:val="both"/>
      </w:pPr>
      <w:r>
        <w:rPr>
          <w:noProof/>
        </w:rPr>
        <w:drawing>
          <wp:inline distT="0" distB="0" distL="0" distR="0" wp14:anchorId="34639388" wp14:editId="1512FAAB">
            <wp:extent cx="5731510" cy="4093845"/>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4093845"/>
                    </a:xfrm>
                    <a:prstGeom prst="rect">
                      <a:avLst/>
                    </a:prstGeom>
                  </pic:spPr>
                </pic:pic>
              </a:graphicData>
            </a:graphic>
          </wp:inline>
        </w:drawing>
      </w:r>
    </w:p>
    <w:p w14:paraId="5A487A6F" w14:textId="33F842BE" w:rsidR="001A588D" w:rsidRPr="00812976" w:rsidRDefault="001A588D" w:rsidP="00343F3B">
      <w:pPr>
        <w:spacing w:line="240" w:lineRule="auto"/>
        <w:jc w:val="both"/>
        <w:rPr>
          <w:sz w:val="20"/>
          <w:szCs w:val="20"/>
        </w:rPr>
      </w:pPr>
      <w:bookmarkStart w:id="6" w:name="_Hlk122198163"/>
      <w:r w:rsidRPr="00812976">
        <w:rPr>
          <w:sz w:val="20"/>
          <w:szCs w:val="20"/>
        </w:rPr>
        <w:t xml:space="preserve">Figure </w:t>
      </w:r>
      <w:r w:rsidR="00ED02F0">
        <w:rPr>
          <w:color w:val="FF0000"/>
          <w:sz w:val="20"/>
          <w:szCs w:val="20"/>
        </w:rPr>
        <w:t>7</w:t>
      </w:r>
      <w:r w:rsidRPr="00812976">
        <w:rPr>
          <w:sz w:val="20"/>
          <w:szCs w:val="20"/>
        </w:rPr>
        <w:t xml:space="preserve"> – (A) Dendrogram representing the hierarchical agglomerative clustering using Ward’s method (four clusters were identified), and representation of the four farm types identified (B) on the plane defined by the first two principal components, (C) on the plane identified by the first and the third principal component, and (D) on the plane identified by the second and the third component.</w:t>
      </w:r>
    </w:p>
    <w:bookmarkEnd w:id="6"/>
    <w:p w14:paraId="77715F74" w14:textId="2078F236" w:rsidR="001A588D" w:rsidRDefault="001A588D" w:rsidP="00111045">
      <w:pPr>
        <w:spacing w:line="360" w:lineRule="auto"/>
        <w:jc w:val="both"/>
      </w:pPr>
    </w:p>
    <w:p w14:paraId="2A5D4B64" w14:textId="11D3355A" w:rsidR="006B4F74" w:rsidRDefault="006B4F74" w:rsidP="00111045">
      <w:pPr>
        <w:spacing w:line="360" w:lineRule="auto"/>
        <w:jc w:val="both"/>
      </w:pPr>
      <w:r>
        <w:t xml:space="preserve">As seen in Figure </w:t>
      </w:r>
      <w:r w:rsidR="007C1CD8" w:rsidRPr="007C1CD8">
        <w:rPr>
          <w:color w:val="FF0000"/>
        </w:rPr>
        <w:t>8</w:t>
      </w:r>
      <w:r>
        <w:t xml:space="preserve">, the four identified typologies represent different characteristics of the farming landscape. Specifically, </w:t>
      </w:r>
    </w:p>
    <w:p w14:paraId="326DDD7B" w14:textId="164DEAB1" w:rsidR="006C4A51" w:rsidRDefault="006C4A51" w:rsidP="006C4A51">
      <w:pPr>
        <w:pStyle w:val="ListParagraph"/>
        <w:numPr>
          <w:ilvl w:val="0"/>
          <w:numId w:val="13"/>
        </w:numPr>
        <w:spacing w:line="360" w:lineRule="auto"/>
        <w:jc w:val="both"/>
      </w:pPr>
      <w:r>
        <w:t xml:space="preserve">Type 1 are relatively large farms, with relatively </w:t>
      </w:r>
      <w:r w:rsidR="006471D9">
        <w:t>large</w:t>
      </w:r>
      <w:r>
        <w:t xml:space="preserve"> herds, depending on crop production for both food and income</w:t>
      </w:r>
    </w:p>
    <w:p w14:paraId="1242F085" w14:textId="3538B687" w:rsidR="006C4A51" w:rsidRDefault="006C4A51" w:rsidP="006C4A51">
      <w:pPr>
        <w:pStyle w:val="ListParagraph"/>
        <w:numPr>
          <w:ilvl w:val="0"/>
          <w:numId w:val="13"/>
        </w:numPr>
        <w:spacing w:line="360" w:lineRule="auto"/>
        <w:jc w:val="both"/>
      </w:pPr>
      <w:r>
        <w:t xml:space="preserve">Type 2 are medium-sized farms with </w:t>
      </w:r>
      <w:r w:rsidR="006471D9">
        <w:t>diversified livelihoods (crop production is not the main source of food and income for a large proportion of farms in that category)</w:t>
      </w:r>
    </w:p>
    <w:p w14:paraId="5BBF2086" w14:textId="795A30A0" w:rsidR="006471D9" w:rsidRDefault="006471D9" w:rsidP="006C4A51">
      <w:pPr>
        <w:pStyle w:val="ListParagraph"/>
        <w:numPr>
          <w:ilvl w:val="0"/>
          <w:numId w:val="13"/>
        </w:numPr>
        <w:spacing w:line="360" w:lineRule="auto"/>
        <w:jc w:val="both"/>
      </w:pPr>
      <w:r>
        <w:t>Type 3 are relatively small farms, with a high proportion of female-headed household, depending on crop production for both food and income</w:t>
      </w:r>
    </w:p>
    <w:p w14:paraId="5C40BB7B" w14:textId="1DB63A46" w:rsidR="006471D9" w:rsidRDefault="006471D9" w:rsidP="00812976">
      <w:pPr>
        <w:pStyle w:val="ListParagraph"/>
        <w:numPr>
          <w:ilvl w:val="0"/>
          <w:numId w:val="13"/>
        </w:numPr>
        <w:spacing w:line="360" w:lineRule="auto"/>
        <w:jc w:val="both"/>
      </w:pPr>
      <w:r>
        <w:t>Type 4 are vulnerable households, with small farms and small herds, dependent on off-farm activities.</w:t>
      </w:r>
    </w:p>
    <w:p w14:paraId="5493684D" w14:textId="642863E8" w:rsidR="00980151" w:rsidRPr="00AE777C" w:rsidRDefault="006B4F74" w:rsidP="00980151">
      <w:pPr>
        <w:spacing w:line="360" w:lineRule="auto"/>
        <w:jc w:val="both"/>
        <w:rPr>
          <w:color w:val="FF0000"/>
        </w:rPr>
      </w:pPr>
      <w:r w:rsidRPr="0069246D">
        <w:rPr>
          <w:color w:val="FF0000"/>
        </w:rPr>
        <w:t>Thus, although wealth is a clear demarcation between typologies, we see</w:t>
      </w:r>
      <w:r w:rsidR="00427038" w:rsidRPr="0069246D">
        <w:rPr>
          <w:color w:val="FF0000"/>
        </w:rPr>
        <w:t xml:space="preserve"> a much more nuanced description of resource endowment through these typologies.</w:t>
      </w:r>
      <w:r w:rsidR="00427038">
        <w:t xml:space="preserve"> </w:t>
      </w:r>
      <w:r w:rsidR="0069246D">
        <w:rPr>
          <w:color w:val="FF0000"/>
        </w:rPr>
        <w:t xml:space="preserve">In particular, Type 1 and 2 are relatively food secure but it is only Type 1 that demonstrates a high dietary diversity score with food rich in iron or animal sourced vitamin A. Education scores are relatively consistent across the four Types although a greater propensity for male-headed households is seen in Types 1 and 2. Type 1 tends to have quite distinct </w:t>
      </w:r>
      <w:r w:rsidR="00752CDA" w:rsidRPr="00752CDA">
        <w:rPr>
          <w:color w:val="FF0000"/>
        </w:rPr>
        <w:t>agronomical characteristics</w:t>
      </w:r>
      <w:r w:rsidR="0069246D">
        <w:rPr>
          <w:color w:val="FF0000"/>
        </w:rPr>
        <w:t xml:space="preserve"> compared to Types 2-4 with higher use of manure, compost and fertilizer and larger herds of both cattle and small ruminants. </w:t>
      </w:r>
    </w:p>
    <w:p w14:paraId="72E64C1E" w14:textId="361537CD" w:rsidR="006B4F74" w:rsidRDefault="006B4F74" w:rsidP="006B4F74">
      <w:pPr>
        <w:spacing w:line="360" w:lineRule="auto"/>
        <w:jc w:val="both"/>
      </w:pPr>
    </w:p>
    <w:p w14:paraId="06483F41" w14:textId="1BADFD03" w:rsidR="006471D9" w:rsidRDefault="006471D9" w:rsidP="00111045">
      <w:pPr>
        <w:spacing w:line="360" w:lineRule="auto"/>
        <w:jc w:val="both"/>
      </w:pPr>
      <w:r>
        <w:rPr>
          <w:noProof/>
        </w:rPr>
        <w:drawing>
          <wp:inline distT="0" distB="0" distL="0" distR="0" wp14:anchorId="5FD8D495" wp14:editId="5036D4C1">
            <wp:extent cx="5731510" cy="196405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1964055"/>
                    </a:xfrm>
                    <a:prstGeom prst="rect">
                      <a:avLst/>
                    </a:prstGeom>
                  </pic:spPr>
                </pic:pic>
              </a:graphicData>
            </a:graphic>
          </wp:inline>
        </w:drawing>
      </w:r>
    </w:p>
    <w:p w14:paraId="36AE887A" w14:textId="550045B0" w:rsidR="006471D9" w:rsidRDefault="00CD2E41" w:rsidP="00CD2E41">
      <w:pPr>
        <w:spacing w:after="0" w:line="240" w:lineRule="auto"/>
        <w:rPr>
          <w:sz w:val="20"/>
          <w:szCs w:val="20"/>
        </w:rPr>
      </w:pPr>
      <w:r>
        <w:rPr>
          <w:sz w:val="20"/>
          <w:szCs w:val="20"/>
        </w:rPr>
        <w:t xml:space="preserve">Figure </w:t>
      </w:r>
      <w:r w:rsidR="00ED02F0">
        <w:rPr>
          <w:color w:val="FF0000"/>
          <w:sz w:val="20"/>
          <w:szCs w:val="20"/>
        </w:rPr>
        <w:t>8</w:t>
      </w:r>
      <w:r>
        <w:rPr>
          <w:sz w:val="20"/>
          <w:szCs w:val="20"/>
        </w:rPr>
        <w:t xml:space="preserve">  </w:t>
      </w:r>
      <w:r w:rsidR="006471D9" w:rsidRPr="00182D93">
        <w:rPr>
          <w:sz w:val="20"/>
          <w:szCs w:val="20"/>
        </w:rPr>
        <w:t xml:space="preserve">– </w:t>
      </w:r>
      <w:r w:rsidR="006471D9">
        <w:rPr>
          <w:sz w:val="20"/>
          <w:szCs w:val="20"/>
        </w:rPr>
        <w:t>Heatmap representing the mean value (age of the head of the household, number of cattle, cultivated area, family size, quantity of fertilizer used on maize, household dietary diversity score, maize area, maize production, quantity of manure used on maize, and number of small ruminants) and the proportion of households concerned (</w:t>
      </w:r>
      <w:bookmarkStart w:id="7" w:name="_Hlk122198488"/>
      <w:r w:rsidR="006471D9">
        <w:rPr>
          <w:sz w:val="20"/>
          <w:szCs w:val="20"/>
        </w:rPr>
        <w:t>consumption of animal-based vitamin A-rich food</w:t>
      </w:r>
      <w:bookmarkEnd w:id="7"/>
      <w:r w:rsidR="006471D9">
        <w:rPr>
          <w:sz w:val="20"/>
          <w:szCs w:val="20"/>
        </w:rPr>
        <w:t xml:space="preserve">, crop sales as the main source of income, education of the head of the household higher than primary level, female-headed household, proportion of the year the household as adequate food security, consumption of iron-rich food, own production as the main source of food, </w:t>
      </w:r>
      <w:r w:rsidR="006471D9" w:rsidRPr="006471D9">
        <w:rPr>
          <w:sz w:val="20"/>
          <w:szCs w:val="20"/>
        </w:rPr>
        <w:t xml:space="preserve">consumption of </w:t>
      </w:r>
      <w:r w:rsidR="006471D9">
        <w:rPr>
          <w:sz w:val="20"/>
          <w:szCs w:val="20"/>
        </w:rPr>
        <w:t>plant</w:t>
      </w:r>
      <w:r w:rsidR="006471D9" w:rsidRPr="006471D9">
        <w:rPr>
          <w:sz w:val="20"/>
          <w:szCs w:val="20"/>
        </w:rPr>
        <w:t>-based vitamin A-rich food</w:t>
      </w:r>
      <w:r w:rsidR="006471D9">
        <w:rPr>
          <w:sz w:val="20"/>
          <w:szCs w:val="20"/>
        </w:rPr>
        <w:t>, and use of manure and compost) for key variables.</w:t>
      </w:r>
    </w:p>
    <w:p w14:paraId="0DADE67B" w14:textId="77777777" w:rsidR="00343F3B" w:rsidRPr="00182D93" w:rsidRDefault="00343F3B" w:rsidP="00343F3B">
      <w:pPr>
        <w:spacing w:line="240" w:lineRule="auto"/>
        <w:jc w:val="both"/>
        <w:rPr>
          <w:sz w:val="20"/>
          <w:szCs w:val="20"/>
        </w:rPr>
      </w:pPr>
    </w:p>
    <w:p w14:paraId="0C42C819" w14:textId="78723C42" w:rsidR="00812976" w:rsidRPr="00A7398F" w:rsidRDefault="00812976" w:rsidP="00111045">
      <w:pPr>
        <w:spacing w:line="360" w:lineRule="auto"/>
        <w:jc w:val="both"/>
        <w:rPr>
          <w:color w:val="FF0000"/>
        </w:rPr>
      </w:pPr>
      <w:r>
        <w:t xml:space="preserve">These typologies formed the basis of a stratified random sampling scheme </w:t>
      </w:r>
      <w:r w:rsidR="0015587F">
        <w:t>where participants were selected for a program of targeted interventions around biofortified maize. The results of this study will be the focus of separate paper</w:t>
      </w:r>
      <w:r w:rsidR="00A96494">
        <w:t>s</w:t>
      </w:r>
      <w:r w:rsidR="007C1CD8">
        <w:t xml:space="preserve"> </w:t>
      </w:r>
      <w:r w:rsidR="007C1CD8" w:rsidRPr="00A7398F">
        <w:rPr>
          <w:color w:val="FF0000"/>
        </w:rPr>
        <w:t>and it is anticipated that the derived typologies will give context to the wider research question by simplifying the highly heterogeneous landscape of smallholder farms.</w:t>
      </w:r>
    </w:p>
    <w:p w14:paraId="502776A9" w14:textId="77777777" w:rsidR="00343F3B" w:rsidRPr="00812976" w:rsidRDefault="00343F3B" w:rsidP="00111045">
      <w:pPr>
        <w:spacing w:line="360" w:lineRule="auto"/>
        <w:jc w:val="both"/>
      </w:pPr>
    </w:p>
    <w:p w14:paraId="4D8E8960" w14:textId="6706D5BE" w:rsidR="00F07F04" w:rsidRPr="00F07F04" w:rsidRDefault="00F07F04" w:rsidP="00111045">
      <w:pPr>
        <w:spacing w:line="360" w:lineRule="auto"/>
        <w:jc w:val="both"/>
        <w:rPr>
          <w:b/>
          <w:bCs/>
        </w:rPr>
      </w:pPr>
      <w:r w:rsidRPr="00F07F04">
        <w:rPr>
          <w:b/>
          <w:bCs/>
        </w:rPr>
        <w:t>Discussion</w:t>
      </w:r>
    </w:p>
    <w:p w14:paraId="04B33416" w14:textId="4D74A476" w:rsidR="00CE6DD5" w:rsidRDefault="00C24F2B" w:rsidP="00C24F2B">
      <w:pPr>
        <w:spacing w:line="360" w:lineRule="auto"/>
        <w:jc w:val="both"/>
      </w:pPr>
      <w:r>
        <w:t xml:space="preserve">The selection of variables to be used in the construction of farm typologies will primarily be context driven and it is the belief of the authors that the mathematical constraints of the typology construction should have as </w:t>
      </w:r>
      <w:r w:rsidRPr="00752CDA">
        <w:rPr>
          <w:color w:val="FF0000"/>
        </w:rPr>
        <w:t>li</w:t>
      </w:r>
      <w:r w:rsidR="00BF11BC" w:rsidRPr="00752CDA">
        <w:rPr>
          <w:color w:val="FF0000"/>
        </w:rPr>
        <w:t>ttle</w:t>
      </w:r>
      <w:r w:rsidR="00BF11BC">
        <w:t xml:space="preserve"> </w:t>
      </w:r>
      <w:r>
        <w:t xml:space="preserve">impact on the choice of variables as possible. Specifically, no constraint on whether data should be quantitative or qualitative should be imposed. </w:t>
      </w:r>
      <w:r w:rsidR="00CE6DD5">
        <w:t xml:space="preserve">It is the experience of the authors that choosing to exclude qualitative variables can have large impact on the resulting typologies and as such, </w:t>
      </w:r>
      <w:r w:rsidR="00CE6DD5" w:rsidRPr="00752CDA">
        <w:rPr>
          <w:color w:val="FF0000"/>
        </w:rPr>
        <w:t>th</w:t>
      </w:r>
      <w:r w:rsidR="00BF11BC" w:rsidRPr="00752CDA">
        <w:rPr>
          <w:color w:val="FF0000"/>
        </w:rPr>
        <w:t>e</w:t>
      </w:r>
      <w:r w:rsidR="00CE6DD5">
        <w:t xml:space="preserve"> decision to exclude or include them should be done in an informed way as implemented in the </w:t>
      </w:r>
      <w:r w:rsidR="00CE6DD5">
        <w:rPr>
          <w:i/>
          <w:iCs/>
        </w:rPr>
        <w:t>TypologyGenerator</w:t>
      </w:r>
      <w:r w:rsidR="00CE6DD5">
        <w:t xml:space="preserve">. </w:t>
      </w:r>
    </w:p>
    <w:p w14:paraId="6C448559" w14:textId="6578FA39" w:rsidR="00C24F2B" w:rsidRDefault="00C24F2B" w:rsidP="00C24F2B">
      <w:pPr>
        <w:spacing w:line="360" w:lineRule="auto"/>
        <w:jc w:val="both"/>
      </w:pPr>
      <w:r>
        <w:t>Of course, not all variables may be suitable candidates for selection. Data quality, as ever, remains one of the most critical assessments for inclusion. More subtly, variables may need editing in various ways; examples include combining categories of a qualitative variable if individual group sizes are too small or transforming variables to ensure efficient representation of the spread. These edits will result from a thought-driven process and several iterations, influenced by the impact on the downstream analysis, are likely to be needed. One further consideration is the presence of (multi-)collinearity between variables. Where multiple variables are highly co-linear, a greater emphasis is placed on this feature in the resulting cluster analysis. For example, consider the extreme case where two variables are perfectly correlated, then the same feature will have twice as much contribution to the distance measure used for clustering compared to any variable to which it is not correlated. To address this, studies often run a pre-processing step to identify correlated variables (e.g.</w:t>
      </w:r>
      <w:r w:rsidR="0014697F">
        <w:t>,</w:t>
      </w:r>
      <w:r>
        <w:t xml:space="preserve"> via PCA) and to select a subset that are independent. </w:t>
      </w:r>
      <w:r w:rsidR="00CE6DD5">
        <w:t>By providing a framework of weighting variables, we allow users to input all variables (collinear or not) with equal weight, i.e.</w:t>
      </w:r>
      <w:r w:rsidR="007413FB">
        <w:t>,</w:t>
      </w:r>
      <w:r w:rsidR="00CE6DD5">
        <w:t xml:space="preserve"> each of</w:t>
      </w:r>
      <w:r w:rsidR="00CE6DD5">
        <w:t xml:space="preserve"> </w:t>
      </w:r>
      <w:r w:rsidR="00CE6DD5">
        <w:t xml:space="preserve">two collinear variables should be given an individual weight of 0.5. </w:t>
      </w:r>
      <w:r>
        <w:t>Note, a direct replacement of these variables with an orthogonalized version (e.g.</w:t>
      </w:r>
      <w:r w:rsidR="0014697F">
        <w:t>,</w:t>
      </w:r>
      <w:r>
        <w:t xml:space="preserve"> the PC scores) will not address the underlying issue unless the orthogonalized variables are also subsequently standardised.</w:t>
      </w:r>
    </w:p>
    <w:p w14:paraId="620DEFA5" w14:textId="3D3E89E3" w:rsidR="00583238" w:rsidRDefault="00CE6DD5" w:rsidP="00583238">
      <w:pPr>
        <w:spacing w:line="360" w:lineRule="auto"/>
        <w:jc w:val="both"/>
      </w:pPr>
      <w:r>
        <w:t xml:space="preserve">More generally, selection of weights will be driven by </w:t>
      </w:r>
      <w:r>
        <w:rPr>
          <w:i/>
          <w:iCs/>
        </w:rPr>
        <w:t>a priori</w:t>
      </w:r>
      <w:r>
        <w:t xml:space="preserve"> knowledge of what the typologies should represent but as it is a subjective decision, an iterative procedure should be implemented to understand the sensitivity of the resulting typologies. </w:t>
      </w:r>
      <w:r w:rsidR="00583238">
        <w:t>There are many subjective choices in the process to reach a typology definition, some of which will be more clearcut than others. A thorough validation process will give an assessment of the robustness of the resulting typologies to these decisions. Validation will consist of i) investigating how well each variable is represented in the dimension reduction step</w:t>
      </w:r>
      <w:r w:rsidR="00E731E3">
        <w:t>,</w:t>
      </w:r>
      <w:r w:rsidR="00583238">
        <w:t xml:space="preserve"> ii) investigating how robust the cluster groups are defined</w:t>
      </w:r>
      <w:r w:rsidR="00E731E3">
        <w:t>,</w:t>
      </w:r>
      <w:r w:rsidR="00583238">
        <w:t xml:space="preserve"> and iii) what the clusters represent in terms of the original variables.</w:t>
      </w:r>
      <w:r>
        <w:t xml:space="preserve"> </w:t>
      </w:r>
      <w:r>
        <w:rPr>
          <w:i/>
          <w:iCs/>
        </w:rPr>
        <w:t>TypologyGenerator</w:t>
      </w:r>
      <w:r>
        <w:t xml:space="preserve"> allows a user to investigate these features through a visual assessment and it remains an open challenge to provide a more automated quantitative assessment. </w:t>
      </w:r>
    </w:p>
    <w:p w14:paraId="55D690B3" w14:textId="72E79EC4" w:rsidR="003B5ACE" w:rsidRDefault="003B5ACE" w:rsidP="003B5ACE">
      <w:pPr>
        <w:spacing w:line="360" w:lineRule="auto"/>
        <w:jc w:val="both"/>
      </w:pPr>
      <w:r>
        <w:t xml:space="preserve">Creating farm typologies involves a series of both subjective and objective decisions as well as the use of multiple statistical methods (dimension reduction, clustering, and multivariate significance testing). Consequently, typologies may be a somewhat intimidating undertaking for many researchers in agriculture, who are often expert agronomists, ecologists, and/or social scientists (among others). Similarly, to readers of published typology studies who are unfamiliar with the approach, it may be difficult to disentangle the subjective from objective steps when considering the strength and relevance of a study’s findings. To help overcome these challenges, this paper and the associated </w:t>
      </w:r>
      <w:r>
        <w:rPr>
          <w:i/>
        </w:rPr>
        <w:t xml:space="preserve">TypologyGenerator </w:t>
      </w:r>
      <w:r>
        <w:t>lay out a clear framework of the steps involved in typology generation and the possible options at each step, alongside visualisations and diagnostic tools to help researchers validate their decisions. We therefore hope to help researchers both utilise the full potential of the typology method and to report their steps taken and decisions made in a systematic way that ensures robust conclusions.</w:t>
      </w:r>
    </w:p>
    <w:p w14:paraId="3AC2BA8B" w14:textId="49E502A1" w:rsidR="0069246D" w:rsidRPr="002421C3" w:rsidRDefault="00827D40" w:rsidP="003B5ACE">
      <w:pPr>
        <w:spacing w:line="360" w:lineRule="auto"/>
        <w:jc w:val="both"/>
        <w:rPr>
          <w:color w:val="FF0000"/>
        </w:rPr>
      </w:pPr>
      <w:r w:rsidRPr="002421C3">
        <w:rPr>
          <w:color w:val="FF0000"/>
        </w:rPr>
        <w:t xml:space="preserve">Deriving farm typologies remains a highly relevant technique for describing the highly heterogeneous landscape of small-holder farmers in rural sub-Saharan Africa. </w:t>
      </w:r>
      <w:r w:rsidR="0069246D" w:rsidRPr="002421C3">
        <w:rPr>
          <w:color w:val="FF0000"/>
        </w:rPr>
        <w:t>Previous studies have demonstrated that different farm types in the study area (and in other areas in rural sub-Saharan Africa) have different soil fertility management practices, leading to different level of crop productivity (Chikowo et al. 2014).</w:t>
      </w:r>
      <w:r w:rsidR="002421C3">
        <w:rPr>
          <w:color w:val="FF0000"/>
        </w:rPr>
        <w:t xml:space="preserve"> In particular, </w:t>
      </w:r>
      <w:r w:rsidR="002421C3" w:rsidRPr="00DD7802">
        <w:rPr>
          <w:color w:val="FF0000"/>
        </w:rPr>
        <w:t>through the delineation of a farm typology</w:t>
      </w:r>
      <w:r w:rsidR="002421C3">
        <w:rPr>
          <w:color w:val="FF0000"/>
        </w:rPr>
        <w:t xml:space="preserve"> we are able</w:t>
      </w:r>
      <w:r w:rsidR="002421C3" w:rsidRPr="00DD7802">
        <w:rPr>
          <w:color w:val="FF0000"/>
        </w:rPr>
        <w:t xml:space="preserve"> to target interventions (different farm types being characterized by different resources, constraints and opportunities, potentially affecting their adoption of technologies) and to scale technologies (i.e., to understand how representative a particular farm is of the larger farm population)</w:t>
      </w:r>
      <w:r w:rsidR="002421C3">
        <w:rPr>
          <w:color w:val="FF0000"/>
        </w:rPr>
        <w:t>.</w:t>
      </w:r>
    </w:p>
    <w:p w14:paraId="1F6A9F86" w14:textId="0CCF3C2C" w:rsidR="00F07F04" w:rsidRDefault="00F07F04" w:rsidP="00111045">
      <w:pPr>
        <w:spacing w:line="360" w:lineRule="auto"/>
        <w:jc w:val="both"/>
        <w:rPr>
          <w:b/>
          <w:bCs/>
        </w:rPr>
      </w:pPr>
      <w:r w:rsidRPr="00F07F04">
        <w:rPr>
          <w:b/>
          <w:bCs/>
        </w:rPr>
        <w:t>Conclusion</w:t>
      </w:r>
    </w:p>
    <w:p w14:paraId="56E4A937" w14:textId="0D00CFC1" w:rsidR="00162CF0" w:rsidRDefault="00162CF0" w:rsidP="00111045">
      <w:pPr>
        <w:spacing w:line="360" w:lineRule="auto"/>
        <w:jc w:val="both"/>
        <w:rPr>
          <w:color w:val="FF0000"/>
        </w:rPr>
      </w:pPr>
      <w:r w:rsidRPr="00162CF0">
        <w:rPr>
          <w:color w:val="FF0000"/>
        </w:rPr>
        <w:t xml:space="preserve">This paper has described a unified framework for constructing typologies and provided an open-source software application that implements this framework. </w:t>
      </w:r>
      <w:r>
        <w:rPr>
          <w:color w:val="FF0000"/>
        </w:rPr>
        <w:t>By doing so, we provide the research community with a</w:t>
      </w:r>
      <w:r w:rsidR="00FC674D">
        <w:rPr>
          <w:color w:val="FF0000"/>
        </w:rPr>
        <w:t>n</w:t>
      </w:r>
      <w:r>
        <w:rPr>
          <w:color w:val="FF0000"/>
        </w:rPr>
        <w:t xml:space="preserve"> easily accessible route to develop typologies, emphasising the need for an iterative approach investigating the impact of individual methodologies, e.g. to include a dimension reduction step or not. We have demonstrated how the </w:t>
      </w:r>
      <w:r>
        <w:t xml:space="preserve">myriad of options available in the steps of constructing farm typologies can have great influence on the resulting groups </w:t>
      </w:r>
      <w:r w:rsidRPr="00162CF0">
        <w:rPr>
          <w:color w:val="FF0000"/>
        </w:rPr>
        <w:t xml:space="preserve">through the use of statistical summaries describing the </w:t>
      </w:r>
      <w:r>
        <w:rPr>
          <w:color w:val="FF0000"/>
        </w:rPr>
        <w:t xml:space="preserve">separation of clusters. </w:t>
      </w:r>
    </w:p>
    <w:p w14:paraId="24E4D428" w14:textId="2B3E77FB" w:rsidR="00BB117A" w:rsidRPr="00BB117A" w:rsidRDefault="00C24F2B" w:rsidP="00111045">
      <w:pPr>
        <w:spacing w:line="360" w:lineRule="auto"/>
        <w:jc w:val="both"/>
        <w:rPr>
          <w:color w:val="FF0000"/>
        </w:rPr>
      </w:pPr>
      <w:r>
        <w:t>Defining a small number of distinct farm typologies can be very efficient for capturing the main sources of diversity between different farming systems</w:t>
      </w:r>
      <w:r w:rsidR="00BB117A">
        <w:t xml:space="preserve"> </w:t>
      </w:r>
      <w:r w:rsidR="00BB117A" w:rsidRPr="00BB117A">
        <w:rPr>
          <w:color w:val="FF0000"/>
        </w:rPr>
        <w:t xml:space="preserve">and we have applied our methods to defining a </w:t>
      </w:r>
      <w:r w:rsidR="00FC674D">
        <w:rPr>
          <w:color w:val="FF0000"/>
        </w:rPr>
        <w:t xml:space="preserve">four-group </w:t>
      </w:r>
      <w:r w:rsidR="00BB117A" w:rsidRPr="00BB117A">
        <w:rPr>
          <w:color w:val="FF0000"/>
        </w:rPr>
        <w:t xml:space="preserve">typology over 306 households in Murehwa district of Zimbabwe. </w:t>
      </w:r>
      <w:r w:rsidR="00FC674D">
        <w:rPr>
          <w:color w:val="FF0000"/>
        </w:rPr>
        <w:t>The four groups provide a nuanced separation based primarily on resource endowment but with additional emphasis on gender</w:t>
      </w:r>
      <w:r w:rsidR="002421C3">
        <w:rPr>
          <w:color w:val="FF0000"/>
        </w:rPr>
        <w:t>, diet and agronomy</w:t>
      </w:r>
      <w:r w:rsidR="00FC674D">
        <w:rPr>
          <w:color w:val="FF0000"/>
        </w:rPr>
        <w:t xml:space="preserve">. </w:t>
      </w:r>
      <w:r w:rsidR="00BB117A">
        <w:rPr>
          <w:color w:val="FF0000"/>
        </w:rPr>
        <w:t xml:space="preserve">This typology </w:t>
      </w:r>
      <w:r w:rsidR="00FC674D">
        <w:rPr>
          <w:color w:val="FF0000"/>
        </w:rPr>
        <w:t xml:space="preserve">has </w:t>
      </w:r>
      <w:r w:rsidR="00BB117A">
        <w:rPr>
          <w:color w:val="FF0000"/>
        </w:rPr>
        <w:t>formed the basis of a stratified random sampling scheme that was utilised in a subsequent on-farm study of maize variety performance</w:t>
      </w:r>
      <w:r w:rsidR="002421C3">
        <w:rPr>
          <w:color w:val="FF0000"/>
        </w:rPr>
        <w:t>, t</w:t>
      </w:r>
      <w:r w:rsidR="00BB117A">
        <w:rPr>
          <w:color w:val="FF0000"/>
        </w:rPr>
        <w:t xml:space="preserve">he results of </w:t>
      </w:r>
      <w:r w:rsidR="002421C3">
        <w:rPr>
          <w:color w:val="FF0000"/>
        </w:rPr>
        <w:t>which</w:t>
      </w:r>
      <w:r w:rsidR="00BB117A">
        <w:rPr>
          <w:color w:val="FF0000"/>
        </w:rPr>
        <w:t xml:space="preserve"> will be presented in a subsequent manuscript. </w:t>
      </w:r>
    </w:p>
    <w:p w14:paraId="53F1DCB2" w14:textId="6A7756A2" w:rsidR="00E2355C" w:rsidRPr="00C24F2B" w:rsidRDefault="00B6639F" w:rsidP="002F7CB7">
      <w:pPr>
        <w:rPr>
          <w:rFonts w:ascii="Calibri" w:eastAsia="Calibri" w:hAnsi="Calibri" w:cs="Calibri"/>
          <w:b/>
          <w:bCs/>
        </w:rPr>
      </w:pPr>
      <w:r w:rsidRPr="00C24F2B">
        <w:rPr>
          <w:rFonts w:ascii="Calibri" w:eastAsia="Calibri" w:hAnsi="Calibri" w:cs="Calibri"/>
          <w:b/>
          <w:bCs/>
        </w:rPr>
        <w:t>Software and/or data availability section</w:t>
      </w:r>
    </w:p>
    <w:p w14:paraId="7F437038" w14:textId="38205018" w:rsidR="00B6639F" w:rsidRDefault="008D5E87" w:rsidP="008D5E87">
      <w:pPr>
        <w:jc w:val="both"/>
      </w:pPr>
      <w:r>
        <w:t xml:space="preserve">All methods described in this paper have been incorporated into an open source software </w:t>
      </w:r>
      <w:r>
        <w:rPr>
          <w:i/>
          <w:iCs/>
        </w:rPr>
        <w:t>TypologyGenerator</w:t>
      </w:r>
      <w:r>
        <w:t xml:space="preserve">, freely available at </w:t>
      </w:r>
      <w:hyperlink r:id="rId32" w:history="1">
        <w:r w:rsidR="00EF37E4" w:rsidRPr="00F60669">
          <w:rPr>
            <w:rStyle w:val="Hyperlink"/>
          </w:rPr>
          <w:t>https://github.com/KirstyLHassall/TypologyGenerator</w:t>
        </w:r>
      </w:hyperlink>
      <w:r w:rsidR="00EF37E4">
        <w:t xml:space="preserve"> with DOI </w:t>
      </w:r>
      <w:r w:rsidR="00EF37E4" w:rsidRPr="00EF37E4">
        <w:t>10.5281/zenodo.7727862.</w:t>
      </w:r>
      <w:r w:rsidR="00EF37E4">
        <w:t xml:space="preserve"> Alternatively, the users can access the app directly at </w:t>
      </w:r>
      <w:hyperlink r:id="rId33" w:history="1">
        <w:r w:rsidR="00EF37E4" w:rsidRPr="00F60669">
          <w:rPr>
            <w:rStyle w:val="Hyperlink"/>
          </w:rPr>
          <w:t>https://kirstylhassall.shinyapps.io/TypologyGenerator/</w:t>
        </w:r>
      </w:hyperlink>
      <w:r w:rsidR="00EF37E4">
        <w:t xml:space="preserve"> </w:t>
      </w:r>
    </w:p>
    <w:p w14:paraId="4AAD8ABA" w14:textId="1F1FDE47" w:rsidR="00EF37E4" w:rsidRDefault="00EF37E4" w:rsidP="008D5E87">
      <w:pPr>
        <w:jc w:val="both"/>
        <w:rPr>
          <w:color w:val="FF0000"/>
        </w:rPr>
      </w:pPr>
      <w:r>
        <w:t>The Murehwa case study data is available to download from the GitHub repository under the file TP.csv</w:t>
      </w:r>
    </w:p>
    <w:p w14:paraId="3B590D5E" w14:textId="77777777" w:rsidR="00E2355C" w:rsidRPr="002F7CB7" w:rsidRDefault="00E2355C" w:rsidP="002F7CB7">
      <w:pPr>
        <w:rPr>
          <w:rFonts w:ascii="Calibri" w:eastAsia="Calibri" w:hAnsi="Calibri" w:cs="Calibri"/>
          <w:b/>
          <w:bCs/>
        </w:rPr>
      </w:pPr>
      <w:r w:rsidRPr="002F7CB7">
        <w:rPr>
          <w:rFonts w:ascii="Calibri" w:eastAsia="Calibri" w:hAnsi="Calibri" w:cs="Calibri"/>
          <w:b/>
          <w:bCs/>
        </w:rPr>
        <w:t>Declaration of conflicting interests</w:t>
      </w:r>
    </w:p>
    <w:p w14:paraId="626290C9" w14:textId="0E128C6C" w:rsidR="00E2355C" w:rsidRDefault="00E2355C" w:rsidP="00E2355C">
      <w:pPr>
        <w:spacing w:after="0" w:line="276" w:lineRule="auto"/>
        <w:jc w:val="both"/>
        <w:rPr>
          <w:rFonts w:ascii="Calibri" w:eastAsia="Calibri" w:hAnsi="Calibri" w:cs="Times New Roman"/>
          <w:lang w:val="en-ZW"/>
        </w:rPr>
      </w:pPr>
      <w:r w:rsidRPr="00E2355C">
        <w:rPr>
          <w:rFonts w:ascii="Calibri" w:eastAsia="Calibri" w:hAnsi="Calibri" w:cs="Times New Roman"/>
          <w:lang w:val="en-ZW"/>
        </w:rPr>
        <w:t>All authors declare that they have no known competing financial interests or personal relationships that could have appeared to influence the work reported in this paper.</w:t>
      </w:r>
    </w:p>
    <w:p w14:paraId="78A1C5E6" w14:textId="77777777" w:rsidR="0035589A" w:rsidRDefault="0035589A" w:rsidP="00E2355C">
      <w:pPr>
        <w:spacing w:after="0" w:line="276" w:lineRule="auto"/>
        <w:jc w:val="both"/>
        <w:rPr>
          <w:rFonts w:ascii="Calibri" w:eastAsia="Calibri" w:hAnsi="Calibri" w:cs="Times New Roman"/>
          <w:lang w:val="en-ZW"/>
        </w:rPr>
      </w:pPr>
    </w:p>
    <w:p w14:paraId="6ACFAA6E" w14:textId="77777777" w:rsidR="0035589A" w:rsidRDefault="0035589A" w:rsidP="0035589A">
      <w:pPr>
        <w:rPr>
          <w:b/>
          <w:bCs/>
        </w:rPr>
      </w:pPr>
      <w:r w:rsidRPr="0035589A">
        <w:rPr>
          <w:b/>
          <w:bCs/>
        </w:rPr>
        <w:t>Ethical compliance</w:t>
      </w:r>
    </w:p>
    <w:p w14:paraId="62F92DC6" w14:textId="570144BF" w:rsidR="0035589A" w:rsidRDefault="0035589A" w:rsidP="0035589A">
      <w:r>
        <w:t>We compiled with all relevant ethical regulations regarding human research participants. The survey was approved by the ethics committee of the International Maize and Wheat Improvement Center (CIMMYT). Informed consent was obtained from all farmer participants.</w:t>
      </w:r>
    </w:p>
    <w:p w14:paraId="4EF969D5" w14:textId="77777777" w:rsidR="00E2355C" w:rsidRPr="002F7CB7" w:rsidRDefault="00E2355C" w:rsidP="002F7CB7">
      <w:pPr>
        <w:rPr>
          <w:b/>
          <w:bCs/>
        </w:rPr>
      </w:pPr>
      <w:r w:rsidRPr="002F7CB7">
        <w:rPr>
          <w:b/>
          <w:bCs/>
        </w:rPr>
        <w:t>Funding</w:t>
      </w:r>
    </w:p>
    <w:p w14:paraId="515DFF32" w14:textId="7246686E" w:rsidR="00E2355C" w:rsidRPr="00E2355C" w:rsidRDefault="00E2355C" w:rsidP="00E2355C">
      <w:pPr>
        <w:spacing w:after="0" w:line="276" w:lineRule="auto"/>
        <w:jc w:val="both"/>
        <w:rPr>
          <w:rFonts w:ascii="Calibri" w:eastAsia="Calibri" w:hAnsi="Calibri" w:cs="Times New Roman"/>
          <w:lang w:val="en-ZW"/>
        </w:rPr>
      </w:pPr>
      <w:r w:rsidRPr="00E2355C">
        <w:rPr>
          <w:rFonts w:ascii="Calibri" w:eastAsia="Calibri" w:hAnsi="Calibri" w:cs="Times New Roman"/>
          <w:lang w:val="en-ZW"/>
        </w:rPr>
        <w:t xml:space="preserve">This study was supported through the UK Global Challenges Research Fund administered by the Biotechnology and Biological Sciences Research Council for the project </w:t>
      </w:r>
      <w:r w:rsidR="0075398B">
        <w:rPr>
          <w:rFonts w:ascii="Calibri" w:eastAsia="Calibri" w:hAnsi="Calibri" w:cs="Times New Roman"/>
          <w:lang w:val="en-ZW"/>
        </w:rPr>
        <w:t>“</w:t>
      </w:r>
      <w:r w:rsidRPr="00E2355C">
        <w:rPr>
          <w:rFonts w:ascii="Calibri" w:eastAsia="Calibri" w:hAnsi="Calibri" w:cs="Times New Roman"/>
          <w:lang w:val="en-ZW"/>
        </w:rPr>
        <w:t>Addressing malnutrition with biofortified maize in Zimbabwe: from crop management to policy and consumers (</w:t>
      </w:r>
      <w:r w:rsidRPr="00E2355C">
        <w:rPr>
          <w:rFonts w:ascii="Calibri" w:eastAsia="Calibri" w:hAnsi="Calibri" w:cs="Calibri"/>
          <w:bCs/>
          <w:color w:val="222222"/>
          <w:spacing w:val="4"/>
          <w:shd w:val="clear" w:color="auto" w:fill="FFFFFF"/>
          <w:lang w:val="en-US"/>
        </w:rPr>
        <w:t>IATI Identifier: GB-GOV-13-FUND--GCRF-BB_T009047_1</w:t>
      </w:r>
      <w:r w:rsidRPr="00E2355C">
        <w:rPr>
          <w:rFonts w:ascii="Calibri" w:eastAsia="Calibri" w:hAnsi="Calibri" w:cs="Times New Roman"/>
          <w:lang w:val="en-ZW"/>
        </w:rPr>
        <w:t>)</w:t>
      </w:r>
      <w:r w:rsidR="0075398B">
        <w:rPr>
          <w:rFonts w:ascii="Calibri" w:eastAsia="Calibri" w:hAnsi="Calibri" w:cs="Times New Roman"/>
          <w:lang w:val="en-ZW"/>
        </w:rPr>
        <w:t>”</w:t>
      </w:r>
      <w:r w:rsidRPr="00E2355C">
        <w:rPr>
          <w:rFonts w:ascii="Calibri" w:eastAsia="Calibri" w:hAnsi="Calibri" w:cs="Times New Roman"/>
          <w:lang w:val="en-ZW"/>
        </w:rPr>
        <w:t xml:space="preserve">. </w:t>
      </w:r>
    </w:p>
    <w:p w14:paraId="386B6E9F" w14:textId="0C7FA747" w:rsidR="00970727" w:rsidRDefault="00970727" w:rsidP="00111045">
      <w:pPr>
        <w:spacing w:line="360" w:lineRule="auto"/>
        <w:jc w:val="both"/>
        <w:rPr>
          <w:b/>
          <w:bCs/>
        </w:rPr>
      </w:pPr>
    </w:p>
    <w:p w14:paraId="1840F648" w14:textId="056639EA" w:rsidR="00970727" w:rsidRDefault="00970727" w:rsidP="00111045">
      <w:pPr>
        <w:spacing w:line="360" w:lineRule="auto"/>
        <w:jc w:val="both"/>
        <w:rPr>
          <w:b/>
          <w:bCs/>
        </w:rPr>
      </w:pPr>
      <w:r>
        <w:rPr>
          <w:b/>
          <w:bCs/>
        </w:rPr>
        <w:t>References</w:t>
      </w:r>
    </w:p>
    <w:p w14:paraId="7E97D326" w14:textId="70F4A04B" w:rsidR="00D03092" w:rsidRDefault="00D03092" w:rsidP="00D03092">
      <w:pPr>
        <w:spacing w:line="240" w:lineRule="auto"/>
        <w:jc w:val="both"/>
      </w:pPr>
      <w:r>
        <w:t>Alvarez, S., Paas, W., Descheemaeker, K., Tittonell, P., &amp; Groot, J. (2014). Typology construction, a way of dealing with farm diversity. Report for the CGIAR Research Program on Integrated Systems for the Humid Tropics., Plant Science (December), 1–37.</w:t>
      </w:r>
    </w:p>
    <w:p w14:paraId="218C55A3" w14:textId="31D64872" w:rsidR="00D03092" w:rsidRDefault="00D03092" w:rsidP="00D03092">
      <w:pPr>
        <w:spacing w:line="240" w:lineRule="auto"/>
        <w:jc w:val="both"/>
      </w:pPr>
      <w:r>
        <w:t>Alvarez, S., Timler, C. J., Michalscheck, M., Paas, W., Descheemaeker, K., Tittonell, P., Groot, J. C. J. (2018). Capturing farm diversity with hypothesis-based typologies: An innovative methodological framework for farming system typology development. PLoS ONE, 13(5), 1–24. https://doi.org/10.1371/journal.pone.0194757</w:t>
      </w:r>
    </w:p>
    <w:p w14:paraId="1FBE195F" w14:textId="4BDFD209" w:rsidR="00D03092" w:rsidRDefault="00D03092" w:rsidP="00D03092">
      <w:pPr>
        <w:spacing w:line="240" w:lineRule="auto"/>
        <w:jc w:val="both"/>
      </w:pPr>
      <w:r>
        <w:t xml:space="preserve">Anderson, M.J. </w:t>
      </w:r>
      <w:r w:rsidR="007E05AB">
        <w:t>(</w:t>
      </w:r>
      <w:r>
        <w:t>2001</w:t>
      </w:r>
      <w:r w:rsidR="007E05AB">
        <w:t>)</w:t>
      </w:r>
      <w:r>
        <w:t xml:space="preserve">. A new method for non-parametric multivariate analysis of variance. Austral Ecology, 26: 32–46. </w:t>
      </w:r>
      <w:r w:rsidRPr="00D03092">
        <w:t>https://doi.org/10.1111/j.1442-9993.2001.01070.pp.x</w:t>
      </w:r>
    </w:p>
    <w:p w14:paraId="291A1344" w14:textId="74888A6F" w:rsidR="003F1E7A" w:rsidRDefault="003F1E7A" w:rsidP="00D03092">
      <w:pPr>
        <w:spacing w:line="240" w:lineRule="auto"/>
        <w:jc w:val="both"/>
      </w:pPr>
      <w:r w:rsidRPr="003F1E7A">
        <w:t xml:space="preserve">Berre, David, Frédéric Baudron, Menale Kassie, Peter Craufurd, And Santiago Lopez-Ridaura </w:t>
      </w:r>
      <w:r w:rsidR="006110EF">
        <w:t>(</w:t>
      </w:r>
      <w:r w:rsidRPr="003F1E7A">
        <w:t>2019</w:t>
      </w:r>
      <w:r w:rsidR="006110EF">
        <w:t>)</w:t>
      </w:r>
      <w:r w:rsidR="007E05AB">
        <w:t>.</w:t>
      </w:r>
      <w:r w:rsidRPr="003F1E7A">
        <w:t xml:space="preserve"> </w:t>
      </w:r>
      <w:r>
        <w:t>D</w:t>
      </w:r>
      <w:r w:rsidRPr="003F1E7A">
        <w:t xml:space="preserve">ifferent ways to cut a cake: comparing expert-based and statistical typologies to target sustainable intensification technologies, a case-study in southern </w:t>
      </w:r>
      <w:r>
        <w:t>E</w:t>
      </w:r>
      <w:r w:rsidRPr="003F1E7A">
        <w:t>thiopia. Experimental Agriculture 55 (S1). Cambridge University Press: 191–207. doi:10.1017/S0014479716000727.</w:t>
      </w:r>
    </w:p>
    <w:p w14:paraId="5AE00C1B" w14:textId="77777777" w:rsidR="00D03092" w:rsidRDefault="00D03092" w:rsidP="00D03092">
      <w:pPr>
        <w:spacing w:line="240" w:lineRule="auto"/>
        <w:jc w:val="both"/>
      </w:pPr>
      <w:r>
        <w:t>Blazy, J. M., Ozier-Lafontaine, H., Doré, T., Thomas, A., &amp; Wery, J. (2009). A methodological framework that accounts for farm diversity in the prototyping of crop management systems. Application to banana-based systems in Guadeloupe. Agricultural Systems, 101(1–2), 30–41. https://doi.org/10.1016/j.agsy.2009.02.004</w:t>
      </w:r>
    </w:p>
    <w:p w14:paraId="603D434B" w14:textId="5C41FD78" w:rsidR="00D03092" w:rsidRDefault="00D03092" w:rsidP="00D03092">
      <w:pPr>
        <w:spacing w:line="240" w:lineRule="auto"/>
        <w:jc w:val="both"/>
      </w:pPr>
      <w:r>
        <w:t>Cairns, Jill; Baudron, Frédéric; Hassall, Kirsty; Ndhlela, Thokozile; Nyagumbo, Isaiah; McGrath, Steve; Haefele, Stephan (2021)</w:t>
      </w:r>
      <w:r w:rsidR="007E05AB">
        <w:t>.</w:t>
      </w:r>
      <w:r>
        <w:t xml:space="preserve"> Revisiting strategies to incorporate gender intentionality into maize breeding in southern Africa. Outlook on Agriculture. </w:t>
      </w:r>
      <w:hyperlink r:id="rId34" w:history="1">
        <w:r w:rsidR="00827D40" w:rsidRPr="0023520A">
          <w:rPr>
            <w:rStyle w:val="Hyperlink"/>
          </w:rPr>
          <w:t>https://doi.org/10.1177/00307270211045410</w:t>
        </w:r>
      </w:hyperlink>
    </w:p>
    <w:p w14:paraId="5C447886" w14:textId="795D5395" w:rsidR="00827D40" w:rsidRDefault="00827D40" w:rsidP="00D03092">
      <w:pPr>
        <w:spacing w:line="240" w:lineRule="auto"/>
        <w:jc w:val="both"/>
      </w:pPr>
      <w:r w:rsidRPr="00827D40">
        <w:t>Chikowo, R., Zingore, S., Snapp, S. et al. Farm typologies, soil fertility variability and nutrient management in smallholder farming in Sub-Saharan Africa. Nutr Cycl Agroecosyst 100, 1–18 (2014). https://doi.org/10.1007/s10705-014-9632-y</w:t>
      </w:r>
    </w:p>
    <w:p w14:paraId="294B8C22" w14:textId="58174D8B" w:rsidR="00D03092" w:rsidRDefault="00D03092" w:rsidP="00D03092">
      <w:pPr>
        <w:spacing w:line="240" w:lineRule="auto"/>
        <w:jc w:val="both"/>
      </w:pPr>
      <w:r>
        <w:t xml:space="preserve">Giller, K. E., Tittonell, P., Rufino, M. C., van Wijk, M. T., Zingore, S., Mapfumo, P., </w:t>
      </w:r>
      <w:r w:rsidR="007F48F4" w:rsidRPr="007F48F4">
        <w:t>Adjei-Nsiah, S.</w:t>
      </w:r>
      <w:r w:rsidR="007F48F4">
        <w:t xml:space="preserve">, </w:t>
      </w:r>
      <w:r w:rsidR="007F48F4" w:rsidRPr="007F48F4">
        <w:t>Herrero, M.</w:t>
      </w:r>
      <w:r w:rsidR="007F48F4">
        <w:t xml:space="preserve">, </w:t>
      </w:r>
      <w:r w:rsidR="007F48F4" w:rsidRPr="007F48F4">
        <w:t>Chikowo, R.</w:t>
      </w:r>
      <w:r w:rsidR="007F48F4">
        <w:t>,</w:t>
      </w:r>
      <w:r w:rsidR="007F48F4" w:rsidRPr="007F48F4">
        <w:t xml:space="preserve"> Corbeels</w:t>
      </w:r>
      <w:r w:rsidR="007F48F4">
        <w:t xml:space="preserve">, </w:t>
      </w:r>
      <w:r w:rsidR="007F48F4" w:rsidRPr="007F48F4">
        <w:t>M., Rowe</w:t>
      </w:r>
      <w:r w:rsidR="007F48F4">
        <w:t xml:space="preserve">, </w:t>
      </w:r>
      <w:r w:rsidR="007F48F4" w:rsidRPr="007F48F4">
        <w:t>E.C., Baijukya</w:t>
      </w:r>
      <w:r w:rsidR="007F48F4">
        <w:t xml:space="preserve">, </w:t>
      </w:r>
      <w:r w:rsidR="007F48F4" w:rsidRPr="007F48F4">
        <w:t>F., Mwijage</w:t>
      </w:r>
      <w:r w:rsidR="007F48F4">
        <w:t xml:space="preserve">, </w:t>
      </w:r>
      <w:r w:rsidR="007F48F4" w:rsidRPr="007F48F4">
        <w:t>A., Smith</w:t>
      </w:r>
      <w:r w:rsidR="007F48F4">
        <w:t xml:space="preserve">, </w:t>
      </w:r>
      <w:r w:rsidR="007F48F4" w:rsidRPr="007F48F4">
        <w:t>J., Yeboah</w:t>
      </w:r>
      <w:r w:rsidR="007F48F4">
        <w:t xml:space="preserve">, </w:t>
      </w:r>
      <w:r w:rsidR="007F48F4" w:rsidRPr="007F48F4">
        <w:t>E., van der Burg</w:t>
      </w:r>
      <w:r w:rsidR="007F48F4">
        <w:t xml:space="preserve">, </w:t>
      </w:r>
      <w:r w:rsidR="007F48F4" w:rsidRPr="007F48F4">
        <w:t>W.J., Sanogo</w:t>
      </w:r>
      <w:r w:rsidR="007F48F4">
        <w:t xml:space="preserve">, </w:t>
      </w:r>
      <w:r w:rsidR="007F48F4" w:rsidRPr="007F48F4">
        <w:t>O.M., Misiko</w:t>
      </w:r>
      <w:r w:rsidR="007F48F4">
        <w:t xml:space="preserve">, </w:t>
      </w:r>
      <w:r w:rsidR="007F48F4" w:rsidRPr="007F48F4">
        <w:t>M., de Ridder</w:t>
      </w:r>
      <w:r w:rsidR="007F48F4">
        <w:t xml:space="preserve">, </w:t>
      </w:r>
      <w:r w:rsidR="007F48F4" w:rsidRPr="007F48F4">
        <w:t>N., Karanja</w:t>
      </w:r>
      <w:r w:rsidR="007F48F4">
        <w:t xml:space="preserve">, </w:t>
      </w:r>
      <w:r w:rsidR="007F48F4" w:rsidRPr="007F48F4">
        <w:t>S., Kaizzi</w:t>
      </w:r>
      <w:r w:rsidR="007F48F4">
        <w:t xml:space="preserve">, </w:t>
      </w:r>
      <w:r w:rsidR="007F48F4" w:rsidRPr="007F48F4">
        <w:t>C., K’ungu</w:t>
      </w:r>
      <w:r w:rsidR="007F48F4">
        <w:t xml:space="preserve">, </w:t>
      </w:r>
      <w:r w:rsidR="007F48F4" w:rsidRPr="007F48F4">
        <w:t>J., Mwale</w:t>
      </w:r>
      <w:r w:rsidR="007F48F4">
        <w:t xml:space="preserve">, </w:t>
      </w:r>
      <w:r w:rsidR="007F48F4" w:rsidRPr="007F48F4">
        <w:t>M., Nwaga</w:t>
      </w:r>
      <w:r w:rsidR="007F48F4">
        <w:t xml:space="preserve">, </w:t>
      </w:r>
      <w:r w:rsidR="007F48F4" w:rsidRPr="007F48F4">
        <w:t>D., Pacini</w:t>
      </w:r>
      <w:r w:rsidR="007F48F4">
        <w:t xml:space="preserve">, </w:t>
      </w:r>
      <w:r w:rsidR="007F48F4" w:rsidRPr="007F48F4">
        <w:t>C.</w:t>
      </w:r>
      <w:r w:rsidR="007F48F4">
        <w:t>,</w:t>
      </w:r>
      <w:r>
        <w:t xml:space="preserve"> Vanlauwe, B. (2011). Communicating complexity: Integrated assessment of trade-offs concerning soil fertility management within African farming systems to support innovation and development. Agricultural Systems, 104(2), 191–203. https://doi.org/10.1016/j.agsy.2010.07.002</w:t>
      </w:r>
    </w:p>
    <w:p w14:paraId="524BBFCE" w14:textId="7D985072" w:rsidR="00D03092" w:rsidRDefault="00D03092" w:rsidP="00D03092">
      <w:pPr>
        <w:spacing w:line="240" w:lineRule="auto"/>
        <w:jc w:val="both"/>
      </w:pPr>
      <w:r>
        <w:t xml:space="preserve">Hammond, J., Rosenblum, N., Breseman, D., Gorman, L., Manners, R., van Wijk, M. T., </w:t>
      </w:r>
      <w:r w:rsidR="00752CDA" w:rsidRPr="00752CDA">
        <w:t>Sibomana</w:t>
      </w:r>
      <w:r w:rsidR="00752CDA">
        <w:t>, M.</w:t>
      </w:r>
      <w:r w:rsidR="00752CDA" w:rsidRPr="00752CDA">
        <w:t>, Remans</w:t>
      </w:r>
      <w:r w:rsidR="00752CDA">
        <w:t>, R.</w:t>
      </w:r>
      <w:r w:rsidR="00752CDA" w:rsidRPr="00752CDA">
        <w:t>, Vanlauwe</w:t>
      </w:r>
      <w:r w:rsidR="00752CDA">
        <w:t xml:space="preserve">, B., </w:t>
      </w:r>
      <w:r>
        <w:t>Schut, M. (2020). Towards actionable farm typologies: Scaling adoption of agricultural inputs in Rwanda. Agricultural Systems, 183(November 2019), 102857. https://doi.org/10.1016/j.agsy.2020.102857</w:t>
      </w:r>
    </w:p>
    <w:p w14:paraId="762FC2C5" w14:textId="70E70DAE" w:rsidR="00EF37E4" w:rsidRDefault="00EF37E4" w:rsidP="00D03092">
      <w:pPr>
        <w:spacing w:line="240" w:lineRule="auto"/>
        <w:jc w:val="both"/>
      </w:pPr>
      <w:r>
        <w:t>Hassall, K</w:t>
      </w:r>
      <w:r w:rsidR="00082A06">
        <w:t>.</w:t>
      </w:r>
      <w:r>
        <w:t xml:space="preserve"> L. (2023) TypologyGenerator https://doi.org/</w:t>
      </w:r>
      <w:r w:rsidRPr="00EF37E4">
        <w:t>10.5281/zenodo.7727862</w:t>
      </w:r>
      <w:r>
        <w:t xml:space="preserve"> </w:t>
      </w:r>
    </w:p>
    <w:p w14:paraId="3F0A184E" w14:textId="04A60952" w:rsidR="00D03092" w:rsidRDefault="00D03092" w:rsidP="00D03092">
      <w:pPr>
        <w:spacing w:line="240" w:lineRule="auto"/>
        <w:jc w:val="both"/>
      </w:pPr>
      <w:r>
        <w:t>Jari Oksanen, Gavin L. Simpson, F. Guillaume Blanchet, Roeland Kindt, Pierre   Legendre, Peter R. Minchin, R.B. O'Hara, Peter Solymos, M. Henry H. Stevens,  Eduard Szoecs, Helene Wagner, Matt Barbour, Michael Bedward, Ben Bolker, Daniel  Borcard, Gustavo Carvalho, Michael Chirico, Miquel De Caceres, Sebastien Durand,  Heloisa Beatriz Antoniazi Evangelista, Rich FitzJohn, Michael Friendly, Brendan  Furneaux, Geoffrey Hannigan, Mark O. Hill, Leo Lahti, Dan McGlinn, Marie-Helene  Ouellette, Eduardo Ribeiro Cunha, Tyler Smith, Adrian Stier, Cajo J.F. Ter Braak  and James Weedon (2022). vegan: Community Ecology Package. R package version 2.6-4. https://CRAN.R-project.org/package=vegan</w:t>
      </w:r>
    </w:p>
    <w:p w14:paraId="2865D6C4" w14:textId="77777777" w:rsidR="00E1609D" w:rsidRDefault="00D03092" w:rsidP="00E1609D">
      <w:pPr>
        <w:spacing w:line="240" w:lineRule="auto"/>
        <w:jc w:val="both"/>
      </w:pPr>
      <w:r>
        <w:t>Kansiime, M. K., van Asten, P., &amp; Sneyers, K. (2018). Farm diversity and resource use efficiency: Targeting agricultural policy interventions in East Africa farming systems. NJAS - Wageningen Journal of Life Sciences, 85, 32–41. https://doi.org/10.1016/j.njas.2017.12.001</w:t>
      </w:r>
      <w:r w:rsidR="00E1609D" w:rsidRPr="00E1609D">
        <w:t xml:space="preserve"> </w:t>
      </w:r>
    </w:p>
    <w:p w14:paraId="27DB3D3C" w14:textId="441B9B0A" w:rsidR="00E1609D" w:rsidRDefault="00E1609D" w:rsidP="00E1609D">
      <w:pPr>
        <w:spacing w:line="240" w:lineRule="auto"/>
        <w:jc w:val="both"/>
      </w:pPr>
      <w:r>
        <w:t xml:space="preserve">Kansiime, M. K., Girling, R. D., Mugambi, I., Mulema, J., Oduor, G., Chacha, D., </w:t>
      </w:r>
      <w:r w:rsidR="007F48F4" w:rsidRPr="007F48F4">
        <w:t xml:space="preserve">Ouvrard, </w:t>
      </w:r>
      <w:r w:rsidR="007F48F4">
        <w:t xml:space="preserve">D., </w:t>
      </w:r>
      <w:r w:rsidR="007F48F4" w:rsidRPr="007F48F4">
        <w:t>Kinuthia</w:t>
      </w:r>
      <w:r w:rsidR="007F48F4">
        <w:t>, W.,</w:t>
      </w:r>
      <w:r>
        <w:t xml:space="preserve"> Garratt, M. P. D. (2021). Rural livelihood diversity and its influence on the ecological intensification potential of smallholder farms in Kenya. Food and Energy Security, 10(1), 1–13. https://doi.org/10.1002/fes3.254</w:t>
      </w:r>
    </w:p>
    <w:p w14:paraId="4E2BD4DB" w14:textId="77777777" w:rsidR="00D03092" w:rsidRDefault="00D03092" w:rsidP="00D03092">
      <w:pPr>
        <w:spacing w:line="240" w:lineRule="auto"/>
        <w:jc w:val="both"/>
      </w:pPr>
      <w:r>
        <w:t>Kuivanen, K. S., Alvarez, S., Michalscheck, M., Adjei-Nsiah, S., Descheemaeker, K., Mellon-Bedi, S., &amp; Groot, J. C. J. (2016). Characterising the diversity of smallholder farming systems and their constraints and opportunities for innovation: A case study from the Northern Region, Ghana. NJAS - Wageningen Journal of Life Sciences, 78, 153–166. https://doi.org/10.1016/j.njas.2016.04.003</w:t>
      </w:r>
    </w:p>
    <w:p w14:paraId="0291B1F3" w14:textId="77777777" w:rsidR="00D03092" w:rsidRDefault="00D03092" w:rsidP="00D03092">
      <w:pPr>
        <w:spacing w:line="240" w:lineRule="auto"/>
        <w:jc w:val="both"/>
      </w:pPr>
      <w:r>
        <w:t>Kuivanen, K. S., Michalscheck, M., Descheemaeker, K., Adjei-Nsiah, S., Mellon-Bedi, S., Groot, J. C. J., &amp; Alvarez, S. (2016b). A comparison of statistical and participatory clustering of smallholder farming systems - A case study in Northern Ghana. Journal of Rural Studies, 45, 184–198. https://doi.org/10.1016/j.jrurstud.2016.03.015</w:t>
      </w:r>
    </w:p>
    <w:p w14:paraId="2A646955" w14:textId="05339486" w:rsidR="00D03092" w:rsidRDefault="00D03092" w:rsidP="00D03092">
      <w:pPr>
        <w:spacing w:line="240" w:lineRule="auto"/>
        <w:jc w:val="both"/>
      </w:pPr>
      <w:r>
        <w:t>MacLaren, C., Aliyu, K. T., Waswa, W., Storkey, J., Claessens, L., Vanlauwe, B., &amp; Mead, A. (2022). Can the Right Composition and Diversity of Farmed Species Improve Food Security Among Smallholder Farmers? Frontiers in Sustainable Food Systems, 6, 1–19. https://doi.org/10.3389/fsufs.2022.744700</w:t>
      </w:r>
    </w:p>
    <w:p w14:paraId="6929A23E" w14:textId="323A1EE6" w:rsidR="00D03092" w:rsidRDefault="00D03092" w:rsidP="00D03092">
      <w:pPr>
        <w:spacing w:line="240" w:lineRule="auto"/>
        <w:jc w:val="both"/>
      </w:pPr>
      <w:r>
        <w:t xml:space="preserve">Molua, E. </w:t>
      </w:r>
      <w:r w:rsidR="007E05AB">
        <w:t>(</w:t>
      </w:r>
      <w:r>
        <w:t>2011</w:t>
      </w:r>
      <w:r w:rsidR="007E05AB">
        <w:t>)</w:t>
      </w:r>
      <w:r>
        <w:t xml:space="preserve">. Farm income, gender differentials and climate risk in Cameroon: typology of male and female adaptation options across agroecologies. Sustainability Science 6(1): 21-35. </w:t>
      </w:r>
      <w:r w:rsidRPr="00D03092">
        <w:t>https://doi.org/10.1007/s11625-010-0123-z</w:t>
      </w:r>
    </w:p>
    <w:p w14:paraId="7D42167C" w14:textId="77777777" w:rsidR="00D03092" w:rsidRDefault="00D03092" w:rsidP="00D03092">
      <w:pPr>
        <w:spacing w:line="240" w:lineRule="auto"/>
        <w:jc w:val="both"/>
      </w:pPr>
      <w:r>
        <w:t>Pacini, G. C., Colucci, D., Baudron, F., Righi, E., Corbeels, M., Tittonell, P., &amp; Stefanini, F. M. (2014). Combining multi-dimensional scaling and cluster analysis to describe the diversity of rural households. Experimental Agriculture, 50(3), 376–397. https://doi.org/10.1017/S0014479713000495</w:t>
      </w:r>
    </w:p>
    <w:p w14:paraId="6B659DD0" w14:textId="77777777" w:rsidR="00D03092" w:rsidRDefault="00D03092" w:rsidP="00D03092">
      <w:pPr>
        <w:spacing w:line="240" w:lineRule="auto"/>
        <w:jc w:val="both"/>
      </w:pPr>
      <w:r>
        <w:t>Righi, E., Dogliotti, S., Stefanini, F. M., &amp; Pacini, G. C. (2011). Capturing farm diversity at regional level to up-scale farm level impact assessment of sustainable development options. Agriculture, Ecosystems and Environment, 142(1–2), 63–74. https://doi.org/10.1016/j.agee.2010.07.011</w:t>
      </w:r>
    </w:p>
    <w:p w14:paraId="34641DB0" w14:textId="77777777" w:rsidR="00D03092" w:rsidRDefault="00D03092" w:rsidP="00D03092">
      <w:pPr>
        <w:spacing w:line="240" w:lineRule="auto"/>
        <w:jc w:val="both"/>
      </w:pPr>
      <w:r>
        <w:t>Rueff, C., Choisis, J. P., Balent, G., &amp; Gibon, A. (2012). A Preliminary Assessment of the Local Diversity of Family Farms Change Trajectories Since 1950 in a Pyrenees Mountains Area. Journal of Sustainable Agriculture, 36(5), 564–590. https://doi.org/10.1080/10440046.2012.672547</w:t>
      </w:r>
    </w:p>
    <w:p w14:paraId="7FD3BCC7" w14:textId="77777777" w:rsidR="00D03092" w:rsidRDefault="00D03092" w:rsidP="00D03092">
      <w:pPr>
        <w:spacing w:line="240" w:lineRule="auto"/>
        <w:jc w:val="both"/>
      </w:pPr>
      <w:r>
        <w:t>Rusere, F., Mkuhlani, S., Crespo, O., &amp; Dicks, L. V. (2019). Developing pathways to improve smallholder agricultural productivity through ecological intensification technologies in semi-arid Limpopo, South Africa. African Journal of Science, Technology, Innovation and Development, 11(5), 543–553. https://doi.org/10.1080/20421338.2018.1550936</w:t>
      </w:r>
    </w:p>
    <w:p w14:paraId="78FE284F" w14:textId="19B339E4" w:rsidR="00D03092" w:rsidRDefault="00D03092" w:rsidP="00D03092">
      <w:pPr>
        <w:spacing w:line="240" w:lineRule="auto"/>
        <w:jc w:val="both"/>
      </w:pPr>
      <w:r>
        <w:t>Sakané, N., Becker, M., Langensiepen, M., &amp; Van Wijk, M. T. (2013). Typology of smallholder production systems in small east-African wetlands. Wetlands, 33(1), 101–116. https://doi.org/10.1007/s13157-012-0355-z</w:t>
      </w:r>
    </w:p>
    <w:p w14:paraId="0BC0A3F1" w14:textId="4AD91D7A" w:rsidR="003F1E7A" w:rsidRDefault="003F1E7A" w:rsidP="00D03092">
      <w:pPr>
        <w:spacing w:line="240" w:lineRule="auto"/>
        <w:jc w:val="both"/>
      </w:pPr>
      <w:r w:rsidRPr="003F1E7A">
        <w:t>Silva, J.V., Baudron, F., Ngoma, H. et al. Narrowing maize yield gaps across smallholder farming systems in Zambia: what interventions, where, and for whom? (2023)</w:t>
      </w:r>
      <w:r>
        <w:t xml:space="preserve"> </w:t>
      </w:r>
      <w:r w:rsidRPr="003F1E7A">
        <w:t>Agron</w:t>
      </w:r>
      <w:r>
        <w:t>omy for</w:t>
      </w:r>
      <w:r w:rsidRPr="003F1E7A">
        <w:t xml:space="preserve"> Sustain</w:t>
      </w:r>
      <w:r>
        <w:t>able</w:t>
      </w:r>
      <w:r w:rsidRPr="003F1E7A">
        <w:t xml:space="preserve"> Dev</w:t>
      </w:r>
      <w:r>
        <w:t>elpment</w:t>
      </w:r>
      <w:r w:rsidRPr="003F1E7A">
        <w:t xml:space="preserve"> 43, 26. https://doi.org/10.1007/s13593-023-00872-1</w:t>
      </w:r>
    </w:p>
    <w:p w14:paraId="171B4C25" w14:textId="77777777" w:rsidR="00E1609D" w:rsidRDefault="00E1609D" w:rsidP="00E1609D">
      <w:pPr>
        <w:spacing w:line="240" w:lineRule="auto"/>
        <w:jc w:val="both"/>
      </w:pPr>
      <w:r>
        <w:t>Tittonell, P., Vanlauwe, B., Leffelaar, P. A., Rowe, E. C., &amp; Giller, K. E. (2005). Exploring diversity in soil fertility management of smallholder farms in western Kenya: I. Heterogeneity at region and farm scale. Agriculture, Ecosystems and Environment, 110(3–4), 149–165. https://doi.org/10.1016/j.agee.2005.04.001</w:t>
      </w:r>
    </w:p>
    <w:p w14:paraId="495D4F04" w14:textId="73E8B779" w:rsidR="00D03092" w:rsidRDefault="00D03092" w:rsidP="00D03092">
      <w:pPr>
        <w:spacing w:line="240" w:lineRule="auto"/>
        <w:jc w:val="both"/>
      </w:pPr>
      <w:r>
        <w:t xml:space="preserve">Tittonell, P., Muriuki, A., Shepherd, K. D., Mugendi, D., Kaizzi, K. C., Okeyo, J., </w:t>
      </w:r>
      <w:r w:rsidR="007F48F4" w:rsidRPr="007F48F4">
        <w:t>Verchot, L.</w:t>
      </w:r>
      <w:r w:rsidR="007F48F4">
        <w:t>,</w:t>
      </w:r>
      <w:r w:rsidR="007F48F4" w:rsidRPr="007F48F4">
        <w:t xml:space="preserve"> Coe</w:t>
      </w:r>
      <w:r w:rsidR="007F48F4">
        <w:t xml:space="preserve">, </w:t>
      </w:r>
      <w:r w:rsidR="007F48F4" w:rsidRPr="007F48F4">
        <w:t>R.</w:t>
      </w:r>
      <w:r w:rsidR="007F48F4">
        <w:t xml:space="preserve">, </w:t>
      </w:r>
      <w:r>
        <w:t>Vanlauwe, B. (2010). The diversity of rural livelihoods and their influence on soil fertility in agricultural systems of East Africa - A typology of smallholder farms. Agricultural Systems, 103(2), 83–97. https://doi.org/10.1016/j.agsy.2009.10.001</w:t>
      </w:r>
    </w:p>
    <w:p w14:paraId="0569CFB5" w14:textId="160D36DF" w:rsidR="006110EF" w:rsidRDefault="006110EF" w:rsidP="00D03092">
      <w:pPr>
        <w:spacing w:line="240" w:lineRule="auto"/>
        <w:jc w:val="both"/>
      </w:pPr>
      <w:r>
        <w:t>ZimVac (2020)</w:t>
      </w:r>
      <w:r w:rsidR="007E05AB">
        <w:t>.</w:t>
      </w:r>
      <w:r>
        <w:t xml:space="preserve"> </w:t>
      </w:r>
      <w:r w:rsidRPr="006110EF">
        <w:t>Food and nutrition security update report, February 2020</w:t>
      </w:r>
      <w:r>
        <w:t xml:space="preserve">. </w:t>
      </w:r>
      <w:r w:rsidRPr="006110EF">
        <w:t>Vulnerability Assessment Committee</w:t>
      </w:r>
      <w:r>
        <w:t>. Harare, Zimbabwe</w:t>
      </w:r>
    </w:p>
    <w:p w14:paraId="2607C7A4" w14:textId="383D5AA2" w:rsidR="00E4761F" w:rsidRDefault="00E4761F" w:rsidP="006110EF">
      <w:r>
        <w:br w:type="page"/>
      </w:r>
    </w:p>
    <w:p w14:paraId="2F1BF444" w14:textId="77777777" w:rsidR="00207EB4" w:rsidRDefault="00207EB4">
      <w:r>
        <w:t>Appendix A1: Questionnaire</w:t>
      </w:r>
    </w:p>
    <w:p w14:paraId="77DF1FF8" w14:textId="171FBF3C" w:rsidR="00207EB4" w:rsidRDefault="00207EB4">
      <w:r>
        <w:t>A copy of the full questionnaire used to survey farmers in Murehwa is supplied in supplementary file FINAL SURVEY TOOL.pdf</w:t>
      </w:r>
      <w:r>
        <w:br w:type="page"/>
      </w:r>
    </w:p>
    <w:p w14:paraId="52E7F7D8" w14:textId="3BB5BD94" w:rsidR="00E4761F" w:rsidRDefault="00E4761F" w:rsidP="00583238">
      <w:pPr>
        <w:spacing w:line="240" w:lineRule="auto"/>
        <w:jc w:val="both"/>
      </w:pPr>
      <w:r>
        <w:t>Appendix A</w:t>
      </w:r>
      <w:r w:rsidR="00207EB4">
        <w:t>2</w:t>
      </w:r>
      <w:r>
        <w:t>: Graphical Assessment of Defined Typologies.</w:t>
      </w:r>
    </w:p>
    <w:p w14:paraId="0824A825" w14:textId="01534952" w:rsidR="00E4761F" w:rsidRDefault="00E4761F" w:rsidP="00583238">
      <w:pPr>
        <w:spacing w:line="240" w:lineRule="auto"/>
        <w:jc w:val="both"/>
      </w:pPr>
    </w:p>
    <w:p w14:paraId="79B936B8" w14:textId="6FFC2548" w:rsidR="003D37EB" w:rsidRDefault="00A61FD2" w:rsidP="00E4761F">
      <w:pPr>
        <w:spacing w:line="360" w:lineRule="auto"/>
        <w:jc w:val="both"/>
      </w:pPr>
      <w:r>
        <w:t xml:space="preserve">The </w:t>
      </w:r>
      <w:r>
        <w:rPr>
          <w:i/>
          <w:iCs/>
        </w:rPr>
        <w:t>TypologyGenerator</w:t>
      </w:r>
      <w:r>
        <w:t xml:space="preserve"> provides a series of graphical outputs to aid the user to assess the resulting typologies. Firstly, </w:t>
      </w:r>
      <w:r w:rsidRPr="00A61FD2">
        <w:t>each variable is plotted by cluster group enabling a user to identify which variables are more separated than others.</w:t>
      </w:r>
      <w:r>
        <w:t xml:space="preserve"> This is </w:t>
      </w:r>
      <w:r w:rsidR="003D37EB">
        <w:t xml:space="preserve">initially presented as an overall heatmap where the mean of each variable is calculated per group and divided by the maximal value of that variable. </w:t>
      </w:r>
    </w:p>
    <w:p w14:paraId="24B4F6E4" w14:textId="414CFF05" w:rsidR="00E4761F" w:rsidRDefault="003D37EB" w:rsidP="00E4761F">
      <w:pPr>
        <w:spacing w:line="360" w:lineRule="auto"/>
        <w:jc w:val="both"/>
      </w:pPr>
      <w:r>
        <w:rPr>
          <w:noProof/>
        </w:rPr>
        <w:drawing>
          <wp:inline distT="0" distB="0" distL="0" distR="0" wp14:anchorId="1721141B" wp14:editId="42BBB341">
            <wp:extent cx="5731510" cy="261810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2618105"/>
                    </a:xfrm>
                    <a:prstGeom prst="rect">
                      <a:avLst/>
                    </a:prstGeom>
                  </pic:spPr>
                </pic:pic>
              </a:graphicData>
            </a:graphic>
          </wp:inline>
        </w:drawing>
      </w:r>
      <w:r>
        <w:t xml:space="preserve">Each variable is further illustrated </w:t>
      </w:r>
      <w:r w:rsidR="00A61FD2">
        <w:t xml:space="preserve">as a boxplot for continuous variables and as a jittered point plot for binary variables </w:t>
      </w:r>
      <w:r>
        <w:t xml:space="preserve">separated by the typology definition </w:t>
      </w:r>
      <w:r w:rsidR="00A61FD2">
        <w:t>as shown below.</w:t>
      </w:r>
    </w:p>
    <w:p w14:paraId="59AE00E6" w14:textId="4975AF3C" w:rsidR="00A61FD2" w:rsidRDefault="00A61FD2" w:rsidP="00E4761F">
      <w:pPr>
        <w:spacing w:line="360" w:lineRule="auto"/>
        <w:jc w:val="both"/>
      </w:pPr>
      <w:r>
        <w:rPr>
          <w:noProof/>
        </w:rPr>
        <w:drawing>
          <wp:inline distT="0" distB="0" distL="0" distR="0" wp14:anchorId="5D113276" wp14:editId="4F2E9778">
            <wp:extent cx="5731510" cy="527812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5278120"/>
                    </a:xfrm>
                    <a:prstGeom prst="rect">
                      <a:avLst/>
                    </a:prstGeom>
                  </pic:spPr>
                </pic:pic>
              </a:graphicData>
            </a:graphic>
          </wp:inline>
        </w:drawing>
      </w:r>
    </w:p>
    <w:p w14:paraId="42D06611" w14:textId="77777777" w:rsidR="00A61FD2" w:rsidRDefault="00A61FD2" w:rsidP="00E4761F">
      <w:pPr>
        <w:spacing w:line="360" w:lineRule="auto"/>
        <w:jc w:val="both"/>
      </w:pPr>
    </w:p>
    <w:p w14:paraId="51AC6948" w14:textId="47719226" w:rsidR="00A61FD2" w:rsidRDefault="00A61FD2" w:rsidP="00E4761F">
      <w:pPr>
        <w:spacing w:line="360" w:lineRule="auto"/>
        <w:jc w:val="both"/>
      </w:pPr>
      <w:r>
        <w:rPr>
          <w:noProof/>
        </w:rPr>
        <w:drawing>
          <wp:inline distT="0" distB="0" distL="0" distR="0" wp14:anchorId="2FB50578" wp14:editId="4A70A8E4">
            <wp:extent cx="5731510" cy="530161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5301615"/>
                    </a:xfrm>
                    <a:prstGeom prst="rect">
                      <a:avLst/>
                    </a:prstGeom>
                  </pic:spPr>
                </pic:pic>
              </a:graphicData>
            </a:graphic>
          </wp:inline>
        </w:drawing>
      </w:r>
    </w:p>
    <w:p w14:paraId="6B009079" w14:textId="77777777" w:rsidR="00A61FD2" w:rsidRDefault="00A61FD2" w:rsidP="00E4761F">
      <w:pPr>
        <w:spacing w:line="360" w:lineRule="auto"/>
        <w:jc w:val="both"/>
      </w:pPr>
    </w:p>
    <w:p w14:paraId="6DE5520B" w14:textId="77777777" w:rsidR="00A61FD2" w:rsidRDefault="00A61FD2" w:rsidP="00A61FD2">
      <w:pPr>
        <w:spacing w:line="360" w:lineRule="auto"/>
        <w:jc w:val="both"/>
      </w:pPr>
      <w:r>
        <w:t xml:space="preserve">Secondly, an overall spider diagram is given for each cluster allowing an assessment of the overall cluster 'shape'. The lines in the spider diagram are the quartiles of the ranks of each variable calculated within each cluster. Explicitly, let </w:t>
      </w:r>
      <w:r w:rsidRPr="00D419A8">
        <w:rPr>
          <w:i/>
          <w:iCs/>
        </w:rPr>
        <w:t>z</w:t>
      </w:r>
      <w:r>
        <w:t xml:space="preserve"> be the ranks of variable </w:t>
      </w:r>
      <w:r w:rsidRPr="00D419A8">
        <w:rPr>
          <w:i/>
          <w:iCs/>
        </w:rPr>
        <w:t>x</w:t>
      </w:r>
      <w:r>
        <w:t xml:space="preserve"> and </w:t>
      </w:r>
      <w:r w:rsidRPr="00D419A8">
        <w:rPr>
          <w:i/>
          <w:iCs/>
        </w:rPr>
        <w:t>z</w:t>
      </w:r>
      <w:r>
        <w:t>[</w:t>
      </w:r>
      <w:r w:rsidRPr="00D419A8">
        <w:rPr>
          <w:i/>
          <w:iCs/>
        </w:rPr>
        <w:t>i</w:t>
      </w:r>
      <w:r>
        <w:t xml:space="preserve">], the subset of </w:t>
      </w:r>
      <w:r w:rsidRPr="00D419A8">
        <w:rPr>
          <w:i/>
          <w:iCs/>
        </w:rPr>
        <w:t>z</w:t>
      </w:r>
      <w:r>
        <w:t xml:space="preserve"> allocated to cluster </w:t>
      </w:r>
      <w:r w:rsidRPr="00D419A8">
        <w:rPr>
          <w:i/>
          <w:iCs/>
        </w:rPr>
        <w:t>i</w:t>
      </w:r>
      <w:r>
        <w:t xml:space="preserve">. Then for each cluster </w:t>
      </w:r>
      <w:r w:rsidRPr="00D419A8">
        <w:rPr>
          <w:i/>
          <w:iCs/>
        </w:rPr>
        <w:t>i</w:t>
      </w:r>
      <w:r>
        <w:t xml:space="preserve">, calculate the quartiles of </w:t>
      </w:r>
      <w:r w:rsidRPr="00D419A8">
        <w:rPr>
          <w:i/>
          <w:iCs/>
        </w:rPr>
        <w:t>z</w:t>
      </w:r>
      <w:r>
        <w:t>[</w:t>
      </w:r>
      <w:r w:rsidRPr="00D419A8">
        <w:rPr>
          <w:i/>
          <w:iCs/>
        </w:rPr>
        <w:t>i</w:t>
      </w:r>
      <w:r>
        <w:t xml:space="preserve">]. For binary variables, the line gives the overall percentage of 1's in each cluster group. These sum to 100 across the cluster groups. </w:t>
      </w:r>
    </w:p>
    <w:p w14:paraId="6CF9971A" w14:textId="77777777" w:rsidR="00A61FD2" w:rsidRDefault="00A61FD2" w:rsidP="00A61FD2">
      <w:pPr>
        <w:spacing w:line="360" w:lineRule="auto"/>
        <w:jc w:val="both"/>
        <w:rPr>
          <w:i/>
          <w:iCs/>
        </w:rPr>
      </w:pPr>
      <w:r>
        <w:rPr>
          <w:noProof/>
        </w:rPr>
        <w:drawing>
          <wp:inline distT="0" distB="0" distL="0" distR="0" wp14:anchorId="7D7AAE6E" wp14:editId="66829D7B">
            <wp:extent cx="5731510" cy="5274945"/>
            <wp:effectExtent l="0" t="0" r="254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5274945"/>
                    </a:xfrm>
                    <a:prstGeom prst="rect">
                      <a:avLst/>
                    </a:prstGeom>
                  </pic:spPr>
                </pic:pic>
              </a:graphicData>
            </a:graphic>
          </wp:inline>
        </w:drawing>
      </w:r>
    </w:p>
    <w:p w14:paraId="3E26B8C8" w14:textId="77777777" w:rsidR="00A61FD2" w:rsidRDefault="00A61FD2" w:rsidP="00A61FD2">
      <w:pPr>
        <w:spacing w:line="360" w:lineRule="auto"/>
        <w:jc w:val="both"/>
        <w:rPr>
          <w:i/>
          <w:iCs/>
        </w:rPr>
      </w:pPr>
    </w:p>
    <w:p w14:paraId="6E8B9FB4" w14:textId="77777777" w:rsidR="00A61FD2" w:rsidRDefault="00A61FD2" w:rsidP="00A61FD2">
      <w:pPr>
        <w:spacing w:line="360" w:lineRule="auto"/>
        <w:jc w:val="both"/>
        <w:rPr>
          <w:i/>
          <w:iCs/>
        </w:rPr>
      </w:pPr>
      <w:r>
        <w:rPr>
          <w:noProof/>
        </w:rPr>
        <w:drawing>
          <wp:inline distT="0" distB="0" distL="0" distR="0" wp14:anchorId="3BE06AB3" wp14:editId="2B6A27E6">
            <wp:extent cx="5731510" cy="5294630"/>
            <wp:effectExtent l="0" t="0" r="254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5294630"/>
                    </a:xfrm>
                    <a:prstGeom prst="rect">
                      <a:avLst/>
                    </a:prstGeom>
                  </pic:spPr>
                </pic:pic>
              </a:graphicData>
            </a:graphic>
          </wp:inline>
        </w:drawing>
      </w:r>
    </w:p>
    <w:p w14:paraId="5C103AD5" w14:textId="77777777" w:rsidR="00A61FD2" w:rsidRDefault="00A61FD2" w:rsidP="00A61FD2">
      <w:pPr>
        <w:spacing w:line="360" w:lineRule="auto"/>
        <w:jc w:val="both"/>
      </w:pPr>
    </w:p>
    <w:p w14:paraId="4D70484B" w14:textId="42FA697F" w:rsidR="00E4761F" w:rsidRPr="00A61FD2" w:rsidRDefault="00A61FD2" w:rsidP="00E4761F">
      <w:pPr>
        <w:spacing w:line="360" w:lineRule="auto"/>
        <w:jc w:val="both"/>
      </w:pPr>
      <w:r>
        <w:t>Thirdly, if a dimension reduction technique has been used, scatter plots of the retained axes plotted against each of the input variables</w:t>
      </w:r>
      <w:r w:rsidRPr="00D419A8">
        <w:t xml:space="preserve"> </w:t>
      </w:r>
      <w:r>
        <w:t>are produced. This allows a user to see how the reduced ordination relates to the original variables.</w:t>
      </w:r>
    </w:p>
    <w:p w14:paraId="267F876B" w14:textId="77777777" w:rsidR="00E4761F" w:rsidRDefault="00E4761F" w:rsidP="00E4761F">
      <w:pPr>
        <w:spacing w:line="360" w:lineRule="auto"/>
        <w:jc w:val="both"/>
        <w:rPr>
          <w:i/>
          <w:iCs/>
        </w:rPr>
      </w:pPr>
      <w:r>
        <w:rPr>
          <w:noProof/>
        </w:rPr>
        <w:drawing>
          <wp:inline distT="0" distB="0" distL="0" distR="0" wp14:anchorId="22273F12" wp14:editId="56AB6C61">
            <wp:extent cx="5731510" cy="364236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3642360"/>
                    </a:xfrm>
                    <a:prstGeom prst="rect">
                      <a:avLst/>
                    </a:prstGeom>
                  </pic:spPr>
                </pic:pic>
              </a:graphicData>
            </a:graphic>
          </wp:inline>
        </w:drawing>
      </w:r>
    </w:p>
    <w:p w14:paraId="057AE253" w14:textId="77777777" w:rsidR="00E4761F" w:rsidRDefault="00E4761F" w:rsidP="00E4761F">
      <w:pPr>
        <w:spacing w:line="360" w:lineRule="auto"/>
        <w:jc w:val="both"/>
        <w:rPr>
          <w:i/>
          <w:iCs/>
        </w:rPr>
      </w:pPr>
      <w:r>
        <w:rPr>
          <w:noProof/>
        </w:rPr>
        <w:drawing>
          <wp:inline distT="0" distB="0" distL="0" distR="0" wp14:anchorId="0969B316" wp14:editId="37081169">
            <wp:extent cx="5731510" cy="330390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3303905"/>
                    </a:xfrm>
                    <a:prstGeom prst="rect">
                      <a:avLst/>
                    </a:prstGeom>
                  </pic:spPr>
                </pic:pic>
              </a:graphicData>
            </a:graphic>
          </wp:inline>
        </w:drawing>
      </w:r>
    </w:p>
    <w:p w14:paraId="56494472" w14:textId="77777777" w:rsidR="00E4761F" w:rsidRDefault="00E4761F" w:rsidP="00E4761F">
      <w:pPr>
        <w:spacing w:line="360" w:lineRule="auto"/>
        <w:jc w:val="both"/>
        <w:rPr>
          <w:i/>
          <w:iCs/>
        </w:rPr>
      </w:pPr>
      <w:r>
        <w:rPr>
          <w:noProof/>
        </w:rPr>
        <w:drawing>
          <wp:inline distT="0" distB="0" distL="0" distR="0" wp14:anchorId="4B90A862" wp14:editId="07989D22">
            <wp:extent cx="5731510" cy="3347720"/>
            <wp:effectExtent l="0" t="0" r="254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3347720"/>
                    </a:xfrm>
                    <a:prstGeom prst="rect">
                      <a:avLst/>
                    </a:prstGeom>
                  </pic:spPr>
                </pic:pic>
              </a:graphicData>
            </a:graphic>
          </wp:inline>
        </w:drawing>
      </w:r>
    </w:p>
    <w:p w14:paraId="53D3AF64" w14:textId="77777777" w:rsidR="00E4761F" w:rsidRDefault="00E4761F" w:rsidP="00E4761F">
      <w:pPr>
        <w:spacing w:line="360" w:lineRule="auto"/>
        <w:jc w:val="both"/>
        <w:rPr>
          <w:i/>
          <w:iCs/>
        </w:rPr>
      </w:pPr>
      <w:r>
        <w:rPr>
          <w:noProof/>
        </w:rPr>
        <w:drawing>
          <wp:inline distT="0" distB="0" distL="0" distR="0" wp14:anchorId="04D0D98D" wp14:editId="5B36B28A">
            <wp:extent cx="5731510" cy="3649345"/>
            <wp:effectExtent l="0" t="0" r="254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3649345"/>
                    </a:xfrm>
                    <a:prstGeom prst="rect">
                      <a:avLst/>
                    </a:prstGeom>
                  </pic:spPr>
                </pic:pic>
              </a:graphicData>
            </a:graphic>
          </wp:inline>
        </w:drawing>
      </w:r>
    </w:p>
    <w:p w14:paraId="7AFC7155" w14:textId="77777777" w:rsidR="00E4761F" w:rsidRDefault="00E4761F" w:rsidP="00E4761F">
      <w:pPr>
        <w:spacing w:line="360" w:lineRule="auto"/>
        <w:jc w:val="both"/>
        <w:rPr>
          <w:i/>
          <w:iCs/>
        </w:rPr>
      </w:pPr>
      <w:r>
        <w:rPr>
          <w:noProof/>
        </w:rPr>
        <w:drawing>
          <wp:inline distT="0" distB="0" distL="0" distR="0" wp14:anchorId="5C6C3A70" wp14:editId="3F0AC084">
            <wp:extent cx="5731510" cy="6661150"/>
            <wp:effectExtent l="0" t="0" r="254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6661150"/>
                    </a:xfrm>
                    <a:prstGeom prst="rect">
                      <a:avLst/>
                    </a:prstGeom>
                  </pic:spPr>
                </pic:pic>
              </a:graphicData>
            </a:graphic>
          </wp:inline>
        </w:drawing>
      </w:r>
    </w:p>
    <w:p w14:paraId="733072E7" w14:textId="3E9CF0DB" w:rsidR="00EF39CA" w:rsidRDefault="00EF39CA">
      <w:r>
        <w:br w:type="page"/>
      </w:r>
    </w:p>
    <w:p w14:paraId="25D0C5BF" w14:textId="013D2485" w:rsidR="00E4761F" w:rsidRDefault="00EF39CA" w:rsidP="00583238">
      <w:pPr>
        <w:spacing w:line="240" w:lineRule="auto"/>
        <w:jc w:val="both"/>
      </w:pPr>
      <w:r>
        <w:t>Appendix A</w:t>
      </w:r>
      <w:r w:rsidR="00207EB4">
        <w:t>3</w:t>
      </w:r>
      <w:r>
        <w:t xml:space="preserve"> – Dendrograms</w:t>
      </w:r>
    </w:p>
    <w:p w14:paraId="5D13857F" w14:textId="4EEDAC0D" w:rsidR="00EF39CA" w:rsidRDefault="00EF39CA" w:rsidP="00583238">
      <w:pPr>
        <w:spacing w:line="240" w:lineRule="auto"/>
        <w:jc w:val="both"/>
      </w:pPr>
    </w:p>
    <w:p w14:paraId="0EEE56CD" w14:textId="25487DD6" w:rsidR="00EF39CA" w:rsidRDefault="00EF39CA" w:rsidP="00583238">
      <w:pPr>
        <w:spacing w:line="240" w:lineRule="auto"/>
        <w:jc w:val="both"/>
      </w:pPr>
      <w:r>
        <w:t>Defining distinct groups by “cutting” a dendrogram is a subjective choice. Below are some illustrative examples of the dendrograms resulting from the simulation study of the Murehwa data.</w:t>
      </w:r>
    </w:p>
    <w:p w14:paraId="69103B67" w14:textId="2EC3D541" w:rsidR="00EF39CA" w:rsidRDefault="00EF39CA" w:rsidP="00583238">
      <w:pPr>
        <w:spacing w:line="240" w:lineRule="auto"/>
        <w:jc w:val="both"/>
      </w:pPr>
    </w:p>
    <w:p w14:paraId="0C0E2CF7" w14:textId="67A4BD28" w:rsidR="00EF39CA" w:rsidRDefault="00EF39CA" w:rsidP="00EF39CA">
      <w:pPr>
        <w:spacing w:line="360" w:lineRule="auto"/>
        <w:jc w:val="both"/>
      </w:pPr>
      <w:r>
        <w:rPr>
          <w:noProof/>
        </w:rPr>
        <w:drawing>
          <wp:inline distT="0" distB="0" distL="0" distR="0" wp14:anchorId="35F98FFB" wp14:editId="421571F7">
            <wp:extent cx="2657475" cy="2413986"/>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661632" cy="2417763"/>
                    </a:xfrm>
                    <a:prstGeom prst="rect">
                      <a:avLst/>
                    </a:prstGeom>
                  </pic:spPr>
                </pic:pic>
              </a:graphicData>
            </a:graphic>
          </wp:inline>
        </w:drawing>
      </w:r>
      <w:r>
        <w:rPr>
          <w:noProof/>
        </w:rPr>
        <w:drawing>
          <wp:inline distT="0" distB="0" distL="0" distR="0" wp14:anchorId="42684FEB" wp14:editId="36CEBBE5">
            <wp:extent cx="2612254" cy="2362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619169" cy="2368453"/>
                    </a:xfrm>
                    <a:prstGeom prst="rect">
                      <a:avLst/>
                    </a:prstGeom>
                  </pic:spPr>
                </pic:pic>
              </a:graphicData>
            </a:graphic>
          </wp:inline>
        </w:drawing>
      </w:r>
      <w:r>
        <w:t xml:space="preserve"> </w:t>
      </w:r>
    </w:p>
    <w:p w14:paraId="16DFA486" w14:textId="77777777" w:rsidR="00EF39CA" w:rsidRDefault="00EF39CA" w:rsidP="00EF39CA">
      <w:pPr>
        <w:spacing w:line="360" w:lineRule="auto"/>
        <w:jc w:val="both"/>
      </w:pPr>
    </w:p>
    <w:p w14:paraId="1CB76347" w14:textId="46188A46" w:rsidR="00EF39CA" w:rsidRDefault="00EF39CA" w:rsidP="00EF39CA">
      <w:pPr>
        <w:spacing w:line="360" w:lineRule="auto"/>
        <w:jc w:val="both"/>
        <w:rPr>
          <w:noProof/>
        </w:rPr>
      </w:pPr>
      <w:r>
        <w:rPr>
          <w:noProof/>
        </w:rPr>
        <w:drawing>
          <wp:inline distT="0" distB="0" distL="0" distR="0" wp14:anchorId="43EC7A26" wp14:editId="6216D6D3">
            <wp:extent cx="2537753" cy="24098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544234" cy="2415979"/>
                    </a:xfrm>
                    <a:prstGeom prst="rect">
                      <a:avLst/>
                    </a:prstGeom>
                  </pic:spPr>
                </pic:pic>
              </a:graphicData>
            </a:graphic>
          </wp:inline>
        </w:drawing>
      </w:r>
      <w:r w:rsidRPr="009869E5">
        <w:rPr>
          <w:noProof/>
        </w:rPr>
        <w:t xml:space="preserve"> </w:t>
      </w:r>
      <w:r>
        <w:rPr>
          <w:noProof/>
        </w:rPr>
        <w:drawing>
          <wp:inline distT="0" distB="0" distL="0" distR="0" wp14:anchorId="213C4062" wp14:editId="1F7EC060">
            <wp:extent cx="2283682" cy="204787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287123" cy="2050961"/>
                    </a:xfrm>
                    <a:prstGeom prst="rect">
                      <a:avLst/>
                    </a:prstGeom>
                  </pic:spPr>
                </pic:pic>
              </a:graphicData>
            </a:graphic>
          </wp:inline>
        </w:drawing>
      </w:r>
    </w:p>
    <w:p w14:paraId="367D6F4E" w14:textId="635FEB54" w:rsidR="00EF39CA" w:rsidRPr="00EA2AE0" w:rsidRDefault="00EF39CA" w:rsidP="00EF39CA">
      <w:pPr>
        <w:spacing w:line="240" w:lineRule="auto"/>
        <w:jc w:val="both"/>
      </w:pPr>
      <w:r>
        <w:rPr>
          <w:noProof/>
        </w:rPr>
        <w:t xml:space="preserve">Figure: Dendrograms of the Murehwa data under different typology options. Panel A) shows three easily identified equally sized clusters. Panel B) shows an example of three easily identified but highly unequally sized clusters. Panel C) shows a clear definition of 5 clusters whilst Panel D) shows an example where the cluster was hard to identify. </w:t>
      </w:r>
    </w:p>
    <w:p w14:paraId="29D8FB9A" w14:textId="77777777" w:rsidR="00EF39CA" w:rsidRPr="00970727" w:rsidRDefault="00EF39CA" w:rsidP="00583238">
      <w:pPr>
        <w:spacing w:line="240" w:lineRule="auto"/>
        <w:jc w:val="both"/>
      </w:pPr>
    </w:p>
    <w:sectPr w:rsidR="00EF39CA" w:rsidRPr="00970727" w:rsidSect="0000115B">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8351D" w14:textId="77777777" w:rsidR="00871382" w:rsidRDefault="00871382" w:rsidP="00583238">
      <w:pPr>
        <w:spacing w:after="0" w:line="240" w:lineRule="auto"/>
      </w:pPr>
      <w:r>
        <w:separator/>
      </w:r>
    </w:p>
  </w:endnote>
  <w:endnote w:type="continuationSeparator" w:id="0">
    <w:p w14:paraId="56D91681" w14:textId="77777777" w:rsidR="00871382" w:rsidRDefault="00871382" w:rsidP="005832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122115"/>
      <w:docPartObj>
        <w:docPartGallery w:val="Page Numbers (Bottom of Page)"/>
        <w:docPartUnique/>
      </w:docPartObj>
    </w:sdtPr>
    <w:sdtEndPr>
      <w:rPr>
        <w:noProof/>
      </w:rPr>
    </w:sdtEndPr>
    <w:sdtContent>
      <w:p w14:paraId="2F295A08" w14:textId="1C6B6A72" w:rsidR="00583238" w:rsidRDefault="00583238">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66DAFAFF" w14:textId="77777777" w:rsidR="00583238" w:rsidRDefault="005832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617D0" w14:textId="77777777" w:rsidR="00871382" w:rsidRDefault="00871382" w:rsidP="00583238">
      <w:pPr>
        <w:spacing w:after="0" w:line="240" w:lineRule="auto"/>
      </w:pPr>
      <w:r>
        <w:separator/>
      </w:r>
    </w:p>
  </w:footnote>
  <w:footnote w:type="continuationSeparator" w:id="0">
    <w:p w14:paraId="5935F46E" w14:textId="77777777" w:rsidR="00871382" w:rsidRDefault="00871382" w:rsidP="005832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124F8"/>
    <w:multiLevelType w:val="hybridMultilevel"/>
    <w:tmpl w:val="F3EC3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701694"/>
    <w:multiLevelType w:val="hybridMultilevel"/>
    <w:tmpl w:val="D2C42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E02BA8"/>
    <w:multiLevelType w:val="multilevel"/>
    <w:tmpl w:val="08090025"/>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A97040D"/>
    <w:multiLevelType w:val="hybridMultilevel"/>
    <w:tmpl w:val="DB340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01015F"/>
    <w:multiLevelType w:val="hybridMultilevel"/>
    <w:tmpl w:val="6B6EEC10"/>
    <w:lvl w:ilvl="0" w:tplc="87CAD866">
      <w:start w:val="1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DE61F7"/>
    <w:multiLevelType w:val="hybridMultilevel"/>
    <w:tmpl w:val="301E5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BC337F"/>
    <w:multiLevelType w:val="hybridMultilevel"/>
    <w:tmpl w:val="A18CF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192A32"/>
    <w:multiLevelType w:val="hybridMultilevel"/>
    <w:tmpl w:val="E1F06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D23D4F"/>
    <w:multiLevelType w:val="hybridMultilevel"/>
    <w:tmpl w:val="B7E41D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AE44EA3"/>
    <w:multiLevelType w:val="hybridMultilevel"/>
    <w:tmpl w:val="FE4C4DA2"/>
    <w:lvl w:ilvl="0" w:tplc="995AB610">
      <w:start w:val="1"/>
      <w:numFmt w:val="bullet"/>
      <w:lvlText w:val="•"/>
      <w:lvlJc w:val="left"/>
      <w:pPr>
        <w:tabs>
          <w:tab w:val="num" w:pos="720"/>
        </w:tabs>
        <w:ind w:left="720" w:hanging="360"/>
      </w:pPr>
      <w:rPr>
        <w:rFonts w:ascii="Arial" w:hAnsi="Arial" w:hint="default"/>
      </w:rPr>
    </w:lvl>
    <w:lvl w:ilvl="1" w:tplc="11F2F84C">
      <w:start w:val="1"/>
      <w:numFmt w:val="bullet"/>
      <w:lvlText w:val="•"/>
      <w:lvlJc w:val="left"/>
      <w:pPr>
        <w:tabs>
          <w:tab w:val="num" w:pos="1440"/>
        </w:tabs>
        <w:ind w:left="1440" w:hanging="360"/>
      </w:pPr>
      <w:rPr>
        <w:rFonts w:ascii="Arial" w:hAnsi="Arial" w:hint="default"/>
      </w:rPr>
    </w:lvl>
    <w:lvl w:ilvl="2" w:tplc="2640CA38" w:tentative="1">
      <w:start w:val="1"/>
      <w:numFmt w:val="bullet"/>
      <w:lvlText w:val="•"/>
      <w:lvlJc w:val="left"/>
      <w:pPr>
        <w:tabs>
          <w:tab w:val="num" w:pos="2160"/>
        </w:tabs>
        <w:ind w:left="2160" w:hanging="360"/>
      </w:pPr>
      <w:rPr>
        <w:rFonts w:ascii="Arial" w:hAnsi="Arial" w:hint="default"/>
      </w:rPr>
    </w:lvl>
    <w:lvl w:ilvl="3" w:tplc="40788B86" w:tentative="1">
      <w:start w:val="1"/>
      <w:numFmt w:val="bullet"/>
      <w:lvlText w:val="•"/>
      <w:lvlJc w:val="left"/>
      <w:pPr>
        <w:tabs>
          <w:tab w:val="num" w:pos="2880"/>
        </w:tabs>
        <w:ind w:left="2880" w:hanging="360"/>
      </w:pPr>
      <w:rPr>
        <w:rFonts w:ascii="Arial" w:hAnsi="Arial" w:hint="default"/>
      </w:rPr>
    </w:lvl>
    <w:lvl w:ilvl="4" w:tplc="1006F72E" w:tentative="1">
      <w:start w:val="1"/>
      <w:numFmt w:val="bullet"/>
      <w:lvlText w:val="•"/>
      <w:lvlJc w:val="left"/>
      <w:pPr>
        <w:tabs>
          <w:tab w:val="num" w:pos="3600"/>
        </w:tabs>
        <w:ind w:left="3600" w:hanging="360"/>
      </w:pPr>
      <w:rPr>
        <w:rFonts w:ascii="Arial" w:hAnsi="Arial" w:hint="default"/>
      </w:rPr>
    </w:lvl>
    <w:lvl w:ilvl="5" w:tplc="61568CDC" w:tentative="1">
      <w:start w:val="1"/>
      <w:numFmt w:val="bullet"/>
      <w:lvlText w:val="•"/>
      <w:lvlJc w:val="left"/>
      <w:pPr>
        <w:tabs>
          <w:tab w:val="num" w:pos="4320"/>
        </w:tabs>
        <w:ind w:left="4320" w:hanging="360"/>
      </w:pPr>
      <w:rPr>
        <w:rFonts w:ascii="Arial" w:hAnsi="Arial" w:hint="default"/>
      </w:rPr>
    </w:lvl>
    <w:lvl w:ilvl="6" w:tplc="7A28B446" w:tentative="1">
      <w:start w:val="1"/>
      <w:numFmt w:val="bullet"/>
      <w:lvlText w:val="•"/>
      <w:lvlJc w:val="left"/>
      <w:pPr>
        <w:tabs>
          <w:tab w:val="num" w:pos="5040"/>
        </w:tabs>
        <w:ind w:left="5040" w:hanging="360"/>
      </w:pPr>
      <w:rPr>
        <w:rFonts w:ascii="Arial" w:hAnsi="Arial" w:hint="default"/>
      </w:rPr>
    </w:lvl>
    <w:lvl w:ilvl="7" w:tplc="8AA09FA2" w:tentative="1">
      <w:start w:val="1"/>
      <w:numFmt w:val="bullet"/>
      <w:lvlText w:val="•"/>
      <w:lvlJc w:val="left"/>
      <w:pPr>
        <w:tabs>
          <w:tab w:val="num" w:pos="5760"/>
        </w:tabs>
        <w:ind w:left="5760" w:hanging="360"/>
      </w:pPr>
      <w:rPr>
        <w:rFonts w:ascii="Arial" w:hAnsi="Arial" w:hint="default"/>
      </w:rPr>
    </w:lvl>
    <w:lvl w:ilvl="8" w:tplc="AA1695B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5415800"/>
    <w:multiLevelType w:val="hybridMultilevel"/>
    <w:tmpl w:val="7CCC0188"/>
    <w:lvl w:ilvl="0" w:tplc="98544682">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2263F2"/>
    <w:multiLevelType w:val="hybridMultilevel"/>
    <w:tmpl w:val="1854A4BE"/>
    <w:lvl w:ilvl="0" w:tplc="8DC43260">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E657E1"/>
    <w:multiLevelType w:val="hybridMultilevel"/>
    <w:tmpl w:val="4FC6B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C951F8"/>
    <w:multiLevelType w:val="hybridMultilevel"/>
    <w:tmpl w:val="8CBA26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CFA59C4"/>
    <w:multiLevelType w:val="hybridMultilevel"/>
    <w:tmpl w:val="ADCA9EDE"/>
    <w:lvl w:ilvl="0" w:tplc="FD7ABE5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2142770294">
    <w:abstractNumId w:val="2"/>
  </w:num>
  <w:num w:numId="2" w16cid:durableId="1072703740">
    <w:abstractNumId w:val="8"/>
  </w:num>
  <w:num w:numId="3" w16cid:durableId="2058698223">
    <w:abstractNumId w:val="5"/>
  </w:num>
  <w:num w:numId="4" w16cid:durableId="1855144664">
    <w:abstractNumId w:val="13"/>
  </w:num>
  <w:num w:numId="5" w16cid:durableId="1476945454">
    <w:abstractNumId w:val="3"/>
  </w:num>
  <w:num w:numId="6" w16cid:durableId="504327848">
    <w:abstractNumId w:val="7"/>
  </w:num>
  <w:num w:numId="7" w16cid:durableId="1599674098">
    <w:abstractNumId w:val="6"/>
  </w:num>
  <w:num w:numId="8" w16cid:durableId="2011181095">
    <w:abstractNumId w:val="11"/>
  </w:num>
  <w:num w:numId="9" w16cid:durableId="393508861">
    <w:abstractNumId w:val="1"/>
  </w:num>
  <w:num w:numId="10" w16cid:durableId="1660114261">
    <w:abstractNumId w:val="14"/>
  </w:num>
  <w:num w:numId="11" w16cid:durableId="1961109598">
    <w:abstractNumId w:val="12"/>
  </w:num>
  <w:num w:numId="12" w16cid:durableId="1327320273">
    <w:abstractNumId w:val="0"/>
  </w:num>
  <w:num w:numId="13" w16cid:durableId="748040172">
    <w:abstractNumId w:val="10"/>
  </w:num>
  <w:num w:numId="14" w16cid:durableId="1420103770">
    <w:abstractNumId w:val="9"/>
  </w:num>
  <w:num w:numId="15" w16cid:durableId="16919056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0B7"/>
    <w:rsid w:val="0000115B"/>
    <w:rsid w:val="00007BFE"/>
    <w:rsid w:val="00017391"/>
    <w:rsid w:val="0002199D"/>
    <w:rsid w:val="00022EC6"/>
    <w:rsid w:val="00031CE1"/>
    <w:rsid w:val="000378FA"/>
    <w:rsid w:val="00055AFD"/>
    <w:rsid w:val="00062791"/>
    <w:rsid w:val="00082A06"/>
    <w:rsid w:val="000C0495"/>
    <w:rsid w:val="000C3C56"/>
    <w:rsid w:val="000C467E"/>
    <w:rsid w:val="000C7B6D"/>
    <w:rsid w:val="000E0F41"/>
    <w:rsid w:val="000E393E"/>
    <w:rsid w:val="000E4AFC"/>
    <w:rsid w:val="000F436B"/>
    <w:rsid w:val="000F73BC"/>
    <w:rsid w:val="00111045"/>
    <w:rsid w:val="00113AB2"/>
    <w:rsid w:val="001367C0"/>
    <w:rsid w:val="0014697F"/>
    <w:rsid w:val="00147030"/>
    <w:rsid w:val="00153227"/>
    <w:rsid w:val="0015587F"/>
    <w:rsid w:val="00162CF0"/>
    <w:rsid w:val="001835AD"/>
    <w:rsid w:val="00192777"/>
    <w:rsid w:val="001A3B93"/>
    <w:rsid w:val="001A588D"/>
    <w:rsid w:val="001C4FA8"/>
    <w:rsid w:val="001C59FF"/>
    <w:rsid w:val="001D4056"/>
    <w:rsid w:val="0020390C"/>
    <w:rsid w:val="00207EB4"/>
    <w:rsid w:val="00207EE7"/>
    <w:rsid w:val="00221B34"/>
    <w:rsid w:val="002421C3"/>
    <w:rsid w:val="00255C75"/>
    <w:rsid w:val="002829A8"/>
    <w:rsid w:val="00284E0A"/>
    <w:rsid w:val="00295153"/>
    <w:rsid w:val="002A05B9"/>
    <w:rsid w:val="002C0D35"/>
    <w:rsid w:val="002C7A01"/>
    <w:rsid w:val="002D5B6F"/>
    <w:rsid w:val="002E0594"/>
    <w:rsid w:val="002F7CB7"/>
    <w:rsid w:val="0031286D"/>
    <w:rsid w:val="003310DD"/>
    <w:rsid w:val="003350BC"/>
    <w:rsid w:val="00343F3B"/>
    <w:rsid w:val="0035589A"/>
    <w:rsid w:val="003612A0"/>
    <w:rsid w:val="00366D7E"/>
    <w:rsid w:val="00383885"/>
    <w:rsid w:val="003A05B2"/>
    <w:rsid w:val="003A05C8"/>
    <w:rsid w:val="003B1793"/>
    <w:rsid w:val="003B4D1F"/>
    <w:rsid w:val="003B5ACE"/>
    <w:rsid w:val="003C4847"/>
    <w:rsid w:val="003C6E8C"/>
    <w:rsid w:val="003D37EB"/>
    <w:rsid w:val="003E1835"/>
    <w:rsid w:val="003F1E7A"/>
    <w:rsid w:val="004007AA"/>
    <w:rsid w:val="004043CF"/>
    <w:rsid w:val="00415EF0"/>
    <w:rsid w:val="004169BC"/>
    <w:rsid w:val="00427038"/>
    <w:rsid w:val="00452A2F"/>
    <w:rsid w:val="00453CED"/>
    <w:rsid w:val="00455849"/>
    <w:rsid w:val="00461F64"/>
    <w:rsid w:val="00474C6D"/>
    <w:rsid w:val="00493006"/>
    <w:rsid w:val="00495FB3"/>
    <w:rsid w:val="004A648E"/>
    <w:rsid w:val="004F5EFA"/>
    <w:rsid w:val="005111BC"/>
    <w:rsid w:val="005246E0"/>
    <w:rsid w:val="00534CE6"/>
    <w:rsid w:val="00536E23"/>
    <w:rsid w:val="0054764F"/>
    <w:rsid w:val="0055256C"/>
    <w:rsid w:val="00560343"/>
    <w:rsid w:val="0057527E"/>
    <w:rsid w:val="0058009C"/>
    <w:rsid w:val="00583238"/>
    <w:rsid w:val="005929D3"/>
    <w:rsid w:val="00593B8E"/>
    <w:rsid w:val="005D45CF"/>
    <w:rsid w:val="005E571E"/>
    <w:rsid w:val="006044CB"/>
    <w:rsid w:val="006110EF"/>
    <w:rsid w:val="00615ED8"/>
    <w:rsid w:val="00624854"/>
    <w:rsid w:val="00630169"/>
    <w:rsid w:val="006471D9"/>
    <w:rsid w:val="0069246D"/>
    <w:rsid w:val="006A20B7"/>
    <w:rsid w:val="006B4F74"/>
    <w:rsid w:val="006C4A51"/>
    <w:rsid w:val="006D70BB"/>
    <w:rsid w:val="006D736C"/>
    <w:rsid w:val="00734ADD"/>
    <w:rsid w:val="0074012E"/>
    <w:rsid w:val="007413FB"/>
    <w:rsid w:val="0075195B"/>
    <w:rsid w:val="00752CDA"/>
    <w:rsid w:val="0075398B"/>
    <w:rsid w:val="00753E10"/>
    <w:rsid w:val="00786F8F"/>
    <w:rsid w:val="00791632"/>
    <w:rsid w:val="007A15A9"/>
    <w:rsid w:val="007A3A61"/>
    <w:rsid w:val="007A5F2A"/>
    <w:rsid w:val="007C1CD8"/>
    <w:rsid w:val="007C1D54"/>
    <w:rsid w:val="007E05AB"/>
    <w:rsid w:val="007E61E7"/>
    <w:rsid w:val="007E67A4"/>
    <w:rsid w:val="007E73EA"/>
    <w:rsid w:val="007F3617"/>
    <w:rsid w:val="007F48F4"/>
    <w:rsid w:val="00812976"/>
    <w:rsid w:val="00822BBB"/>
    <w:rsid w:val="008245D1"/>
    <w:rsid w:val="00827D40"/>
    <w:rsid w:val="0084761F"/>
    <w:rsid w:val="00871382"/>
    <w:rsid w:val="00873482"/>
    <w:rsid w:val="0088714E"/>
    <w:rsid w:val="008B1377"/>
    <w:rsid w:val="008B5ACE"/>
    <w:rsid w:val="008B7827"/>
    <w:rsid w:val="008D0157"/>
    <w:rsid w:val="008D5E87"/>
    <w:rsid w:val="00904D2B"/>
    <w:rsid w:val="00907A01"/>
    <w:rsid w:val="00912806"/>
    <w:rsid w:val="0092781A"/>
    <w:rsid w:val="009429B7"/>
    <w:rsid w:val="00947777"/>
    <w:rsid w:val="00951862"/>
    <w:rsid w:val="00966688"/>
    <w:rsid w:val="00970727"/>
    <w:rsid w:val="009761FA"/>
    <w:rsid w:val="00980151"/>
    <w:rsid w:val="00983FCB"/>
    <w:rsid w:val="009869E5"/>
    <w:rsid w:val="009911B8"/>
    <w:rsid w:val="009B57F9"/>
    <w:rsid w:val="009C1627"/>
    <w:rsid w:val="009F0A31"/>
    <w:rsid w:val="00A0215A"/>
    <w:rsid w:val="00A20057"/>
    <w:rsid w:val="00A244D9"/>
    <w:rsid w:val="00A261C2"/>
    <w:rsid w:val="00A35730"/>
    <w:rsid w:val="00A37856"/>
    <w:rsid w:val="00A37CBA"/>
    <w:rsid w:val="00A45077"/>
    <w:rsid w:val="00A550B6"/>
    <w:rsid w:val="00A61FD2"/>
    <w:rsid w:val="00A71477"/>
    <w:rsid w:val="00A71F49"/>
    <w:rsid w:val="00A7398F"/>
    <w:rsid w:val="00A76129"/>
    <w:rsid w:val="00A77E75"/>
    <w:rsid w:val="00A90BFF"/>
    <w:rsid w:val="00A96494"/>
    <w:rsid w:val="00AA2C50"/>
    <w:rsid w:val="00AC52A4"/>
    <w:rsid w:val="00AE777C"/>
    <w:rsid w:val="00B31812"/>
    <w:rsid w:val="00B5428B"/>
    <w:rsid w:val="00B56663"/>
    <w:rsid w:val="00B6639F"/>
    <w:rsid w:val="00B847B2"/>
    <w:rsid w:val="00BB117A"/>
    <w:rsid w:val="00BD00CF"/>
    <w:rsid w:val="00BF11BC"/>
    <w:rsid w:val="00BF18A3"/>
    <w:rsid w:val="00C06CA1"/>
    <w:rsid w:val="00C24F2B"/>
    <w:rsid w:val="00C2785B"/>
    <w:rsid w:val="00C34B94"/>
    <w:rsid w:val="00C35026"/>
    <w:rsid w:val="00C4556B"/>
    <w:rsid w:val="00C50998"/>
    <w:rsid w:val="00C6109C"/>
    <w:rsid w:val="00C617A5"/>
    <w:rsid w:val="00C62B17"/>
    <w:rsid w:val="00C72F7D"/>
    <w:rsid w:val="00CA033B"/>
    <w:rsid w:val="00CA10EE"/>
    <w:rsid w:val="00CA30CF"/>
    <w:rsid w:val="00CA6FD3"/>
    <w:rsid w:val="00CA786E"/>
    <w:rsid w:val="00CC00D4"/>
    <w:rsid w:val="00CD2E41"/>
    <w:rsid w:val="00CD7277"/>
    <w:rsid w:val="00CE0FF5"/>
    <w:rsid w:val="00CE6D49"/>
    <w:rsid w:val="00CE6DD5"/>
    <w:rsid w:val="00CF0741"/>
    <w:rsid w:val="00D03092"/>
    <w:rsid w:val="00D13C09"/>
    <w:rsid w:val="00D26539"/>
    <w:rsid w:val="00D419A8"/>
    <w:rsid w:val="00D41DE4"/>
    <w:rsid w:val="00D54797"/>
    <w:rsid w:val="00D61F4B"/>
    <w:rsid w:val="00D635F2"/>
    <w:rsid w:val="00D675B0"/>
    <w:rsid w:val="00D76029"/>
    <w:rsid w:val="00D97382"/>
    <w:rsid w:val="00DB03F8"/>
    <w:rsid w:val="00DF22FE"/>
    <w:rsid w:val="00E05046"/>
    <w:rsid w:val="00E1609D"/>
    <w:rsid w:val="00E2355C"/>
    <w:rsid w:val="00E4761F"/>
    <w:rsid w:val="00E56F9D"/>
    <w:rsid w:val="00E6049D"/>
    <w:rsid w:val="00E619A6"/>
    <w:rsid w:val="00E731E3"/>
    <w:rsid w:val="00E84A76"/>
    <w:rsid w:val="00E96C04"/>
    <w:rsid w:val="00EA2AE0"/>
    <w:rsid w:val="00EA446D"/>
    <w:rsid w:val="00EB7A02"/>
    <w:rsid w:val="00EC13BE"/>
    <w:rsid w:val="00ED02F0"/>
    <w:rsid w:val="00ED1E6D"/>
    <w:rsid w:val="00EF37E4"/>
    <w:rsid w:val="00EF39CA"/>
    <w:rsid w:val="00F07F04"/>
    <w:rsid w:val="00F11E6C"/>
    <w:rsid w:val="00F2422E"/>
    <w:rsid w:val="00F42F10"/>
    <w:rsid w:val="00F6522E"/>
    <w:rsid w:val="00F66B23"/>
    <w:rsid w:val="00F9024F"/>
    <w:rsid w:val="00FC3AF1"/>
    <w:rsid w:val="00FC674D"/>
    <w:rsid w:val="00FD7A6B"/>
    <w:rsid w:val="00FF2D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B2942"/>
  <w15:chartTrackingRefBased/>
  <w15:docId w15:val="{084CF882-75D1-4E9A-8B3F-51395B28D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1D9"/>
  </w:style>
  <w:style w:type="paragraph" w:styleId="Heading1">
    <w:name w:val="heading 1"/>
    <w:basedOn w:val="Normal"/>
    <w:next w:val="Normal"/>
    <w:link w:val="Heading1Char"/>
    <w:uiPriority w:val="9"/>
    <w:qFormat/>
    <w:rsid w:val="007E61E7"/>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1">
    <w:name w:val="Appendix1"/>
    <w:basedOn w:val="Heading1"/>
    <w:link w:val="Appendix1Char"/>
    <w:qFormat/>
    <w:rsid w:val="007E61E7"/>
  </w:style>
  <w:style w:type="character" w:customStyle="1" w:styleId="Appendix1Char">
    <w:name w:val="Appendix1 Char"/>
    <w:basedOn w:val="Heading1Char"/>
    <w:link w:val="Appendix1"/>
    <w:rsid w:val="007E61E7"/>
    <w:rPr>
      <w:rFonts w:asciiTheme="majorHAnsi" w:eastAsiaTheme="majorEastAsia" w:hAnsiTheme="majorHAnsi" w:cstheme="majorBidi"/>
      <w:color w:val="2F5496" w:themeColor="accent1" w:themeShade="BF"/>
      <w:sz w:val="32"/>
      <w:szCs w:val="32"/>
    </w:rPr>
  </w:style>
  <w:style w:type="character" w:customStyle="1" w:styleId="Heading1Char">
    <w:name w:val="Heading 1 Char"/>
    <w:basedOn w:val="DefaultParagraphFont"/>
    <w:link w:val="Heading1"/>
    <w:uiPriority w:val="9"/>
    <w:rsid w:val="007E61E7"/>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6A20B7"/>
    <w:rPr>
      <w:color w:val="0563C1"/>
      <w:u w:val="single"/>
    </w:rPr>
  </w:style>
  <w:style w:type="character" w:styleId="CommentReference">
    <w:name w:val="annotation reference"/>
    <w:basedOn w:val="DefaultParagraphFont"/>
    <w:uiPriority w:val="99"/>
    <w:semiHidden/>
    <w:unhideWhenUsed/>
    <w:rsid w:val="006A20B7"/>
    <w:rPr>
      <w:sz w:val="16"/>
      <w:szCs w:val="16"/>
    </w:rPr>
  </w:style>
  <w:style w:type="paragraph" w:styleId="CommentText">
    <w:name w:val="annotation text"/>
    <w:basedOn w:val="Normal"/>
    <w:link w:val="CommentTextChar"/>
    <w:uiPriority w:val="99"/>
    <w:unhideWhenUsed/>
    <w:rsid w:val="006A20B7"/>
    <w:pPr>
      <w:spacing w:line="240" w:lineRule="auto"/>
    </w:pPr>
    <w:rPr>
      <w:sz w:val="20"/>
      <w:szCs w:val="20"/>
    </w:rPr>
  </w:style>
  <w:style w:type="character" w:customStyle="1" w:styleId="CommentTextChar">
    <w:name w:val="Comment Text Char"/>
    <w:basedOn w:val="DefaultParagraphFont"/>
    <w:link w:val="CommentText"/>
    <w:uiPriority w:val="99"/>
    <w:rsid w:val="006A20B7"/>
    <w:rPr>
      <w:sz w:val="20"/>
      <w:szCs w:val="20"/>
    </w:rPr>
  </w:style>
  <w:style w:type="paragraph" w:styleId="CommentSubject">
    <w:name w:val="annotation subject"/>
    <w:basedOn w:val="CommentText"/>
    <w:next w:val="CommentText"/>
    <w:link w:val="CommentSubjectChar"/>
    <w:uiPriority w:val="99"/>
    <w:semiHidden/>
    <w:unhideWhenUsed/>
    <w:rsid w:val="006A20B7"/>
    <w:rPr>
      <w:b/>
      <w:bCs/>
    </w:rPr>
  </w:style>
  <w:style w:type="character" w:customStyle="1" w:styleId="CommentSubjectChar">
    <w:name w:val="Comment Subject Char"/>
    <w:basedOn w:val="CommentTextChar"/>
    <w:link w:val="CommentSubject"/>
    <w:uiPriority w:val="99"/>
    <w:semiHidden/>
    <w:rsid w:val="006A20B7"/>
    <w:rPr>
      <w:b/>
      <w:bCs/>
      <w:sz w:val="20"/>
      <w:szCs w:val="20"/>
    </w:rPr>
  </w:style>
  <w:style w:type="paragraph" w:styleId="BalloonText">
    <w:name w:val="Balloon Text"/>
    <w:basedOn w:val="Normal"/>
    <w:link w:val="BalloonTextChar"/>
    <w:uiPriority w:val="99"/>
    <w:semiHidden/>
    <w:unhideWhenUsed/>
    <w:rsid w:val="006A20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20B7"/>
    <w:rPr>
      <w:rFonts w:ascii="Segoe UI" w:hAnsi="Segoe UI" w:cs="Segoe UI"/>
      <w:sz w:val="18"/>
      <w:szCs w:val="18"/>
    </w:rPr>
  </w:style>
  <w:style w:type="paragraph" w:styleId="ListParagraph">
    <w:name w:val="List Paragraph"/>
    <w:basedOn w:val="Normal"/>
    <w:uiPriority w:val="34"/>
    <w:qFormat/>
    <w:rsid w:val="006A20B7"/>
    <w:pPr>
      <w:ind w:left="720"/>
      <w:contextualSpacing/>
    </w:pPr>
  </w:style>
  <w:style w:type="character" w:styleId="UnresolvedMention">
    <w:name w:val="Unresolved Mention"/>
    <w:basedOn w:val="DefaultParagraphFont"/>
    <w:uiPriority w:val="99"/>
    <w:semiHidden/>
    <w:unhideWhenUsed/>
    <w:rsid w:val="006A20B7"/>
    <w:rPr>
      <w:color w:val="605E5C"/>
      <w:shd w:val="clear" w:color="auto" w:fill="E1DFDD"/>
    </w:rPr>
  </w:style>
  <w:style w:type="character" w:styleId="PlaceholderText">
    <w:name w:val="Placeholder Text"/>
    <w:basedOn w:val="DefaultParagraphFont"/>
    <w:uiPriority w:val="99"/>
    <w:semiHidden/>
    <w:rsid w:val="00D675B0"/>
    <w:rPr>
      <w:color w:val="808080"/>
    </w:rPr>
  </w:style>
  <w:style w:type="paragraph" w:styleId="NormalWeb">
    <w:name w:val="Normal (Web)"/>
    <w:basedOn w:val="Normal"/>
    <w:uiPriority w:val="99"/>
    <w:semiHidden/>
    <w:unhideWhenUsed/>
    <w:rsid w:val="00C6109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3B1793"/>
    <w:pPr>
      <w:spacing w:after="0" w:line="240" w:lineRule="auto"/>
    </w:pPr>
  </w:style>
  <w:style w:type="character" w:styleId="Emphasis">
    <w:name w:val="Emphasis"/>
    <w:basedOn w:val="DefaultParagraphFont"/>
    <w:uiPriority w:val="20"/>
    <w:qFormat/>
    <w:rsid w:val="00031CE1"/>
    <w:rPr>
      <w:i/>
      <w:iCs/>
    </w:rPr>
  </w:style>
  <w:style w:type="table" w:styleId="TableGrid">
    <w:name w:val="Table Grid"/>
    <w:basedOn w:val="TableNormal"/>
    <w:uiPriority w:val="39"/>
    <w:rsid w:val="002D5B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832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3238"/>
  </w:style>
  <w:style w:type="paragraph" w:styleId="Footer">
    <w:name w:val="footer"/>
    <w:basedOn w:val="Normal"/>
    <w:link w:val="FooterChar"/>
    <w:uiPriority w:val="99"/>
    <w:unhideWhenUsed/>
    <w:rsid w:val="005832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3238"/>
  </w:style>
  <w:style w:type="character" w:styleId="FollowedHyperlink">
    <w:name w:val="FollowedHyperlink"/>
    <w:basedOn w:val="DefaultParagraphFont"/>
    <w:uiPriority w:val="99"/>
    <w:semiHidden/>
    <w:unhideWhenUsed/>
    <w:rsid w:val="003F1E7A"/>
    <w:rPr>
      <w:color w:val="954F72" w:themeColor="followedHyperlink"/>
      <w:u w:val="single"/>
    </w:rPr>
  </w:style>
  <w:style w:type="character" w:styleId="LineNumber">
    <w:name w:val="line number"/>
    <w:basedOn w:val="DefaultParagraphFont"/>
    <w:uiPriority w:val="99"/>
    <w:semiHidden/>
    <w:unhideWhenUsed/>
    <w:rsid w:val="000011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257337">
      <w:bodyDiv w:val="1"/>
      <w:marLeft w:val="0"/>
      <w:marRight w:val="0"/>
      <w:marTop w:val="0"/>
      <w:marBottom w:val="0"/>
      <w:divBdr>
        <w:top w:val="none" w:sz="0" w:space="0" w:color="auto"/>
        <w:left w:val="none" w:sz="0" w:space="0" w:color="auto"/>
        <w:bottom w:val="none" w:sz="0" w:space="0" w:color="auto"/>
        <w:right w:val="none" w:sz="0" w:space="0" w:color="auto"/>
      </w:divBdr>
    </w:div>
    <w:div w:id="177231416">
      <w:bodyDiv w:val="1"/>
      <w:marLeft w:val="0"/>
      <w:marRight w:val="0"/>
      <w:marTop w:val="0"/>
      <w:marBottom w:val="0"/>
      <w:divBdr>
        <w:top w:val="none" w:sz="0" w:space="0" w:color="auto"/>
        <w:left w:val="none" w:sz="0" w:space="0" w:color="auto"/>
        <w:bottom w:val="none" w:sz="0" w:space="0" w:color="auto"/>
        <w:right w:val="none" w:sz="0" w:space="0" w:color="auto"/>
      </w:divBdr>
    </w:div>
    <w:div w:id="272565837">
      <w:bodyDiv w:val="1"/>
      <w:marLeft w:val="0"/>
      <w:marRight w:val="0"/>
      <w:marTop w:val="0"/>
      <w:marBottom w:val="0"/>
      <w:divBdr>
        <w:top w:val="none" w:sz="0" w:space="0" w:color="auto"/>
        <w:left w:val="none" w:sz="0" w:space="0" w:color="auto"/>
        <w:bottom w:val="none" w:sz="0" w:space="0" w:color="auto"/>
        <w:right w:val="none" w:sz="0" w:space="0" w:color="auto"/>
      </w:divBdr>
      <w:divsChild>
        <w:div w:id="1097822223">
          <w:marLeft w:val="0"/>
          <w:marRight w:val="0"/>
          <w:marTop w:val="0"/>
          <w:marBottom w:val="0"/>
          <w:divBdr>
            <w:top w:val="none" w:sz="0" w:space="0" w:color="auto"/>
            <w:left w:val="none" w:sz="0" w:space="0" w:color="auto"/>
            <w:bottom w:val="none" w:sz="0" w:space="0" w:color="auto"/>
            <w:right w:val="none" w:sz="0" w:space="0" w:color="auto"/>
          </w:divBdr>
        </w:div>
      </w:divsChild>
    </w:div>
    <w:div w:id="276528836">
      <w:bodyDiv w:val="1"/>
      <w:marLeft w:val="0"/>
      <w:marRight w:val="0"/>
      <w:marTop w:val="0"/>
      <w:marBottom w:val="0"/>
      <w:divBdr>
        <w:top w:val="none" w:sz="0" w:space="0" w:color="auto"/>
        <w:left w:val="none" w:sz="0" w:space="0" w:color="auto"/>
        <w:bottom w:val="none" w:sz="0" w:space="0" w:color="auto"/>
        <w:right w:val="none" w:sz="0" w:space="0" w:color="auto"/>
      </w:divBdr>
    </w:div>
    <w:div w:id="397216223">
      <w:bodyDiv w:val="1"/>
      <w:marLeft w:val="0"/>
      <w:marRight w:val="0"/>
      <w:marTop w:val="0"/>
      <w:marBottom w:val="0"/>
      <w:divBdr>
        <w:top w:val="none" w:sz="0" w:space="0" w:color="auto"/>
        <w:left w:val="none" w:sz="0" w:space="0" w:color="auto"/>
        <w:bottom w:val="none" w:sz="0" w:space="0" w:color="auto"/>
        <w:right w:val="none" w:sz="0" w:space="0" w:color="auto"/>
      </w:divBdr>
    </w:div>
    <w:div w:id="406346841">
      <w:bodyDiv w:val="1"/>
      <w:marLeft w:val="0"/>
      <w:marRight w:val="0"/>
      <w:marTop w:val="0"/>
      <w:marBottom w:val="0"/>
      <w:divBdr>
        <w:top w:val="none" w:sz="0" w:space="0" w:color="auto"/>
        <w:left w:val="none" w:sz="0" w:space="0" w:color="auto"/>
        <w:bottom w:val="none" w:sz="0" w:space="0" w:color="auto"/>
        <w:right w:val="none" w:sz="0" w:space="0" w:color="auto"/>
      </w:divBdr>
    </w:div>
    <w:div w:id="502814696">
      <w:bodyDiv w:val="1"/>
      <w:marLeft w:val="0"/>
      <w:marRight w:val="0"/>
      <w:marTop w:val="0"/>
      <w:marBottom w:val="0"/>
      <w:divBdr>
        <w:top w:val="none" w:sz="0" w:space="0" w:color="auto"/>
        <w:left w:val="none" w:sz="0" w:space="0" w:color="auto"/>
        <w:bottom w:val="none" w:sz="0" w:space="0" w:color="auto"/>
        <w:right w:val="none" w:sz="0" w:space="0" w:color="auto"/>
      </w:divBdr>
    </w:div>
    <w:div w:id="879054577">
      <w:bodyDiv w:val="1"/>
      <w:marLeft w:val="0"/>
      <w:marRight w:val="0"/>
      <w:marTop w:val="0"/>
      <w:marBottom w:val="0"/>
      <w:divBdr>
        <w:top w:val="none" w:sz="0" w:space="0" w:color="auto"/>
        <w:left w:val="none" w:sz="0" w:space="0" w:color="auto"/>
        <w:bottom w:val="none" w:sz="0" w:space="0" w:color="auto"/>
        <w:right w:val="none" w:sz="0" w:space="0" w:color="auto"/>
      </w:divBdr>
    </w:div>
    <w:div w:id="889920520">
      <w:bodyDiv w:val="1"/>
      <w:marLeft w:val="0"/>
      <w:marRight w:val="0"/>
      <w:marTop w:val="0"/>
      <w:marBottom w:val="0"/>
      <w:divBdr>
        <w:top w:val="none" w:sz="0" w:space="0" w:color="auto"/>
        <w:left w:val="none" w:sz="0" w:space="0" w:color="auto"/>
        <w:bottom w:val="none" w:sz="0" w:space="0" w:color="auto"/>
        <w:right w:val="none" w:sz="0" w:space="0" w:color="auto"/>
      </w:divBdr>
    </w:div>
    <w:div w:id="1117330531">
      <w:bodyDiv w:val="1"/>
      <w:marLeft w:val="0"/>
      <w:marRight w:val="0"/>
      <w:marTop w:val="0"/>
      <w:marBottom w:val="0"/>
      <w:divBdr>
        <w:top w:val="none" w:sz="0" w:space="0" w:color="auto"/>
        <w:left w:val="none" w:sz="0" w:space="0" w:color="auto"/>
        <w:bottom w:val="none" w:sz="0" w:space="0" w:color="auto"/>
        <w:right w:val="none" w:sz="0" w:space="0" w:color="auto"/>
      </w:divBdr>
      <w:divsChild>
        <w:div w:id="1720474936">
          <w:marLeft w:val="1166"/>
          <w:marRight w:val="0"/>
          <w:marTop w:val="96"/>
          <w:marBottom w:val="0"/>
          <w:divBdr>
            <w:top w:val="none" w:sz="0" w:space="0" w:color="auto"/>
            <w:left w:val="none" w:sz="0" w:space="0" w:color="auto"/>
            <w:bottom w:val="none" w:sz="0" w:space="0" w:color="auto"/>
            <w:right w:val="none" w:sz="0" w:space="0" w:color="auto"/>
          </w:divBdr>
        </w:div>
      </w:divsChild>
    </w:div>
    <w:div w:id="1548296075">
      <w:bodyDiv w:val="1"/>
      <w:marLeft w:val="0"/>
      <w:marRight w:val="0"/>
      <w:marTop w:val="0"/>
      <w:marBottom w:val="0"/>
      <w:divBdr>
        <w:top w:val="none" w:sz="0" w:space="0" w:color="auto"/>
        <w:left w:val="none" w:sz="0" w:space="0" w:color="auto"/>
        <w:bottom w:val="none" w:sz="0" w:space="0" w:color="auto"/>
        <w:right w:val="none" w:sz="0" w:space="0" w:color="auto"/>
      </w:divBdr>
    </w:div>
    <w:div w:id="1570995726">
      <w:bodyDiv w:val="1"/>
      <w:marLeft w:val="0"/>
      <w:marRight w:val="0"/>
      <w:marTop w:val="0"/>
      <w:marBottom w:val="0"/>
      <w:divBdr>
        <w:top w:val="none" w:sz="0" w:space="0" w:color="auto"/>
        <w:left w:val="none" w:sz="0" w:space="0" w:color="auto"/>
        <w:bottom w:val="none" w:sz="0" w:space="0" w:color="auto"/>
        <w:right w:val="none" w:sz="0" w:space="0" w:color="auto"/>
      </w:divBdr>
    </w:div>
    <w:div w:id="1925215761">
      <w:bodyDiv w:val="1"/>
      <w:marLeft w:val="0"/>
      <w:marRight w:val="0"/>
      <w:marTop w:val="0"/>
      <w:marBottom w:val="0"/>
      <w:divBdr>
        <w:top w:val="none" w:sz="0" w:space="0" w:color="auto"/>
        <w:left w:val="none" w:sz="0" w:space="0" w:color="auto"/>
        <w:bottom w:val="none" w:sz="0" w:space="0" w:color="auto"/>
        <w:right w:val="none" w:sz="0" w:space="0" w:color="auto"/>
      </w:divBdr>
    </w:div>
    <w:div w:id="206294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3-4461-3629" TargetMode="External"/><Relationship Id="rId18" Type="http://schemas.openxmlformats.org/officeDocument/2006/relationships/hyperlink" Target="https://www.famoco.com/android-devices/handheld-devices/fx100/" TargetMode="External"/><Relationship Id="rId26" Type="http://schemas.openxmlformats.org/officeDocument/2006/relationships/footer" Target="footer1.xml"/><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yperlink" Target="https://doi.org/10.1177/00307270211045410" TargetMode="External"/><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orcid.org/0000-0002-2735-3485" TargetMode="External"/><Relationship Id="rId17" Type="http://schemas.openxmlformats.org/officeDocument/2006/relationships/hyperlink" Target="https://support.kobotoolbox.org/welcome.html" TargetMode="External"/><Relationship Id="rId25" Type="http://schemas.openxmlformats.org/officeDocument/2006/relationships/image" Target="media/image7.png"/><Relationship Id="rId33" Type="http://schemas.openxmlformats.org/officeDocument/2006/relationships/hyperlink" Target="https://kirstylhassall.shinyapps.io/TypologyGenerator/" TargetMode="External"/><Relationship Id="rId38" Type="http://schemas.openxmlformats.org/officeDocument/2006/relationships/image" Target="media/image16.png"/><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hyperlink" Target="https://emea01.safelinks.protection.outlook.com/?url=https%3A%2F%2Forcid.org%2F0000-0003-0389-8373%3Flang%3Den&amp;data=01%7C01%7Cstephan.haefele%40rothamsted.ac.uk%7Cffa7c5dd88844313d4fe08d64ad90a9a%7Cb688362589414342b0e37b8cc8392f64%7C1&amp;sdata=M9b79ZlsmAKSgJ7HWh2auWj%2FveGbvnNWow5vklM6BjQ%3D&amp;reserved=0" TargetMode="External"/><Relationship Id="rId20" Type="http://schemas.openxmlformats.org/officeDocument/2006/relationships/image" Target="media/image2.png"/><Relationship Id="rId29" Type="http://schemas.openxmlformats.org/officeDocument/2006/relationships/image" Target="media/image10.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2-6700-3754" TargetMode="External"/><Relationship Id="rId24" Type="http://schemas.openxmlformats.org/officeDocument/2006/relationships/image" Target="media/image6.png"/><Relationship Id="rId32" Type="http://schemas.openxmlformats.org/officeDocument/2006/relationships/hyperlink" Target="https://github.com/KirstyLHassall/TypologyGenerator" TargetMode="Externa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hyperlink" Target="https://orcid.org/0000-0003-0952-8947"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4.png"/><Relationship Id="rId49" Type="http://schemas.openxmlformats.org/officeDocument/2006/relationships/fontTable" Target="fontTable.xml"/><Relationship Id="rId10" Type="http://schemas.openxmlformats.org/officeDocument/2006/relationships/hyperlink" Target="https://orcid.org/0000-0002-5648-2083" TargetMode="External"/><Relationship Id="rId19" Type="http://schemas.openxmlformats.org/officeDocument/2006/relationships/image" Target="media/image1.png"/><Relationship Id="rId31" Type="http://schemas.openxmlformats.org/officeDocument/2006/relationships/image" Target="media/image12.jpeg"/><Relationship Id="rId44"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s://orcid.org/0000-0003-0033-1136" TargetMode="External"/><Relationship Id="rId14" Type="http://schemas.openxmlformats.org/officeDocument/2006/relationships/hyperlink" Target="https://orcid.org/0000-0003-0180-234X"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8" Type="http://schemas.openxmlformats.org/officeDocument/2006/relationships/hyperlink" Target="mailto:kirsty.hassall@rothamsted.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9FF7A74-D2E7-4724-A908-DF7DCD9146BF}">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3A3F2CF3-8631-4F4F-B99A-D0850253F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7942</Words>
  <Characters>45276</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 Hassall</dc:creator>
  <cp:keywords/>
  <dc:description/>
  <cp:lastModifiedBy>Kirsty Hassall</cp:lastModifiedBy>
  <cp:revision>3</cp:revision>
  <dcterms:created xsi:type="dcterms:W3CDTF">2023-06-28T09:32:00Z</dcterms:created>
  <dcterms:modified xsi:type="dcterms:W3CDTF">2023-06-28T09:32:00Z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49133854-1894-3d4a-9fc1-e27e24aa8a34</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http://www.zotero.org/styles/conservation-biology</vt:lpwstr>
  </property>
  <property fmtid="{D5CDD505-2E9C-101B-9397-08002B2CF9AE}" pid="16" name="Mendeley Recent Style Name 5_1">
    <vt:lpwstr>Conservation Biology</vt:lpwstr>
  </property>
  <property fmtid="{D5CDD505-2E9C-101B-9397-08002B2CF9AE}" pid="17" name="Mendeley Recent Style Id 6_1">
    <vt:lpwstr>http://www.zotero.org/styles/field-crops-research</vt:lpwstr>
  </property>
  <property fmtid="{D5CDD505-2E9C-101B-9397-08002B2CF9AE}" pid="18" name="Mendeley Recent Style Name 6_1">
    <vt:lpwstr>Field Crops Research</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