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BCB8A" w14:textId="28D475CD" w:rsidR="00273628" w:rsidRPr="001255D0" w:rsidRDefault="00273628">
      <w:pPr>
        <w:rPr>
          <w:b/>
          <w:bCs/>
          <w:sz w:val="28"/>
          <w:szCs w:val="28"/>
        </w:rPr>
      </w:pPr>
      <w:r w:rsidRPr="001255D0">
        <w:rPr>
          <w:b/>
          <w:bCs/>
          <w:sz w:val="28"/>
          <w:szCs w:val="28"/>
        </w:rPr>
        <w:t>RR</w:t>
      </w:r>
      <w:r w:rsidR="001255D0" w:rsidRPr="001255D0">
        <w:rPr>
          <w:b/>
          <w:bCs/>
          <w:sz w:val="28"/>
          <w:szCs w:val="28"/>
        </w:rPr>
        <w:t>ES</w:t>
      </w:r>
      <w:r w:rsidRPr="001255D0">
        <w:rPr>
          <w:b/>
          <w:bCs/>
          <w:sz w:val="28"/>
          <w:szCs w:val="28"/>
        </w:rPr>
        <w:t xml:space="preserve"> Press Release 27 March 2024 First </w:t>
      </w:r>
      <w:proofErr w:type="spellStart"/>
      <w:r w:rsidRPr="001255D0">
        <w:rPr>
          <w:b/>
          <w:bCs/>
          <w:sz w:val="28"/>
          <w:szCs w:val="28"/>
        </w:rPr>
        <w:t>phoma</w:t>
      </w:r>
      <w:proofErr w:type="spellEnd"/>
      <w:r w:rsidRPr="001255D0">
        <w:rPr>
          <w:b/>
          <w:bCs/>
          <w:sz w:val="28"/>
          <w:szCs w:val="28"/>
        </w:rPr>
        <w:t xml:space="preserve"> leaf spot resistance to azole fungicide found in western </w:t>
      </w:r>
      <w:proofErr w:type="gramStart"/>
      <w:r w:rsidRPr="001255D0">
        <w:rPr>
          <w:b/>
          <w:bCs/>
          <w:sz w:val="28"/>
          <w:szCs w:val="28"/>
        </w:rPr>
        <w:t>Europe</w:t>
      </w:r>
      <w:proofErr w:type="gramEnd"/>
    </w:p>
    <w:p w14:paraId="6D69D36E" w14:textId="050F112F" w:rsidR="00273628" w:rsidRPr="001255D0" w:rsidRDefault="00273628">
      <w:pPr>
        <w:rPr>
          <w:b/>
          <w:bCs/>
          <w:i/>
          <w:iCs/>
          <w:sz w:val="28"/>
          <w:szCs w:val="28"/>
        </w:rPr>
      </w:pPr>
      <w:r w:rsidRPr="001255D0">
        <w:rPr>
          <w:b/>
          <w:bCs/>
          <w:i/>
          <w:iCs/>
          <w:sz w:val="28"/>
          <w:szCs w:val="28"/>
        </w:rPr>
        <w:t>Results prompt growing concern for future of oilseed rape yields</w:t>
      </w:r>
    </w:p>
    <w:p w14:paraId="0DB64298" w14:textId="77777777" w:rsidR="00273628" w:rsidRDefault="00273628" w:rsidP="00273628">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 xml:space="preserve">The fungal species that cause </w:t>
      </w:r>
      <w:proofErr w:type="spellStart"/>
      <w:r>
        <w:rPr>
          <w:rFonts w:ascii="Calibri" w:hAnsi="Calibri" w:cs="Calibri"/>
          <w:color w:val="000000"/>
          <w:sz w:val="27"/>
          <w:szCs w:val="27"/>
        </w:rPr>
        <w:t>Phoma</w:t>
      </w:r>
      <w:proofErr w:type="spellEnd"/>
      <w:r>
        <w:rPr>
          <w:rFonts w:ascii="Calibri" w:hAnsi="Calibri" w:cs="Calibri"/>
          <w:color w:val="000000"/>
          <w:sz w:val="27"/>
          <w:szCs w:val="27"/>
        </w:rPr>
        <w:t xml:space="preserve"> leaf spot and stem canker in oilseed rape are showing decreased sensitivity to some chemical controls, sparking concerns for growers in Western Europe, according to a new study.</w:t>
      </w:r>
    </w:p>
    <w:p w14:paraId="24257FC9" w14:textId="77777777" w:rsidR="00273628" w:rsidRDefault="00273628" w:rsidP="00273628">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The diseases damage brassicas and are caused by two fungal species </w:t>
      </w:r>
      <w:proofErr w:type="spellStart"/>
      <w:r>
        <w:rPr>
          <w:rStyle w:val="Emphasis"/>
          <w:rFonts w:ascii="Arial" w:hAnsi="Arial" w:cs="Arial"/>
          <w:color w:val="000000"/>
          <w:sz w:val="27"/>
          <w:szCs w:val="27"/>
        </w:rPr>
        <w:t>Plenodomus</w:t>
      </w:r>
      <w:proofErr w:type="spellEnd"/>
      <w:r>
        <w:rPr>
          <w:rStyle w:val="Emphasis"/>
          <w:rFonts w:ascii="Arial" w:hAnsi="Arial" w:cs="Arial"/>
          <w:color w:val="000000"/>
          <w:sz w:val="27"/>
          <w:szCs w:val="27"/>
        </w:rPr>
        <w:t xml:space="preserve"> lingam </w:t>
      </w:r>
      <w:r>
        <w:rPr>
          <w:rFonts w:ascii="Calibri" w:hAnsi="Calibri" w:cs="Calibri"/>
          <w:color w:val="000000"/>
          <w:sz w:val="27"/>
          <w:szCs w:val="27"/>
        </w:rPr>
        <w:t>(</w:t>
      </w:r>
      <w:r>
        <w:rPr>
          <w:rStyle w:val="Emphasis"/>
          <w:rFonts w:ascii="Arial" w:hAnsi="Arial" w:cs="Arial"/>
          <w:color w:val="000000"/>
          <w:sz w:val="27"/>
          <w:szCs w:val="27"/>
        </w:rPr>
        <w:t xml:space="preserve">Leptosphaeria </w:t>
      </w:r>
      <w:proofErr w:type="spellStart"/>
      <w:r>
        <w:rPr>
          <w:rStyle w:val="Emphasis"/>
          <w:rFonts w:ascii="Arial" w:hAnsi="Arial" w:cs="Arial"/>
          <w:color w:val="000000"/>
          <w:sz w:val="27"/>
          <w:szCs w:val="27"/>
        </w:rPr>
        <w:t>maculans</w:t>
      </w:r>
      <w:proofErr w:type="spellEnd"/>
      <w:r>
        <w:rPr>
          <w:rFonts w:ascii="Calibri" w:hAnsi="Calibri" w:cs="Calibri"/>
          <w:color w:val="000000"/>
          <w:sz w:val="27"/>
          <w:szCs w:val="27"/>
        </w:rPr>
        <w:t>) and </w:t>
      </w:r>
      <w:r>
        <w:rPr>
          <w:rStyle w:val="Emphasis"/>
          <w:rFonts w:ascii="Arial" w:hAnsi="Arial" w:cs="Arial"/>
          <w:color w:val="000000"/>
          <w:sz w:val="27"/>
          <w:szCs w:val="27"/>
        </w:rPr>
        <w:t xml:space="preserve">P. </w:t>
      </w:r>
      <w:proofErr w:type="spellStart"/>
      <w:r>
        <w:rPr>
          <w:rStyle w:val="Emphasis"/>
          <w:rFonts w:ascii="Arial" w:hAnsi="Arial" w:cs="Arial"/>
          <w:color w:val="000000"/>
          <w:sz w:val="27"/>
          <w:szCs w:val="27"/>
        </w:rPr>
        <w:t>biglobosus</w:t>
      </w:r>
      <w:proofErr w:type="spellEnd"/>
      <w:r>
        <w:rPr>
          <w:rStyle w:val="Emphasis"/>
          <w:rFonts w:ascii="Arial" w:hAnsi="Arial" w:cs="Arial"/>
          <w:color w:val="000000"/>
          <w:sz w:val="27"/>
          <w:szCs w:val="27"/>
        </w:rPr>
        <w:t> </w:t>
      </w:r>
      <w:r>
        <w:rPr>
          <w:rFonts w:ascii="Calibri" w:hAnsi="Calibri" w:cs="Calibri"/>
          <w:color w:val="000000"/>
          <w:sz w:val="27"/>
          <w:szCs w:val="27"/>
        </w:rPr>
        <w:t>(</w:t>
      </w:r>
      <w:r>
        <w:rPr>
          <w:rStyle w:val="Emphasis"/>
          <w:rFonts w:ascii="Arial" w:hAnsi="Arial" w:cs="Arial"/>
          <w:color w:val="000000"/>
          <w:sz w:val="27"/>
          <w:szCs w:val="27"/>
        </w:rPr>
        <w:t xml:space="preserve">L. </w:t>
      </w:r>
      <w:proofErr w:type="spellStart"/>
      <w:r>
        <w:rPr>
          <w:rStyle w:val="Emphasis"/>
          <w:rFonts w:ascii="Arial" w:hAnsi="Arial" w:cs="Arial"/>
          <w:color w:val="000000"/>
          <w:sz w:val="27"/>
          <w:szCs w:val="27"/>
        </w:rPr>
        <w:t>biglobosa</w:t>
      </w:r>
      <w:proofErr w:type="spellEnd"/>
      <w:r>
        <w:rPr>
          <w:rFonts w:ascii="Calibri" w:hAnsi="Calibri" w:cs="Calibri"/>
          <w:color w:val="000000"/>
          <w:sz w:val="27"/>
          <w:szCs w:val="27"/>
        </w:rPr>
        <w:t>). In Europe, a range of fungicides are used for control, but azoles (known as DMIs) which act as inhibitors for a fungal enzyme, are fast becoming ineffective.</w:t>
      </w:r>
    </w:p>
    <w:p w14:paraId="4DA40F32" w14:textId="77777777" w:rsidR="00273628" w:rsidRDefault="00273628" w:rsidP="00273628">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“Decreased DMI sensitivity has already emerged in Australian and eastern European </w:t>
      </w:r>
      <w:r>
        <w:rPr>
          <w:rStyle w:val="Emphasis"/>
          <w:rFonts w:ascii="Arial" w:hAnsi="Arial" w:cs="Arial"/>
          <w:color w:val="000000"/>
          <w:sz w:val="27"/>
          <w:szCs w:val="27"/>
        </w:rPr>
        <w:t>P. lingam </w:t>
      </w:r>
      <w:r>
        <w:rPr>
          <w:rFonts w:ascii="Calibri" w:hAnsi="Calibri" w:cs="Calibri"/>
          <w:color w:val="000000"/>
          <w:sz w:val="27"/>
          <w:szCs w:val="27"/>
        </w:rPr>
        <w:t>populations,” says Dr Kevin King, who led the research. “However, we are now seeing it in Western Europe, which is very worrying.”</w:t>
      </w:r>
    </w:p>
    <w:p w14:paraId="29E7CE74" w14:textId="77777777" w:rsidR="00273628" w:rsidRDefault="00273628" w:rsidP="00273628">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The study was based on </w:t>
      </w:r>
      <w:r>
        <w:rPr>
          <w:rStyle w:val="Emphasis"/>
          <w:rFonts w:ascii="Arial" w:hAnsi="Arial" w:cs="Arial"/>
          <w:color w:val="000000"/>
          <w:sz w:val="27"/>
          <w:szCs w:val="27"/>
        </w:rPr>
        <w:t>in vitro </w:t>
      </w:r>
      <w:r>
        <w:rPr>
          <w:rFonts w:ascii="Calibri" w:hAnsi="Calibri" w:cs="Calibri"/>
          <w:color w:val="000000"/>
          <w:sz w:val="27"/>
          <w:szCs w:val="27"/>
        </w:rPr>
        <w:t>sensitivity testing. Decreased DMI sensitivity was found in modern western European </w:t>
      </w:r>
      <w:r>
        <w:rPr>
          <w:rStyle w:val="Emphasis"/>
          <w:rFonts w:ascii="Arial" w:hAnsi="Arial" w:cs="Arial"/>
          <w:color w:val="000000"/>
          <w:sz w:val="27"/>
          <w:szCs w:val="27"/>
        </w:rPr>
        <w:t>P. lingam </w:t>
      </w:r>
      <w:r>
        <w:rPr>
          <w:rFonts w:ascii="Calibri" w:hAnsi="Calibri" w:cs="Calibri"/>
          <w:color w:val="000000"/>
          <w:sz w:val="27"/>
          <w:szCs w:val="27"/>
        </w:rPr>
        <w:t>isolates (collected 2022-23) compared to baseline historical (1992-2005) isolates. </w:t>
      </w:r>
    </w:p>
    <w:p w14:paraId="3CE7F116" w14:textId="77777777" w:rsidR="00273628" w:rsidRDefault="00273628" w:rsidP="00273628">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 xml:space="preserve">The genetic sequence identified as responsible for the change was associated with a </w:t>
      </w:r>
      <w:proofErr w:type="gramStart"/>
      <w:r>
        <w:rPr>
          <w:rFonts w:ascii="Calibri" w:hAnsi="Calibri" w:cs="Calibri"/>
          <w:color w:val="000000"/>
          <w:sz w:val="27"/>
          <w:szCs w:val="27"/>
        </w:rPr>
        <w:t>3-10 fold</w:t>
      </w:r>
      <w:proofErr w:type="gramEnd"/>
      <w:r>
        <w:rPr>
          <w:rFonts w:ascii="Calibri" w:hAnsi="Calibri" w:cs="Calibri"/>
          <w:color w:val="000000"/>
          <w:sz w:val="27"/>
          <w:szCs w:val="27"/>
        </w:rPr>
        <w:t xml:space="preserve"> decrease in sensitivity to the DMIs tested. </w:t>
      </w:r>
    </w:p>
    <w:p w14:paraId="2918B4A2" w14:textId="77777777" w:rsidR="00273628" w:rsidRDefault="00273628" w:rsidP="00273628">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In contrast to </w:t>
      </w:r>
      <w:r>
        <w:rPr>
          <w:rStyle w:val="Emphasis"/>
          <w:rFonts w:ascii="Arial" w:hAnsi="Arial" w:cs="Arial"/>
          <w:color w:val="000000"/>
          <w:sz w:val="27"/>
          <w:szCs w:val="27"/>
        </w:rPr>
        <w:t>P. lingam </w:t>
      </w:r>
      <w:r>
        <w:rPr>
          <w:rFonts w:ascii="Calibri" w:hAnsi="Calibri" w:cs="Calibri"/>
          <w:color w:val="000000"/>
          <w:sz w:val="27"/>
          <w:szCs w:val="27"/>
        </w:rPr>
        <w:t>however, the same genetic sequences were absent in modern western European </w:t>
      </w:r>
      <w:r>
        <w:rPr>
          <w:rStyle w:val="Emphasis"/>
          <w:rFonts w:ascii="Arial" w:hAnsi="Arial" w:cs="Arial"/>
          <w:color w:val="000000"/>
          <w:sz w:val="27"/>
          <w:szCs w:val="27"/>
        </w:rPr>
        <w:t xml:space="preserve">P. </w:t>
      </w:r>
      <w:proofErr w:type="spellStart"/>
      <w:r>
        <w:rPr>
          <w:rStyle w:val="Emphasis"/>
          <w:rFonts w:ascii="Arial" w:hAnsi="Arial" w:cs="Arial"/>
          <w:color w:val="000000"/>
          <w:sz w:val="27"/>
          <w:szCs w:val="27"/>
        </w:rPr>
        <w:t>biglobosus</w:t>
      </w:r>
      <w:proofErr w:type="spellEnd"/>
      <w:r>
        <w:rPr>
          <w:rStyle w:val="Emphasis"/>
          <w:rFonts w:ascii="Arial" w:hAnsi="Arial" w:cs="Arial"/>
          <w:color w:val="000000"/>
          <w:sz w:val="27"/>
          <w:szCs w:val="27"/>
        </w:rPr>
        <w:t> </w:t>
      </w:r>
      <w:r>
        <w:rPr>
          <w:rFonts w:ascii="Calibri" w:hAnsi="Calibri" w:cs="Calibri"/>
          <w:color w:val="000000"/>
          <w:sz w:val="27"/>
          <w:szCs w:val="27"/>
        </w:rPr>
        <w:t>isolates (2021-23). </w:t>
      </w:r>
    </w:p>
    <w:p w14:paraId="33D663F3" w14:textId="77777777" w:rsidR="00273628" w:rsidRDefault="00273628" w:rsidP="00273628">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 xml:space="preserve">“To date, there is no evidence that sensitivity to other control agents is changing for either species,” says Dr King. “So other fungicides such as </w:t>
      </w:r>
      <w:proofErr w:type="spellStart"/>
      <w:r>
        <w:rPr>
          <w:rFonts w:ascii="Calibri" w:hAnsi="Calibri" w:cs="Calibri"/>
          <w:color w:val="000000"/>
          <w:sz w:val="27"/>
          <w:szCs w:val="27"/>
        </w:rPr>
        <w:t>QoI</w:t>
      </w:r>
      <w:proofErr w:type="spellEnd"/>
      <w:r>
        <w:rPr>
          <w:rFonts w:ascii="Calibri" w:hAnsi="Calibri" w:cs="Calibri"/>
          <w:color w:val="000000"/>
          <w:sz w:val="27"/>
          <w:szCs w:val="27"/>
        </w:rPr>
        <w:t xml:space="preserve"> (</w:t>
      </w:r>
      <w:proofErr w:type="spellStart"/>
      <w:r>
        <w:rPr>
          <w:rFonts w:ascii="Calibri" w:hAnsi="Calibri" w:cs="Calibri"/>
          <w:color w:val="000000"/>
          <w:sz w:val="27"/>
          <w:szCs w:val="27"/>
        </w:rPr>
        <w:t>pyraclostrobin</w:t>
      </w:r>
      <w:proofErr w:type="spellEnd"/>
      <w:r>
        <w:rPr>
          <w:rFonts w:ascii="Calibri" w:hAnsi="Calibri" w:cs="Calibri"/>
          <w:color w:val="000000"/>
          <w:sz w:val="27"/>
          <w:szCs w:val="27"/>
        </w:rPr>
        <w:t>) or SDHI (</w:t>
      </w:r>
      <w:proofErr w:type="spellStart"/>
      <w:r>
        <w:rPr>
          <w:rFonts w:ascii="Calibri" w:hAnsi="Calibri" w:cs="Calibri"/>
          <w:color w:val="000000"/>
          <w:sz w:val="27"/>
          <w:szCs w:val="27"/>
        </w:rPr>
        <w:t>boscalid</w:t>
      </w:r>
      <w:proofErr w:type="spellEnd"/>
      <w:r>
        <w:rPr>
          <w:rFonts w:ascii="Calibri" w:hAnsi="Calibri" w:cs="Calibri"/>
          <w:color w:val="000000"/>
          <w:sz w:val="27"/>
          <w:szCs w:val="27"/>
        </w:rPr>
        <w:t>) should remain effective for now – but relying too heavily on a smaller arsenal of chemicals may well generate more instances of resistance developing in future. More integrated pest control options that incorporate biological agents and different approaches to cultivation and cropping should be explored.”</w:t>
      </w:r>
    </w:p>
    <w:p w14:paraId="42C5247D" w14:textId="77777777" w:rsidR="00273628" w:rsidRDefault="00273628" w:rsidP="00273628">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The research was funded by the </w:t>
      </w:r>
      <w:hyperlink r:id="rId4" w:history="1">
        <w:r>
          <w:rPr>
            <w:rStyle w:val="Hyperlink"/>
            <w:rFonts w:ascii="Calibri" w:hAnsi="Calibri" w:cs="Calibri"/>
            <w:color w:val="0E6633"/>
            <w:sz w:val="27"/>
            <w:szCs w:val="27"/>
          </w:rPr>
          <w:t>BBSRC</w:t>
        </w:r>
      </w:hyperlink>
      <w:r>
        <w:rPr>
          <w:rFonts w:ascii="Calibri" w:hAnsi="Calibri" w:cs="Calibri"/>
          <w:color w:val="000000"/>
          <w:sz w:val="27"/>
          <w:szCs w:val="27"/>
        </w:rPr>
        <w:t> under the </w:t>
      </w:r>
      <w:hyperlink r:id="rId5" w:history="1">
        <w:r>
          <w:rPr>
            <w:rStyle w:val="Hyperlink"/>
            <w:rFonts w:ascii="Calibri" w:hAnsi="Calibri" w:cs="Calibri"/>
            <w:color w:val="0E6633"/>
            <w:sz w:val="27"/>
            <w:szCs w:val="27"/>
          </w:rPr>
          <w:t>Growing Health</w:t>
        </w:r>
      </w:hyperlink>
      <w:r>
        <w:rPr>
          <w:rFonts w:ascii="Calibri" w:hAnsi="Calibri" w:cs="Calibri"/>
          <w:color w:val="000000"/>
          <w:sz w:val="27"/>
          <w:szCs w:val="27"/>
        </w:rPr>
        <w:t> and </w:t>
      </w:r>
      <w:hyperlink r:id="rId6" w:history="1">
        <w:r>
          <w:rPr>
            <w:rStyle w:val="Hyperlink"/>
            <w:rFonts w:ascii="Calibri" w:hAnsi="Calibri" w:cs="Calibri"/>
            <w:color w:val="0E6633"/>
            <w:sz w:val="27"/>
            <w:szCs w:val="27"/>
          </w:rPr>
          <w:t>Resilient Farming Futures</w:t>
        </w:r>
      </w:hyperlink>
      <w:r>
        <w:rPr>
          <w:rFonts w:ascii="Calibri" w:hAnsi="Calibri" w:cs="Calibri"/>
          <w:color w:val="000000"/>
          <w:sz w:val="27"/>
          <w:szCs w:val="27"/>
        </w:rPr>
        <w:t> strategic research programmes.</w:t>
      </w:r>
    </w:p>
    <w:p w14:paraId="02D1AED1" w14:textId="3F0911AB" w:rsidR="00273628" w:rsidRPr="00273628" w:rsidRDefault="00273628">
      <w:pPr>
        <w:rPr>
          <w:b/>
          <w:bCs/>
          <w:sz w:val="36"/>
          <w:szCs w:val="36"/>
        </w:rPr>
      </w:pPr>
      <w:r w:rsidRPr="00273628">
        <w:rPr>
          <w:b/>
          <w:bCs/>
          <w:sz w:val="36"/>
          <w:szCs w:val="36"/>
        </w:rPr>
        <w:t>Publication</w:t>
      </w:r>
    </w:p>
    <w:p w14:paraId="0ECF85E5" w14:textId="04BCB2D3" w:rsidR="00273628" w:rsidRDefault="00273628">
      <w:r>
        <w:rPr>
          <w:rStyle w:val="author"/>
          <w:rFonts w:ascii="Open Sans" w:hAnsi="Open Sans" w:cs="Open Sans"/>
          <w:color w:val="1C1D1E"/>
          <w:sz w:val="21"/>
          <w:szCs w:val="21"/>
          <w:shd w:val="clear" w:color="auto" w:fill="FFFFFF"/>
        </w:rPr>
        <w:t>King, K.M.</w:t>
      </w:r>
      <w:r>
        <w:rPr>
          <w:rFonts w:ascii="Open Sans" w:hAnsi="Open Sans" w:cs="Open Sans"/>
          <w:color w:val="1C1D1E"/>
          <w:sz w:val="21"/>
          <w:szCs w:val="21"/>
          <w:shd w:val="clear" w:color="auto" w:fill="FFFFFF"/>
        </w:rPr>
        <w:t>, </w:t>
      </w:r>
      <w:r>
        <w:rPr>
          <w:rStyle w:val="author"/>
          <w:rFonts w:ascii="Open Sans" w:hAnsi="Open Sans" w:cs="Open Sans"/>
          <w:color w:val="1C1D1E"/>
          <w:sz w:val="21"/>
          <w:szCs w:val="21"/>
          <w:shd w:val="clear" w:color="auto" w:fill="FFFFFF"/>
        </w:rPr>
        <w:t>Barr, L.</w:t>
      </w:r>
      <w:r>
        <w:rPr>
          <w:rFonts w:ascii="Open Sans" w:hAnsi="Open Sans" w:cs="Open Sans"/>
          <w:color w:val="1C1D1E"/>
          <w:sz w:val="21"/>
          <w:szCs w:val="21"/>
          <w:shd w:val="clear" w:color="auto" w:fill="FFFFFF"/>
        </w:rPr>
        <w:t>, </w:t>
      </w:r>
      <w:r>
        <w:rPr>
          <w:rStyle w:val="author"/>
          <w:rFonts w:ascii="Open Sans" w:hAnsi="Open Sans" w:cs="Open Sans"/>
          <w:color w:val="1C1D1E"/>
          <w:sz w:val="21"/>
          <w:szCs w:val="21"/>
          <w:shd w:val="clear" w:color="auto" w:fill="FFFFFF"/>
        </w:rPr>
        <w:t>Bousquet, L.</w:t>
      </w:r>
      <w:r>
        <w:rPr>
          <w:rFonts w:ascii="Open Sans" w:hAnsi="Open Sans" w:cs="Open Sans"/>
          <w:color w:val="1C1D1E"/>
          <w:sz w:val="21"/>
          <w:szCs w:val="21"/>
          <w:shd w:val="clear" w:color="auto" w:fill="FFFFFF"/>
        </w:rPr>
        <w:t>, </w:t>
      </w:r>
      <w:r>
        <w:rPr>
          <w:rStyle w:val="author"/>
          <w:rFonts w:ascii="Open Sans" w:hAnsi="Open Sans" w:cs="Open Sans"/>
          <w:color w:val="1C1D1E"/>
          <w:sz w:val="21"/>
          <w:szCs w:val="21"/>
          <w:shd w:val="clear" w:color="auto" w:fill="FFFFFF"/>
        </w:rPr>
        <w:t>Glaab, A.</w:t>
      </w:r>
      <w:r>
        <w:rPr>
          <w:rFonts w:ascii="Open Sans" w:hAnsi="Open Sans" w:cs="Open Sans"/>
          <w:color w:val="1C1D1E"/>
          <w:sz w:val="21"/>
          <w:szCs w:val="21"/>
          <w:shd w:val="clear" w:color="auto" w:fill="FFFFFF"/>
        </w:rPr>
        <w:t>, </w:t>
      </w:r>
      <w:r>
        <w:rPr>
          <w:rStyle w:val="author"/>
          <w:rFonts w:ascii="Open Sans" w:hAnsi="Open Sans" w:cs="Open Sans"/>
          <w:color w:val="1C1D1E"/>
          <w:sz w:val="21"/>
          <w:szCs w:val="21"/>
          <w:shd w:val="clear" w:color="auto" w:fill="FFFFFF"/>
        </w:rPr>
        <w:t>Canning, G.</w:t>
      </w:r>
      <w:r>
        <w:rPr>
          <w:rFonts w:ascii="Open Sans" w:hAnsi="Open Sans" w:cs="Open Sans"/>
          <w:color w:val="1C1D1E"/>
          <w:sz w:val="21"/>
          <w:szCs w:val="21"/>
          <w:shd w:val="clear" w:color="auto" w:fill="FFFFFF"/>
        </w:rPr>
        <w:t>, </w:t>
      </w:r>
      <w:r>
        <w:rPr>
          <w:rStyle w:val="author"/>
          <w:rFonts w:ascii="Open Sans" w:hAnsi="Open Sans" w:cs="Open Sans"/>
          <w:color w:val="1C1D1E"/>
          <w:sz w:val="21"/>
          <w:szCs w:val="21"/>
          <w:shd w:val="clear" w:color="auto" w:fill="FFFFFF"/>
        </w:rPr>
        <w:t>Ritchie, F.</w:t>
      </w:r>
      <w:r>
        <w:rPr>
          <w:rFonts w:ascii="Open Sans" w:hAnsi="Open Sans" w:cs="Open Sans"/>
          <w:color w:val="1C1D1E"/>
          <w:sz w:val="21"/>
          <w:szCs w:val="21"/>
          <w:shd w:val="clear" w:color="auto" w:fill="FFFFFF"/>
        </w:rPr>
        <w:t> et al. (</w:t>
      </w:r>
      <w:r>
        <w:rPr>
          <w:rStyle w:val="pubyear"/>
          <w:rFonts w:ascii="Open Sans" w:hAnsi="Open Sans" w:cs="Open Sans"/>
          <w:color w:val="1C1D1E"/>
          <w:sz w:val="21"/>
          <w:szCs w:val="21"/>
          <w:shd w:val="clear" w:color="auto" w:fill="FFFFFF"/>
        </w:rPr>
        <w:t>2024</w:t>
      </w:r>
      <w:r>
        <w:rPr>
          <w:rFonts w:ascii="Open Sans" w:hAnsi="Open Sans" w:cs="Open Sans"/>
          <w:color w:val="1C1D1E"/>
          <w:sz w:val="21"/>
          <w:szCs w:val="21"/>
          <w:shd w:val="clear" w:color="auto" w:fill="FFFFFF"/>
        </w:rPr>
        <w:t>) </w:t>
      </w:r>
      <w:r>
        <w:rPr>
          <w:rStyle w:val="articletitle"/>
          <w:rFonts w:ascii="Open Sans" w:hAnsi="Open Sans" w:cs="Open Sans"/>
          <w:color w:val="1C1D1E"/>
          <w:sz w:val="21"/>
          <w:szCs w:val="21"/>
          <w:shd w:val="clear" w:color="auto" w:fill="FFFFFF"/>
        </w:rPr>
        <w:t>Evolution of decreased sensitivity to azole fungicides in western European populations of </w:t>
      </w:r>
      <w:proofErr w:type="spellStart"/>
      <w:r>
        <w:rPr>
          <w:rStyle w:val="articletitle"/>
          <w:rFonts w:ascii="Open Sans" w:hAnsi="Open Sans" w:cs="Open Sans"/>
          <w:i/>
          <w:iCs/>
          <w:color w:val="1C1D1E"/>
          <w:sz w:val="21"/>
          <w:szCs w:val="21"/>
          <w:shd w:val="clear" w:color="auto" w:fill="FFFFFF"/>
        </w:rPr>
        <w:t>Plenodomus</w:t>
      </w:r>
      <w:proofErr w:type="spellEnd"/>
      <w:r>
        <w:rPr>
          <w:rStyle w:val="articletitle"/>
          <w:rFonts w:ascii="Open Sans" w:hAnsi="Open Sans" w:cs="Open Sans"/>
          <w:i/>
          <w:iCs/>
          <w:color w:val="1C1D1E"/>
          <w:sz w:val="21"/>
          <w:szCs w:val="21"/>
          <w:shd w:val="clear" w:color="auto" w:fill="FFFFFF"/>
        </w:rPr>
        <w:t xml:space="preserve"> lingam</w:t>
      </w:r>
      <w:r>
        <w:rPr>
          <w:rStyle w:val="articletitle"/>
          <w:rFonts w:ascii="Open Sans" w:hAnsi="Open Sans" w:cs="Open Sans"/>
          <w:color w:val="1C1D1E"/>
          <w:sz w:val="21"/>
          <w:szCs w:val="21"/>
          <w:shd w:val="clear" w:color="auto" w:fill="FFFFFF"/>
        </w:rPr>
        <w:t> (</w:t>
      </w:r>
      <w:proofErr w:type="spellStart"/>
      <w:r>
        <w:rPr>
          <w:rStyle w:val="articletitle"/>
          <w:rFonts w:ascii="Open Sans" w:hAnsi="Open Sans" w:cs="Open Sans"/>
          <w:color w:val="1C1D1E"/>
          <w:sz w:val="21"/>
          <w:szCs w:val="21"/>
          <w:shd w:val="clear" w:color="auto" w:fill="FFFFFF"/>
        </w:rPr>
        <w:t>Phoma</w:t>
      </w:r>
      <w:proofErr w:type="spellEnd"/>
      <w:r>
        <w:rPr>
          <w:rStyle w:val="articletitle"/>
          <w:rFonts w:ascii="Open Sans" w:hAnsi="Open Sans" w:cs="Open Sans"/>
          <w:color w:val="1C1D1E"/>
          <w:sz w:val="21"/>
          <w:szCs w:val="21"/>
          <w:shd w:val="clear" w:color="auto" w:fill="FFFFFF"/>
        </w:rPr>
        <w:t xml:space="preserve"> stem canker on oilseed rape)</w:t>
      </w:r>
      <w:r>
        <w:rPr>
          <w:rFonts w:ascii="Open Sans" w:hAnsi="Open Sans" w:cs="Open Sans"/>
          <w:color w:val="1C1D1E"/>
          <w:sz w:val="21"/>
          <w:szCs w:val="21"/>
          <w:shd w:val="clear" w:color="auto" w:fill="FFFFFF"/>
        </w:rPr>
        <w:t>. </w:t>
      </w:r>
      <w:r>
        <w:rPr>
          <w:rFonts w:ascii="Open Sans" w:hAnsi="Open Sans" w:cs="Open Sans"/>
          <w:i/>
          <w:iCs/>
          <w:color w:val="1C1D1E"/>
          <w:sz w:val="21"/>
          <w:szCs w:val="21"/>
          <w:shd w:val="clear" w:color="auto" w:fill="FFFFFF"/>
        </w:rPr>
        <w:t>Plant Pathology</w:t>
      </w:r>
      <w:r>
        <w:rPr>
          <w:rFonts w:ascii="Open Sans" w:hAnsi="Open Sans" w:cs="Open Sans"/>
          <w:color w:val="1C1D1E"/>
          <w:sz w:val="21"/>
          <w:szCs w:val="21"/>
          <w:shd w:val="clear" w:color="auto" w:fill="FFFFFF"/>
        </w:rPr>
        <w:t>, </w:t>
      </w:r>
      <w:r>
        <w:rPr>
          <w:rStyle w:val="vol"/>
          <w:rFonts w:ascii="Open Sans" w:hAnsi="Open Sans" w:cs="Open Sans"/>
          <w:color w:val="1C1D1E"/>
          <w:sz w:val="21"/>
          <w:szCs w:val="21"/>
          <w:shd w:val="clear" w:color="auto" w:fill="FFFFFF"/>
        </w:rPr>
        <w:t>00</w:t>
      </w:r>
      <w:r>
        <w:rPr>
          <w:rFonts w:ascii="Open Sans" w:hAnsi="Open Sans" w:cs="Open Sans"/>
          <w:color w:val="1C1D1E"/>
          <w:sz w:val="21"/>
          <w:szCs w:val="21"/>
          <w:shd w:val="clear" w:color="auto" w:fill="FFFFFF"/>
        </w:rPr>
        <w:t>, </w:t>
      </w:r>
      <w:r>
        <w:rPr>
          <w:rStyle w:val="pagefirst"/>
          <w:rFonts w:ascii="Open Sans" w:hAnsi="Open Sans" w:cs="Open Sans"/>
          <w:color w:val="1C1D1E"/>
          <w:sz w:val="21"/>
          <w:szCs w:val="21"/>
          <w:shd w:val="clear" w:color="auto" w:fill="FFFFFF"/>
        </w:rPr>
        <w:t>1</w:t>
      </w:r>
      <w:r>
        <w:rPr>
          <w:rFonts w:ascii="Open Sans" w:hAnsi="Open Sans" w:cs="Open Sans"/>
          <w:color w:val="1C1D1E"/>
          <w:sz w:val="21"/>
          <w:szCs w:val="21"/>
          <w:shd w:val="clear" w:color="auto" w:fill="FFFFFF"/>
        </w:rPr>
        <w:t>–</w:t>
      </w:r>
      <w:r>
        <w:rPr>
          <w:rStyle w:val="pagelast"/>
          <w:rFonts w:ascii="Open Sans" w:hAnsi="Open Sans" w:cs="Open Sans"/>
          <w:color w:val="1C1D1E"/>
          <w:sz w:val="21"/>
          <w:szCs w:val="21"/>
          <w:shd w:val="clear" w:color="auto" w:fill="FFFFFF"/>
        </w:rPr>
        <w:t>16</w:t>
      </w:r>
      <w:r>
        <w:rPr>
          <w:rFonts w:ascii="Open Sans" w:hAnsi="Open Sans" w:cs="Open Sans"/>
          <w:color w:val="1C1D1E"/>
          <w:sz w:val="21"/>
          <w:szCs w:val="21"/>
          <w:shd w:val="clear" w:color="auto" w:fill="FFFFFF"/>
        </w:rPr>
        <w:t>. Available from: </w:t>
      </w:r>
      <w:hyperlink r:id="rId7" w:history="1">
        <w:r>
          <w:rPr>
            <w:rStyle w:val="Hyperlink"/>
            <w:rFonts w:ascii="Open Sans" w:hAnsi="Open Sans" w:cs="Open Sans"/>
            <w:color w:val="2B8135"/>
            <w:sz w:val="21"/>
            <w:szCs w:val="21"/>
            <w:shd w:val="clear" w:color="auto" w:fill="FFFFFF"/>
          </w:rPr>
          <w:t>https://doi.org/10.1111/ppa.13897</w:t>
        </w:r>
      </w:hyperlink>
    </w:p>
    <w:sectPr w:rsidR="00273628" w:rsidSect="002736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628"/>
    <w:rsid w:val="001255D0"/>
    <w:rsid w:val="00273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A0A71"/>
  <w15:chartTrackingRefBased/>
  <w15:docId w15:val="{D0D5D9F6-7951-456D-818A-3623251C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362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73628"/>
    <w:rPr>
      <w:i/>
      <w:iCs/>
    </w:rPr>
  </w:style>
  <w:style w:type="character" w:styleId="Hyperlink">
    <w:name w:val="Hyperlink"/>
    <w:basedOn w:val="DefaultParagraphFont"/>
    <w:uiPriority w:val="99"/>
    <w:semiHidden/>
    <w:unhideWhenUsed/>
    <w:rsid w:val="00273628"/>
    <w:rPr>
      <w:color w:val="0000FF"/>
      <w:u w:val="single"/>
    </w:rPr>
  </w:style>
  <w:style w:type="character" w:customStyle="1" w:styleId="author">
    <w:name w:val="author"/>
    <w:basedOn w:val="DefaultParagraphFont"/>
    <w:rsid w:val="00273628"/>
  </w:style>
  <w:style w:type="character" w:customStyle="1" w:styleId="pubyear">
    <w:name w:val="pubyear"/>
    <w:basedOn w:val="DefaultParagraphFont"/>
    <w:rsid w:val="00273628"/>
  </w:style>
  <w:style w:type="character" w:customStyle="1" w:styleId="articletitle">
    <w:name w:val="articletitle"/>
    <w:basedOn w:val="DefaultParagraphFont"/>
    <w:rsid w:val="00273628"/>
  </w:style>
  <w:style w:type="character" w:customStyle="1" w:styleId="vol">
    <w:name w:val="vol"/>
    <w:basedOn w:val="DefaultParagraphFont"/>
    <w:rsid w:val="00273628"/>
  </w:style>
  <w:style w:type="character" w:customStyle="1" w:styleId="pagefirst">
    <w:name w:val="pagefirst"/>
    <w:basedOn w:val="DefaultParagraphFont"/>
    <w:rsid w:val="00273628"/>
  </w:style>
  <w:style w:type="character" w:customStyle="1" w:styleId="pagelast">
    <w:name w:val="pagelast"/>
    <w:basedOn w:val="DefaultParagraphFont"/>
    <w:rsid w:val="00273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11/ppa.138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othamsted.ac.uk/project/resilient-farming-futures" TargetMode="External"/><Relationship Id="rId5" Type="http://schemas.openxmlformats.org/officeDocument/2006/relationships/hyperlink" Target="https://www.rothamsted.ac.uk/project/growing-health" TargetMode="External"/><Relationship Id="rId4" Type="http://schemas.openxmlformats.org/officeDocument/2006/relationships/hyperlink" Target="https://www.ukri.org/councils/bbsrc/"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dcterms:created xsi:type="dcterms:W3CDTF">2024-04-03T11:55:00Z</dcterms:created>
  <dcterms:modified xsi:type="dcterms:W3CDTF">2024-04-03T11:59:00Z</dcterms:modified>
</cp:coreProperties>
</file>