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7F0E3" w14:textId="7B494084" w:rsidR="0049452A" w:rsidRPr="001D2FCB" w:rsidRDefault="0049452A" w:rsidP="0049452A">
      <w:pPr>
        <w:spacing w:after="0" w:line="240" w:lineRule="auto"/>
        <w:jc w:val="center"/>
        <w:rPr>
          <w:rStyle w:val="cf01"/>
          <w:rFonts w:ascii="Aptos" w:hAnsi="Aptos"/>
          <w:b/>
          <w:bCs/>
          <w:sz w:val="24"/>
          <w:szCs w:val="24"/>
        </w:rPr>
      </w:pPr>
      <w:bookmarkStart w:id="0" w:name="_Hlk183526270"/>
      <w:r w:rsidRPr="001D2FCB">
        <w:rPr>
          <w:rStyle w:val="cf01"/>
          <w:rFonts w:ascii="Aptos" w:hAnsi="Aptos"/>
          <w:b/>
          <w:bCs/>
          <w:sz w:val="24"/>
          <w:szCs w:val="24"/>
        </w:rPr>
        <w:t xml:space="preserve">Impacts </w:t>
      </w:r>
      <w:r w:rsidR="009C5B2C">
        <w:rPr>
          <w:rStyle w:val="cf01"/>
          <w:rFonts w:ascii="Aptos" w:hAnsi="Aptos"/>
          <w:b/>
          <w:bCs/>
          <w:sz w:val="24"/>
          <w:szCs w:val="24"/>
        </w:rPr>
        <w:t xml:space="preserve">of </w:t>
      </w:r>
      <w:r w:rsidR="00225BDA">
        <w:rPr>
          <w:rStyle w:val="cf01"/>
          <w:rFonts w:ascii="Aptos" w:hAnsi="Aptos"/>
          <w:b/>
          <w:bCs/>
          <w:sz w:val="24"/>
          <w:szCs w:val="24"/>
        </w:rPr>
        <w:t xml:space="preserve">tillage </w:t>
      </w:r>
      <w:r w:rsidRPr="001D2FCB">
        <w:rPr>
          <w:rStyle w:val="cf01"/>
          <w:rFonts w:ascii="Aptos" w:hAnsi="Aptos"/>
          <w:b/>
          <w:bCs/>
          <w:sz w:val="24"/>
          <w:szCs w:val="24"/>
        </w:rPr>
        <w:t>on soil properties and interactions with drainage</w:t>
      </w:r>
      <w:r w:rsidR="003A4059">
        <w:rPr>
          <w:rStyle w:val="cf01"/>
          <w:rFonts w:ascii="Aptos" w:hAnsi="Aptos"/>
          <w:b/>
          <w:bCs/>
          <w:sz w:val="24"/>
          <w:szCs w:val="24"/>
        </w:rPr>
        <w:t xml:space="preserve"> when reseeding permanent pasture</w:t>
      </w:r>
    </w:p>
    <w:p w14:paraId="5C10EE15" w14:textId="77777777" w:rsidR="0049452A" w:rsidRPr="001D2FCB" w:rsidRDefault="0049452A" w:rsidP="0049452A">
      <w:pPr>
        <w:spacing w:after="0" w:line="240" w:lineRule="auto"/>
        <w:jc w:val="center"/>
        <w:rPr>
          <w:rStyle w:val="cf01"/>
          <w:rFonts w:ascii="Aptos" w:hAnsi="Aptos"/>
        </w:rPr>
      </w:pPr>
    </w:p>
    <w:p w14:paraId="108A8F9F" w14:textId="59178863" w:rsidR="0049452A" w:rsidRPr="001D2FCB" w:rsidRDefault="0049452A" w:rsidP="0049452A">
      <w:pPr>
        <w:spacing w:after="0" w:line="240" w:lineRule="auto"/>
        <w:jc w:val="center"/>
        <w:rPr>
          <w:rFonts w:ascii="Aptos" w:hAnsi="Aptos" w:cs="Times New Roman"/>
          <w:b/>
          <w:bCs/>
          <w:vertAlign w:val="superscript"/>
        </w:rPr>
      </w:pPr>
      <w:r w:rsidRPr="001D2FCB">
        <w:rPr>
          <w:rFonts w:ascii="Aptos" w:hAnsi="Aptos" w:cs="Times New Roman"/>
          <w:b/>
          <w:bCs/>
        </w:rPr>
        <w:t>Tersur T. Akpensuen</w:t>
      </w:r>
      <w:r w:rsidRPr="001D2FCB">
        <w:rPr>
          <w:rFonts w:ascii="Aptos" w:hAnsi="Aptos" w:cs="Times New Roman"/>
          <w:b/>
          <w:bCs/>
          <w:vertAlign w:val="superscript"/>
        </w:rPr>
        <w:t>1,2</w:t>
      </w:r>
      <w:r w:rsidRPr="001D2FCB">
        <w:rPr>
          <w:rFonts w:ascii="Aptos" w:hAnsi="Aptos" w:cs="Times New Roman"/>
          <w:b/>
          <w:bCs/>
        </w:rPr>
        <w:t>*, Charlie Morten</w:t>
      </w:r>
      <w:r w:rsidRPr="001D2FCB">
        <w:rPr>
          <w:rFonts w:ascii="Aptos" w:hAnsi="Aptos" w:cs="Times New Roman"/>
          <w:b/>
          <w:bCs/>
          <w:vertAlign w:val="superscript"/>
        </w:rPr>
        <w:t>1</w:t>
      </w:r>
      <w:r w:rsidRPr="001D2FCB">
        <w:rPr>
          <w:rFonts w:ascii="Aptos" w:hAnsi="Aptos" w:cs="Times New Roman"/>
          <w:b/>
          <w:bCs/>
        </w:rPr>
        <w:t>, Andrew Mead</w:t>
      </w:r>
      <w:r w:rsidRPr="001D2FCB">
        <w:rPr>
          <w:rFonts w:ascii="Aptos" w:hAnsi="Aptos" w:cs="Times New Roman"/>
          <w:b/>
          <w:bCs/>
          <w:vertAlign w:val="superscript"/>
        </w:rPr>
        <w:t>3</w:t>
      </w:r>
      <w:r w:rsidRPr="001D2FCB">
        <w:rPr>
          <w:rFonts w:ascii="Aptos" w:hAnsi="Aptos" w:cs="Times New Roman"/>
          <w:b/>
          <w:bCs/>
        </w:rPr>
        <w:t>, Martin S.A. Blackwell</w:t>
      </w:r>
      <w:r w:rsidR="00024A3E" w:rsidRPr="001D2FCB">
        <w:rPr>
          <w:rFonts w:ascii="Aptos" w:hAnsi="Aptos" w:cs="Times New Roman"/>
          <w:b/>
          <w:bCs/>
          <w:vertAlign w:val="superscript"/>
        </w:rPr>
        <w:t>1</w:t>
      </w:r>
      <w:r w:rsidR="00024A3E" w:rsidRPr="001D2FCB">
        <w:rPr>
          <w:rFonts w:ascii="Aptos" w:hAnsi="Aptos" w:cs="Times New Roman"/>
          <w:b/>
          <w:bCs/>
        </w:rPr>
        <w:t>,</w:t>
      </w:r>
      <w:r w:rsidRPr="001D2FCB">
        <w:rPr>
          <w:rFonts w:ascii="Aptos" w:hAnsi="Aptos" w:cs="Times New Roman"/>
          <w:b/>
          <w:bCs/>
        </w:rPr>
        <w:t xml:space="preserve"> Jonathan Storkey</w:t>
      </w:r>
      <w:r w:rsidR="006C4089" w:rsidRPr="001D2FCB">
        <w:rPr>
          <w:rFonts w:ascii="Aptos" w:hAnsi="Aptos" w:cs="Times New Roman"/>
          <w:b/>
          <w:bCs/>
          <w:vertAlign w:val="superscript"/>
        </w:rPr>
        <w:t>4,</w:t>
      </w:r>
      <w:r w:rsidRPr="001D2FCB">
        <w:rPr>
          <w:rFonts w:ascii="Aptos" w:hAnsi="Aptos" w:cs="Times New Roman"/>
          <w:b/>
          <w:bCs/>
        </w:rPr>
        <w:t xml:space="preserve"> </w:t>
      </w:r>
      <w:r w:rsidR="00143E1A">
        <w:rPr>
          <w:rFonts w:ascii="Aptos" w:hAnsi="Aptos" w:cs="Times New Roman"/>
          <w:b/>
          <w:bCs/>
        </w:rPr>
        <w:t xml:space="preserve">, </w:t>
      </w:r>
      <w:r w:rsidRPr="001D2FCB">
        <w:rPr>
          <w:rFonts w:ascii="Aptos" w:hAnsi="Aptos" w:cs="Times New Roman"/>
          <w:b/>
          <w:bCs/>
        </w:rPr>
        <w:t>and  M. Jordana Rivero</w:t>
      </w:r>
      <w:r w:rsidRPr="001D2FCB">
        <w:rPr>
          <w:rFonts w:ascii="Aptos" w:hAnsi="Aptos" w:cs="Times New Roman"/>
          <w:b/>
          <w:bCs/>
          <w:vertAlign w:val="superscript"/>
        </w:rPr>
        <w:t>1</w:t>
      </w:r>
    </w:p>
    <w:p w14:paraId="2EB48122" w14:textId="77777777" w:rsidR="0049452A" w:rsidRPr="001D2FCB" w:rsidRDefault="0049452A" w:rsidP="0049452A">
      <w:pPr>
        <w:spacing w:after="0" w:line="240" w:lineRule="auto"/>
        <w:jc w:val="center"/>
        <w:rPr>
          <w:rFonts w:ascii="Aptos" w:hAnsi="Aptos" w:cs="Times New Roman"/>
          <w:b/>
          <w:bCs/>
        </w:rPr>
      </w:pPr>
    </w:p>
    <w:p w14:paraId="5DCABBEF" w14:textId="77777777" w:rsidR="0049452A" w:rsidRPr="001D2FCB" w:rsidRDefault="0049452A" w:rsidP="0049452A">
      <w:pPr>
        <w:spacing w:after="0" w:line="240" w:lineRule="auto"/>
        <w:jc w:val="center"/>
        <w:rPr>
          <w:rFonts w:ascii="Aptos" w:hAnsi="Aptos" w:cs="Times New Roman"/>
          <w:i/>
          <w:iCs/>
        </w:rPr>
      </w:pPr>
      <w:r w:rsidRPr="001D2FCB">
        <w:rPr>
          <w:rFonts w:ascii="Aptos" w:hAnsi="Aptos" w:cs="Times New Roman"/>
          <w:i/>
          <w:iCs/>
          <w:vertAlign w:val="superscript"/>
        </w:rPr>
        <w:t>1</w:t>
      </w:r>
      <w:r w:rsidRPr="001D2FCB">
        <w:rPr>
          <w:rFonts w:ascii="Aptos" w:hAnsi="Aptos" w:cs="Times New Roman"/>
          <w:i/>
          <w:iCs/>
        </w:rPr>
        <w:t>Net-zero and Resilient Farming, Rothamsted Research, North Wyke, EX20 2SB, Okehampton, United Kingdom</w:t>
      </w:r>
    </w:p>
    <w:p w14:paraId="45989DB6" w14:textId="77777777" w:rsidR="0049452A" w:rsidRPr="001D2FCB" w:rsidRDefault="0049452A" w:rsidP="0049452A">
      <w:pPr>
        <w:spacing w:after="0" w:line="240" w:lineRule="auto"/>
        <w:jc w:val="center"/>
        <w:rPr>
          <w:rFonts w:ascii="Aptos" w:hAnsi="Aptos" w:cs="Times New Roman"/>
          <w:i/>
          <w:iCs/>
        </w:rPr>
      </w:pPr>
      <w:r w:rsidRPr="001D2FCB">
        <w:rPr>
          <w:rFonts w:ascii="Aptos" w:hAnsi="Aptos" w:cs="Times New Roman"/>
          <w:i/>
          <w:iCs/>
          <w:vertAlign w:val="superscript"/>
        </w:rPr>
        <w:t>2</w:t>
      </w:r>
      <w:r w:rsidRPr="001D2FCB">
        <w:rPr>
          <w:rFonts w:ascii="Aptos" w:hAnsi="Aptos" w:cs="Times New Roman"/>
          <w:i/>
          <w:iCs/>
        </w:rPr>
        <w:t>Faculty of Agriculture, University of Jos. 930001, Jos, Nigeria</w:t>
      </w:r>
    </w:p>
    <w:p w14:paraId="0AE71973" w14:textId="77777777" w:rsidR="0049452A" w:rsidRPr="001D2FCB" w:rsidRDefault="0049452A" w:rsidP="0049452A">
      <w:pPr>
        <w:spacing w:after="0" w:line="240" w:lineRule="auto"/>
        <w:jc w:val="center"/>
        <w:rPr>
          <w:rFonts w:ascii="Aptos" w:hAnsi="Aptos"/>
          <w:i/>
          <w:iCs/>
        </w:rPr>
      </w:pPr>
      <w:r w:rsidRPr="001D2FCB">
        <w:rPr>
          <w:rFonts w:ascii="Aptos" w:hAnsi="Aptos" w:cs="Times New Roman"/>
          <w:i/>
          <w:iCs/>
          <w:vertAlign w:val="superscript"/>
        </w:rPr>
        <w:t>4</w:t>
      </w:r>
      <w:r w:rsidRPr="001D2FCB">
        <w:rPr>
          <w:rFonts w:ascii="Aptos" w:hAnsi="Aptos" w:cs="Times New Roman"/>
          <w:i/>
          <w:iCs/>
        </w:rPr>
        <w:t xml:space="preserve">Intellegent Data Ecosystems, </w:t>
      </w:r>
      <w:r w:rsidRPr="001D2FCB">
        <w:rPr>
          <w:rFonts w:ascii="Aptos" w:hAnsi="Aptos"/>
          <w:i/>
          <w:iCs/>
        </w:rPr>
        <w:t>Rothamsted Research, Harpenden AL5 2JQ, United Kingdom</w:t>
      </w:r>
    </w:p>
    <w:p w14:paraId="5EC80B72" w14:textId="77777777" w:rsidR="0049452A" w:rsidRPr="001D2FCB" w:rsidRDefault="0049452A" w:rsidP="0049452A">
      <w:pPr>
        <w:spacing w:after="0" w:line="240" w:lineRule="auto"/>
        <w:jc w:val="center"/>
        <w:rPr>
          <w:rFonts w:ascii="Aptos" w:hAnsi="Aptos"/>
          <w:i/>
          <w:iCs/>
        </w:rPr>
      </w:pPr>
      <w:r w:rsidRPr="001D2FCB">
        <w:rPr>
          <w:rFonts w:ascii="Aptos" w:hAnsi="Aptos"/>
          <w:i/>
          <w:iCs/>
          <w:vertAlign w:val="superscript"/>
        </w:rPr>
        <w:t>4</w:t>
      </w:r>
      <w:r w:rsidRPr="001D2FCB">
        <w:rPr>
          <w:rFonts w:ascii="Aptos" w:hAnsi="Aptos"/>
          <w:i/>
          <w:iCs/>
        </w:rPr>
        <w:t>Protecting Crops and the Environment, Rothamsted Research, Harpenden AL5 2JQ, United Kingdom</w:t>
      </w:r>
    </w:p>
    <w:p w14:paraId="37EA966A" w14:textId="77777777" w:rsidR="0049452A" w:rsidRPr="001D2FCB" w:rsidRDefault="0049452A" w:rsidP="0049452A">
      <w:pPr>
        <w:spacing w:after="0" w:line="240" w:lineRule="auto"/>
        <w:rPr>
          <w:rFonts w:ascii="Aptos" w:hAnsi="Aptos" w:cs="Times New Roman"/>
          <w:i/>
          <w:iCs/>
        </w:rPr>
      </w:pPr>
    </w:p>
    <w:p w14:paraId="3846B230" w14:textId="0B800AC3" w:rsidR="0049452A" w:rsidRDefault="0049452A" w:rsidP="0049452A">
      <w:pPr>
        <w:spacing w:after="0" w:line="360" w:lineRule="auto"/>
        <w:rPr>
          <w:rFonts w:ascii="Aptos" w:hAnsi="Aptos" w:cs="Times New Roman"/>
          <w:b/>
          <w:bCs/>
        </w:rPr>
      </w:pPr>
      <w:r w:rsidRPr="001D2FCB">
        <w:rPr>
          <w:rFonts w:ascii="Aptos" w:hAnsi="Aptos" w:cs="Times New Roman"/>
          <w:i/>
          <w:iCs/>
        </w:rPr>
        <w:t>*Corresponding Author’s email address:</w:t>
      </w:r>
      <w:r w:rsidRPr="001D2FCB">
        <w:rPr>
          <w:rFonts w:ascii="Aptos" w:hAnsi="Aptos" w:cs="Times New Roman"/>
          <w:b/>
          <w:bCs/>
          <w:i/>
          <w:iCs/>
        </w:rPr>
        <w:t xml:space="preserve"> </w:t>
      </w:r>
      <w:hyperlink r:id="rId8" w:history="1">
        <w:r w:rsidRPr="001D2FCB">
          <w:rPr>
            <w:rStyle w:val="Hyperlink"/>
            <w:rFonts w:ascii="Aptos" w:hAnsi="Aptos" w:cs="Times New Roman"/>
            <w:i/>
            <w:iCs/>
          </w:rPr>
          <w:t>theo.akpensuen@rothamsted.ac.uk</w:t>
        </w:r>
      </w:hyperlink>
    </w:p>
    <w:p w14:paraId="3D8C6235" w14:textId="77777777" w:rsidR="0049452A" w:rsidRPr="0049452A" w:rsidRDefault="0049452A" w:rsidP="0049452A">
      <w:pPr>
        <w:spacing w:after="0" w:line="360" w:lineRule="auto"/>
        <w:rPr>
          <w:rFonts w:ascii="Aptos" w:hAnsi="Aptos" w:cs="Times New Roman"/>
          <w:b/>
          <w:bCs/>
        </w:rPr>
      </w:pPr>
    </w:p>
    <w:p w14:paraId="0B2EB834" w14:textId="77777777" w:rsidR="0049452A" w:rsidRPr="001D2FCB" w:rsidRDefault="0049452A" w:rsidP="0049452A">
      <w:pPr>
        <w:spacing w:after="0" w:line="240" w:lineRule="auto"/>
        <w:jc w:val="both"/>
        <w:rPr>
          <w:rFonts w:ascii="Aptos" w:hAnsi="Aptos" w:cs="Arial"/>
          <w:b/>
          <w:bCs/>
          <w:sz w:val="24"/>
          <w:szCs w:val="24"/>
        </w:rPr>
      </w:pPr>
      <w:r w:rsidRPr="001D2FCB">
        <w:rPr>
          <w:rFonts w:ascii="Aptos" w:hAnsi="Aptos" w:cs="Arial"/>
          <w:b/>
          <w:bCs/>
          <w:sz w:val="24"/>
          <w:szCs w:val="24"/>
        </w:rPr>
        <w:t>ABSTRACT</w:t>
      </w:r>
    </w:p>
    <w:p w14:paraId="0336D722" w14:textId="0A41B210" w:rsidR="00B5350E" w:rsidRDefault="00B5350E" w:rsidP="00B5350E">
      <w:pPr>
        <w:spacing w:after="0" w:line="360" w:lineRule="auto"/>
        <w:jc w:val="both"/>
        <w:rPr>
          <w:rFonts w:ascii="Aptos" w:hAnsi="Aptos"/>
          <w:sz w:val="24"/>
          <w:szCs w:val="24"/>
        </w:rPr>
      </w:pPr>
      <w:r w:rsidRPr="007109A5">
        <w:rPr>
          <w:rFonts w:ascii="Aptos" w:hAnsi="Aptos"/>
          <w:b/>
          <w:bCs/>
          <w:sz w:val="24"/>
          <w:szCs w:val="24"/>
        </w:rPr>
        <w:t>Background:</w:t>
      </w:r>
      <w:r>
        <w:rPr>
          <w:rFonts w:ascii="Aptos" w:hAnsi="Aptos"/>
          <w:sz w:val="24"/>
          <w:szCs w:val="24"/>
        </w:rPr>
        <w:t xml:space="preserve"> </w:t>
      </w:r>
      <w:r w:rsidRPr="007109A5">
        <w:rPr>
          <w:rFonts w:ascii="Aptos" w:hAnsi="Aptos"/>
          <w:sz w:val="24"/>
          <w:szCs w:val="24"/>
        </w:rPr>
        <w:t>Grassland reseeding typically requires intensive tillage</w:t>
      </w:r>
      <w:r>
        <w:rPr>
          <w:rFonts w:ascii="Aptos" w:hAnsi="Aptos"/>
          <w:sz w:val="24"/>
          <w:szCs w:val="24"/>
        </w:rPr>
        <w:t xml:space="preserve">. This </w:t>
      </w:r>
      <w:r w:rsidR="007A2272" w:rsidRPr="007109A5">
        <w:rPr>
          <w:rFonts w:ascii="Aptos" w:hAnsi="Aptos"/>
          <w:sz w:val="24"/>
          <w:szCs w:val="24"/>
        </w:rPr>
        <w:t>disrupts</w:t>
      </w:r>
      <w:r w:rsidRPr="007109A5">
        <w:rPr>
          <w:rFonts w:ascii="Aptos" w:hAnsi="Aptos"/>
          <w:sz w:val="24"/>
          <w:szCs w:val="24"/>
        </w:rPr>
        <w:t xml:space="preserve"> soil nutrient dynamics, especially under varying drainage condition. </w:t>
      </w:r>
    </w:p>
    <w:p w14:paraId="69E7DDAF" w14:textId="6FF85F5C" w:rsidR="00B5350E" w:rsidRDefault="00B5350E" w:rsidP="00B5350E">
      <w:pPr>
        <w:spacing w:after="0" w:line="360" w:lineRule="auto"/>
        <w:jc w:val="both"/>
        <w:rPr>
          <w:rFonts w:ascii="Aptos" w:hAnsi="Aptos"/>
          <w:sz w:val="24"/>
          <w:szCs w:val="24"/>
        </w:rPr>
      </w:pPr>
      <w:r w:rsidRPr="00A3312D">
        <w:rPr>
          <w:rFonts w:ascii="Aptos" w:hAnsi="Aptos"/>
          <w:b/>
          <w:bCs/>
          <w:sz w:val="24"/>
          <w:szCs w:val="24"/>
        </w:rPr>
        <w:t>Methods:</w:t>
      </w:r>
      <w:r>
        <w:rPr>
          <w:rFonts w:ascii="Aptos" w:hAnsi="Aptos"/>
          <w:sz w:val="24"/>
          <w:szCs w:val="24"/>
        </w:rPr>
        <w:t xml:space="preserve"> </w:t>
      </w:r>
      <w:r w:rsidRPr="007109A5">
        <w:rPr>
          <w:rFonts w:ascii="Aptos" w:hAnsi="Aptos"/>
          <w:sz w:val="24"/>
          <w:szCs w:val="24"/>
        </w:rPr>
        <w:t>This study evaluated the combined effects of tillage legacy, drainage, and soil depth on key soil properties within a long</w:t>
      </w:r>
      <w:r w:rsidRPr="007109A5">
        <w:rPr>
          <w:rFonts w:ascii="Aptos" w:hAnsi="Aptos"/>
          <w:sz w:val="24"/>
          <w:szCs w:val="24"/>
        </w:rPr>
        <w:noBreakHyphen/>
        <w:t>term grassland experiment. Treatments compared two no</w:t>
      </w:r>
      <w:r w:rsidRPr="007109A5">
        <w:rPr>
          <w:rFonts w:ascii="Aptos" w:hAnsi="Aptos"/>
          <w:sz w:val="24"/>
          <w:szCs w:val="24"/>
        </w:rPr>
        <w:noBreakHyphen/>
        <w:t>tillage</w:t>
      </w:r>
      <w:r w:rsidR="007A2272">
        <w:rPr>
          <w:rFonts w:ascii="Aptos" w:hAnsi="Aptos"/>
          <w:sz w:val="24"/>
          <w:szCs w:val="24"/>
        </w:rPr>
        <w:t xml:space="preserve"> </w:t>
      </w:r>
      <w:r w:rsidRPr="007109A5">
        <w:rPr>
          <w:rFonts w:ascii="Aptos" w:hAnsi="Aptos"/>
          <w:sz w:val="24"/>
          <w:szCs w:val="24"/>
        </w:rPr>
        <w:t>durations (five years</w:t>
      </w:r>
      <w:r w:rsidR="007A2272">
        <w:rPr>
          <w:rFonts w:ascii="Aptos" w:hAnsi="Aptos"/>
          <w:sz w:val="24"/>
          <w:szCs w:val="24"/>
        </w:rPr>
        <w:t xml:space="preserve"> of no-tillage</w:t>
      </w:r>
      <w:r w:rsidRPr="007109A5">
        <w:rPr>
          <w:rFonts w:ascii="Aptos" w:hAnsi="Aptos"/>
          <w:sz w:val="24"/>
          <w:szCs w:val="24"/>
        </w:rPr>
        <w:t>, 5YNT; thirty years</w:t>
      </w:r>
      <w:r w:rsidR="007A2272">
        <w:rPr>
          <w:rFonts w:ascii="Aptos" w:hAnsi="Aptos"/>
          <w:sz w:val="24"/>
          <w:szCs w:val="24"/>
        </w:rPr>
        <w:t xml:space="preserve"> of no-tillage</w:t>
      </w:r>
      <w:r w:rsidRPr="007109A5">
        <w:rPr>
          <w:rFonts w:ascii="Aptos" w:hAnsi="Aptos"/>
          <w:sz w:val="24"/>
          <w:szCs w:val="24"/>
        </w:rPr>
        <w:t>, 30YNT), two drainage systems (drained</w:t>
      </w:r>
      <w:r>
        <w:rPr>
          <w:rFonts w:ascii="Aptos" w:hAnsi="Aptos"/>
          <w:sz w:val="24"/>
          <w:szCs w:val="24"/>
        </w:rPr>
        <w:t xml:space="preserve"> and </w:t>
      </w:r>
      <w:r w:rsidRPr="007109A5">
        <w:rPr>
          <w:rFonts w:ascii="Aptos" w:hAnsi="Aptos"/>
          <w:sz w:val="24"/>
          <w:szCs w:val="24"/>
        </w:rPr>
        <w:t>undrained), and two depths (0–10 cm</w:t>
      </w:r>
      <w:r>
        <w:rPr>
          <w:rFonts w:ascii="Aptos" w:hAnsi="Aptos"/>
          <w:sz w:val="24"/>
          <w:szCs w:val="24"/>
        </w:rPr>
        <w:t xml:space="preserve"> and </w:t>
      </w:r>
      <w:r w:rsidRPr="007109A5">
        <w:rPr>
          <w:rFonts w:ascii="Aptos" w:hAnsi="Aptos"/>
          <w:sz w:val="24"/>
          <w:szCs w:val="24"/>
        </w:rPr>
        <w:t>10–30 cm)</w:t>
      </w:r>
      <w:r w:rsidR="00663742">
        <w:rPr>
          <w:rFonts w:ascii="Aptos" w:hAnsi="Aptos"/>
          <w:sz w:val="24"/>
          <w:szCs w:val="24"/>
        </w:rPr>
        <w:t xml:space="preserve"> </w:t>
      </w:r>
      <w:r w:rsidR="00663742" w:rsidRPr="007109A5">
        <w:rPr>
          <w:rFonts w:ascii="Aptos" w:hAnsi="Aptos"/>
          <w:sz w:val="24"/>
          <w:szCs w:val="24"/>
        </w:rPr>
        <w:t>following reseeding</w:t>
      </w:r>
      <w:r w:rsidRPr="007109A5">
        <w:rPr>
          <w:rFonts w:ascii="Aptos" w:hAnsi="Aptos"/>
          <w:sz w:val="24"/>
          <w:szCs w:val="24"/>
        </w:rPr>
        <w:t xml:space="preserve">. </w:t>
      </w:r>
    </w:p>
    <w:p w14:paraId="7F307477" w14:textId="77777777" w:rsidR="00B5350E" w:rsidRDefault="00B5350E" w:rsidP="00B5350E">
      <w:pPr>
        <w:spacing w:after="0" w:line="360" w:lineRule="auto"/>
        <w:jc w:val="both"/>
        <w:rPr>
          <w:rFonts w:ascii="Aptos" w:hAnsi="Aptos"/>
          <w:sz w:val="24"/>
          <w:szCs w:val="24"/>
        </w:rPr>
      </w:pPr>
      <w:r w:rsidRPr="00A3312D">
        <w:rPr>
          <w:rFonts w:ascii="Aptos" w:hAnsi="Aptos"/>
          <w:b/>
          <w:bCs/>
          <w:sz w:val="24"/>
          <w:szCs w:val="24"/>
        </w:rPr>
        <w:t>Results:</w:t>
      </w:r>
      <w:r>
        <w:rPr>
          <w:rFonts w:ascii="Aptos" w:hAnsi="Aptos"/>
          <w:sz w:val="24"/>
          <w:szCs w:val="24"/>
        </w:rPr>
        <w:t xml:space="preserve"> </w:t>
      </w:r>
      <w:r w:rsidRPr="007109A5">
        <w:rPr>
          <w:rFonts w:ascii="Aptos" w:hAnsi="Aptos"/>
          <w:sz w:val="24"/>
          <w:szCs w:val="24"/>
        </w:rPr>
        <w:t>Total carbon (TC), total nitrogen (TN), total phosphorus (TP), and pH were measured. Significant three</w:t>
      </w:r>
      <w:r w:rsidRPr="007109A5">
        <w:rPr>
          <w:rFonts w:ascii="Aptos" w:hAnsi="Aptos"/>
          <w:sz w:val="24"/>
          <w:szCs w:val="24"/>
        </w:rPr>
        <w:noBreakHyphen/>
        <w:t>way interactions were detected for all variables. At 0–10 cm, undrained 30YNT plots exhibited 69% greater TC and 66.9% higher TP than the lowest values recorded in 5YNT × drained combinations at 10–30 cm. TN followed a similar pattern, with substantial enrichment under long</w:t>
      </w:r>
      <w:r w:rsidRPr="007109A5">
        <w:rPr>
          <w:rFonts w:ascii="Aptos" w:hAnsi="Aptos"/>
          <w:sz w:val="24"/>
          <w:szCs w:val="24"/>
        </w:rPr>
        <w:noBreakHyphen/>
        <w:t>term no</w:t>
      </w:r>
      <w:r w:rsidRPr="007109A5">
        <w:rPr>
          <w:rFonts w:ascii="Aptos" w:hAnsi="Aptos"/>
          <w:sz w:val="24"/>
          <w:szCs w:val="24"/>
        </w:rPr>
        <w:noBreakHyphen/>
        <w:t>tillage.</w:t>
      </w:r>
      <w:r>
        <w:rPr>
          <w:rFonts w:ascii="Aptos" w:hAnsi="Aptos"/>
          <w:sz w:val="24"/>
          <w:szCs w:val="24"/>
        </w:rPr>
        <w:t xml:space="preserve"> </w:t>
      </w:r>
      <w:r w:rsidRPr="007109A5">
        <w:rPr>
          <w:rFonts w:ascii="Aptos" w:hAnsi="Aptos"/>
          <w:sz w:val="24"/>
          <w:szCs w:val="24"/>
        </w:rPr>
        <w:t xml:space="preserve">Reseeding reduced TC, TN, and TP within five years, particularly in surface soils, with the largest proportional losses in undrained plots where nutrient </w:t>
      </w:r>
      <w:r>
        <w:rPr>
          <w:rFonts w:ascii="Aptos" w:hAnsi="Aptos"/>
          <w:sz w:val="24"/>
          <w:szCs w:val="24"/>
        </w:rPr>
        <w:t>concentrations</w:t>
      </w:r>
      <w:r w:rsidRPr="007109A5">
        <w:rPr>
          <w:rFonts w:ascii="Aptos" w:hAnsi="Aptos"/>
          <w:sz w:val="24"/>
          <w:szCs w:val="24"/>
        </w:rPr>
        <w:t xml:space="preserve"> had been high prior to tillage. </w:t>
      </w:r>
    </w:p>
    <w:p w14:paraId="2A32F50C" w14:textId="3AECDC65" w:rsidR="00B5350E" w:rsidRDefault="00B5350E" w:rsidP="00B5350E">
      <w:pPr>
        <w:spacing w:after="240" w:line="360" w:lineRule="auto"/>
        <w:jc w:val="both"/>
        <w:rPr>
          <w:rFonts w:ascii="Aptos" w:hAnsi="Aptos"/>
          <w:sz w:val="24"/>
          <w:szCs w:val="24"/>
        </w:rPr>
      </w:pPr>
      <w:r w:rsidRPr="00027415">
        <w:rPr>
          <w:rFonts w:ascii="Aptos" w:hAnsi="Aptos"/>
          <w:b/>
          <w:bCs/>
          <w:sz w:val="24"/>
          <w:szCs w:val="24"/>
        </w:rPr>
        <w:t>Conclusion:</w:t>
      </w:r>
      <w:r w:rsidRPr="007109A5">
        <w:rPr>
          <w:rFonts w:ascii="Aptos" w:hAnsi="Aptos"/>
          <w:sz w:val="24"/>
          <w:szCs w:val="24"/>
        </w:rPr>
        <w:t xml:space="preserve"> Findings highlight the importance of conserving long</w:t>
      </w:r>
      <w:r w:rsidRPr="007109A5">
        <w:rPr>
          <w:rFonts w:ascii="Aptos" w:hAnsi="Aptos"/>
          <w:sz w:val="24"/>
          <w:szCs w:val="24"/>
        </w:rPr>
        <w:noBreakHyphen/>
        <w:t>term no</w:t>
      </w:r>
      <w:r w:rsidRPr="007109A5">
        <w:rPr>
          <w:rFonts w:ascii="Aptos" w:hAnsi="Aptos"/>
          <w:sz w:val="24"/>
          <w:szCs w:val="24"/>
        </w:rPr>
        <w:noBreakHyphen/>
        <w:t xml:space="preserve">tillage systems to enhance nutrient retention and promote sustainable grassland productivity. </w:t>
      </w:r>
      <w:r w:rsidR="00227645">
        <w:rPr>
          <w:rFonts w:ascii="Aptos" w:hAnsi="Aptos"/>
          <w:sz w:val="24"/>
          <w:szCs w:val="24"/>
        </w:rPr>
        <w:t>Conventional t</w:t>
      </w:r>
      <w:r w:rsidR="00E00E9D">
        <w:rPr>
          <w:rFonts w:ascii="Aptos" w:hAnsi="Aptos"/>
          <w:sz w:val="24"/>
          <w:szCs w:val="24"/>
        </w:rPr>
        <w:t xml:space="preserve">illage </w:t>
      </w:r>
      <w:r w:rsidR="00643FA9">
        <w:rPr>
          <w:rFonts w:ascii="Aptos" w:hAnsi="Aptos"/>
          <w:sz w:val="24"/>
          <w:szCs w:val="24"/>
        </w:rPr>
        <w:t xml:space="preserve">of </w:t>
      </w:r>
      <w:r w:rsidR="00643FA9" w:rsidRPr="009D560B">
        <w:rPr>
          <w:rFonts w:ascii="Aptos" w:hAnsi="Aptos"/>
          <w:sz w:val="24"/>
          <w:szCs w:val="24"/>
        </w:rPr>
        <w:t>nutrient</w:t>
      </w:r>
      <w:r w:rsidRPr="009D560B">
        <w:rPr>
          <w:rFonts w:ascii="Aptos" w:hAnsi="Aptos"/>
          <w:sz w:val="24"/>
          <w:szCs w:val="24"/>
        </w:rPr>
        <w:noBreakHyphen/>
        <w:t xml:space="preserve">rich pastures </w:t>
      </w:r>
      <w:r>
        <w:rPr>
          <w:rFonts w:ascii="Aptos" w:hAnsi="Aptos"/>
          <w:sz w:val="24"/>
          <w:szCs w:val="24"/>
        </w:rPr>
        <w:t xml:space="preserve">should be avoided </w:t>
      </w:r>
      <w:r w:rsidRPr="009D560B">
        <w:rPr>
          <w:rFonts w:ascii="Aptos" w:hAnsi="Aptos"/>
          <w:sz w:val="24"/>
          <w:szCs w:val="24"/>
        </w:rPr>
        <w:t>to prevent major nutrient losses</w:t>
      </w:r>
      <w:r w:rsidR="00227645">
        <w:rPr>
          <w:rFonts w:ascii="Aptos" w:hAnsi="Aptos"/>
          <w:sz w:val="24"/>
          <w:szCs w:val="24"/>
        </w:rPr>
        <w:t>.</w:t>
      </w:r>
    </w:p>
    <w:p w14:paraId="49DB75E5" w14:textId="12824237" w:rsidR="0049452A" w:rsidRPr="0049452A" w:rsidRDefault="0049452A" w:rsidP="00B5350E">
      <w:pPr>
        <w:spacing w:after="240" w:line="360" w:lineRule="auto"/>
        <w:jc w:val="both"/>
        <w:rPr>
          <w:rFonts w:ascii="Aptos" w:hAnsi="Aptos" w:cs="Arial"/>
          <w:sz w:val="24"/>
          <w:szCs w:val="24"/>
        </w:rPr>
      </w:pPr>
      <w:r w:rsidRPr="001D2FCB">
        <w:rPr>
          <w:rFonts w:ascii="Aptos" w:hAnsi="Aptos" w:cs="Arial"/>
          <w:b/>
          <w:bCs/>
          <w:sz w:val="24"/>
          <w:szCs w:val="24"/>
        </w:rPr>
        <w:t xml:space="preserve">Keywords: </w:t>
      </w:r>
      <w:r w:rsidRPr="001D2FCB">
        <w:rPr>
          <w:rFonts w:ascii="Aptos" w:hAnsi="Aptos" w:cs="Arial"/>
          <w:sz w:val="24"/>
          <w:szCs w:val="24"/>
        </w:rPr>
        <w:t>Total carbon, total nitrogen, total phosphorus, no-tillage, pH,</w:t>
      </w:r>
      <w:r w:rsidRPr="001D2FCB">
        <w:rPr>
          <w:rFonts w:ascii="Aptos" w:hAnsi="Aptos" w:cs="Arial"/>
          <w:b/>
          <w:bCs/>
          <w:sz w:val="24"/>
          <w:szCs w:val="24"/>
        </w:rPr>
        <w:t xml:space="preserve"> </w:t>
      </w:r>
      <w:r w:rsidRPr="001D2FCB">
        <w:rPr>
          <w:rFonts w:ascii="Aptos" w:hAnsi="Aptos" w:cs="Arial"/>
          <w:sz w:val="24"/>
          <w:szCs w:val="24"/>
        </w:rPr>
        <w:t>undrained soils, drained soils.</w:t>
      </w:r>
    </w:p>
    <w:p w14:paraId="0346AE0F" w14:textId="77777777" w:rsidR="0049452A" w:rsidRPr="0049452A" w:rsidRDefault="0049452A" w:rsidP="0049452A">
      <w:pPr>
        <w:spacing w:after="0" w:line="360" w:lineRule="auto"/>
        <w:jc w:val="both"/>
        <w:rPr>
          <w:rFonts w:asciiTheme="majorHAnsi" w:hAnsiTheme="majorHAnsi" w:cs="Arial"/>
          <w:b/>
          <w:bCs/>
          <w:sz w:val="24"/>
          <w:szCs w:val="24"/>
        </w:rPr>
      </w:pPr>
      <w:r w:rsidRPr="0049452A">
        <w:rPr>
          <w:rFonts w:asciiTheme="majorHAnsi" w:hAnsiTheme="majorHAnsi" w:cs="Arial"/>
          <w:b/>
          <w:bCs/>
          <w:sz w:val="24"/>
          <w:szCs w:val="24"/>
        </w:rPr>
        <w:lastRenderedPageBreak/>
        <w:t>Introduction</w:t>
      </w:r>
    </w:p>
    <w:p w14:paraId="5C6AB972" w14:textId="0BDE58C8" w:rsidR="0049452A" w:rsidRPr="0049452A" w:rsidRDefault="0049452A" w:rsidP="0049452A">
      <w:pPr>
        <w:pStyle w:val="FirstParagraph"/>
        <w:spacing w:before="0" w:line="360" w:lineRule="auto"/>
        <w:jc w:val="both"/>
        <w:rPr>
          <w:rFonts w:asciiTheme="majorHAnsi" w:hAnsiTheme="majorHAnsi"/>
        </w:rPr>
      </w:pPr>
      <w:r w:rsidRPr="0049452A">
        <w:rPr>
          <w:rFonts w:asciiTheme="majorHAnsi" w:hAnsiTheme="majorHAnsi"/>
        </w:rPr>
        <w:t xml:space="preserve">Modern agriculture practices aim to increase yields while preserving soil health and preventing environmental degradation to maintain soil productivity. Grasslands cover about 26% of the world’s land area and 80% of agricultural </w:t>
      </w:r>
      <w:r w:rsidR="006B54C4" w:rsidRPr="0049452A">
        <w:rPr>
          <w:rFonts w:asciiTheme="majorHAnsi" w:hAnsiTheme="majorHAnsi"/>
        </w:rPr>
        <w:t>land</w:t>
      </w:r>
      <w:r w:rsidR="006B54C4">
        <w:rPr>
          <w:rFonts w:asciiTheme="majorHAnsi" w:hAnsiTheme="majorHAnsi"/>
        </w:rPr>
        <w:t xml:space="preserve"> and</w:t>
      </w:r>
      <w:r w:rsidRPr="0049452A">
        <w:rPr>
          <w:rFonts w:asciiTheme="majorHAnsi" w:hAnsiTheme="majorHAnsi"/>
        </w:rPr>
        <w:t xml:space="preserve"> thus have a pivotal role in </w:t>
      </w:r>
      <w:r>
        <w:rPr>
          <w:rFonts w:asciiTheme="majorHAnsi" w:hAnsiTheme="majorHAnsi"/>
        </w:rPr>
        <w:t xml:space="preserve">carbon (C) </w:t>
      </w:r>
      <w:r w:rsidRPr="0049452A">
        <w:rPr>
          <w:rFonts w:asciiTheme="majorHAnsi" w:hAnsiTheme="majorHAnsi"/>
        </w:rPr>
        <w:t xml:space="preserve">sequestration (Reinsch et al., 2018). As a result, grassland soils are among the most important </w:t>
      </w:r>
      <w:r>
        <w:rPr>
          <w:rFonts w:asciiTheme="majorHAnsi" w:hAnsiTheme="majorHAnsi"/>
        </w:rPr>
        <w:t>C</w:t>
      </w:r>
      <w:r w:rsidRPr="0049452A">
        <w:rPr>
          <w:rFonts w:asciiTheme="majorHAnsi" w:hAnsiTheme="majorHAnsi"/>
        </w:rPr>
        <w:t xml:space="preserve"> stores on the planet (Rumpel, 2011; Stockmann et al., 2013). However, a single tillage event (such as ploughing for grass-to-grass reseeding) can significantly reduce soil </w:t>
      </w:r>
      <w:r w:rsidR="00484828">
        <w:rPr>
          <w:rFonts w:asciiTheme="majorHAnsi" w:hAnsiTheme="majorHAnsi"/>
        </w:rPr>
        <w:t>C</w:t>
      </w:r>
      <w:r w:rsidRPr="0049452A">
        <w:rPr>
          <w:rFonts w:asciiTheme="majorHAnsi" w:hAnsiTheme="majorHAnsi"/>
        </w:rPr>
        <w:t xml:space="preserve"> stocks (Linsler et al., 2013; Necpálová et al., 2013), negatively impacting the greenhouse gas balance of grassland ecosystems (Vellinga et al., 2004). In the UK, reseeding of species-rich herbal leys is being promoted by subsidy schemes, potentially leading to more frequent cultivation. The benefits of improved sward quality and productivity must therefore be balanced against the negative impacts of tillage.</w:t>
      </w:r>
    </w:p>
    <w:p w14:paraId="055935DD" w14:textId="5E05154B" w:rsidR="0049452A" w:rsidRPr="0049452A" w:rsidRDefault="0049452A" w:rsidP="00484828">
      <w:pPr>
        <w:pStyle w:val="BodyText"/>
        <w:spacing w:line="360" w:lineRule="auto"/>
        <w:jc w:val="both"/>
        <w:rPr>
          <w:rFonts w:asciiTheme="majorHAnsi" w:hAnsiTheme="majorHAnsi"/>
        </w:rPr>
      </w:pPr>
      <w:r w:rsidRPr="0049452A">
        <w:rPr>
          <w:rFonts w:asciiTheme="majorHAnsi" w:hAnsiTheme="majorHAnsi"/>
        </w:rPr>
        <w:t>The physical and chemical properties of soil are crucial for stable, high yields (Chen et al., 2024), but they are markedly affected by tillage. In grassland systems, cultivation to establish new swards (ploughing or harrowing) destroys existing vegetation and enhances productivity (Blair et al., 2018), yet it can degrade soil structure, increase erosion and sediment loss (Hassan et al., 2022), reduce soil organic matter (Man et al., 2022), and raise costs (</w:t>
      </w:r>
      <w:r w:rsidR="007F2760" w:rsidRPr="0049452A">
        <w:rPr>
          <w:rFonts w:asciiTheme="majorHAnsi" w:hAnsiTheme="majorHAnsi"/>
        </w:rPr>
        <w:t>López-Bellido et al., 2019</w:t>
      </w:r>
      <w:r w:rsidR="002D7220">
        <w:rPr>
          <w:rFonts w:asciiTheme="majorHAnsi" w:hAnsiTheme="majorHAnsi"/>
        </w:rPr>
        <w:t xml:space="preserve">; </w:t>
      </w:r>
      <w:r w:rsidR="006A3A2B" w:rsidRPr="0049452A">
        <w:rPr>
          <w:rFonts w:asciiTheme="majorHAnsi" w:hAnsiTheme="majorHAnsi"/>
        </w:rPr>
        <w:t>Pulley and Collins, 2020</w:t>
      </w:r>
      <w:r w:rsidR="007F2760">
        <w:rPr>
          <w:rFonts w:asciiTheme="majorHAnsi" w:hAnsiTheme="majorHAnsi"/>
        </w:rPr>
        <w:t xml:space="preserve">; </w:t>
      </w:r>
      <w:r w:rsidRPr="0049452A">
        <w:rPr>
          <w:rFonts w:asciiTheme="majorHAnsi" w:hAnsiTheme="majorHAnsi"/>
        </w:rPr>
        <w:t>Jacobs et al., 2022). In contrast, no-tillage (NT) practices mitigate climate change by reducing C emissions and improving soil properties (Kumara et al., 2020; Valkama et al., 2020), enhancing stability and reducing erosion (</w:t>
      </w:r>
      <w:r w:rsidR="001E6A44" w:rsidRPr="0049452A">
        <w:rPr>
          <w:rFonts w:asciiTheme="majorHAnsi" w:hAnsiTheme="majorHAnsi"/>
        </w:rPr>
        <w:t>Jat et al., 2019</w:t>
      </w:r>
      <w:r w:rsidR="001E6A44">
        <w:rPr>
          <w:rFonts w:asciiTheme="majorHAnsi" w:hAnsiTheme="majorHAnsi"/>
        </w:rPr>
        <w:t xml:space="preserve">; </w:t>
      </w:r>
      <w:r w:rsidRPr="0049452A">
        <w:rPr>
          <w:rFonts w:asciiTheme="majorHAnsi" w:hAnsiTheme="majorHAnsi"/>
        </w:rPr>
        <w:t>Piazza et al., 2020). A meta-analysis by Aguilera et al. (2013) reported an average 11.2% increase in soil organic C and a sequestration rate of 0.44</w:t>
      </w:r>
      <w:r w:rsidRPr="0049452A">
        <w:rPr>
          <w:rFonts w:ascii="Arial" w:hAnsi="Arial" w:cs="Arial"/>
        </w:rPr>
        <w:t> </w:t>
      </w:r>
      <w:r w:rsidRPr="0049452A">
        <w:rPr>
          <w:rFonts w:asciiTheme="majorHAnsi" w:hAnsiTheme="majorHAnsi"/>
        </w:rPr>
        <w:t>Mg</w:t>
      </w:r>
      <w:r w:rsidRPr="0049452A">
        <w:rPr>
          <w:rFonts w:ascii="Arial" w:hAnsi="Arial" w:cs="Arial"/>
        </w:rPr>
        <w:t> </w:t>
      </w:r>
      <w:r w:rsidRPr="0049452A">
        <w:rPr>
          <w:rFonts w:asciiTheme="majorHAnsi" w:hAnsiTheme="majorHAnsi"/>
        </w:rPr>
        <w:t>C</w:t>
      </w:r>
      <w:r w:rsidRPr="0049452A">
        <w:rPr>
          <w:rFonts w:ascii="Arial" w:hAnsi="Arial" w:cs="Arial"/>
        </w:rPr>
        <w:t> </w:t>
      </w:r>
      <w:r w:rsidRPr="0049452A">
        <w:rPr>
          <w:rFonts w:asciiTheme="majorHAnsi" w:hAnsiTheme="majorHAnsi"/>
        </w:rPr>
        <w:t>ha</w:t>
      </w:r>
      <w:r w:rsidRPr="0049452A">
        <w:rPr>
          <w:rFonts w:ascii="Cambria Math" w:hAnsi="Cambria Math" w:cs="Cambria Math"/>
        </w:rPr>
        <w:t>⁻</w:t>
      </w:r>
      <w:r w:rsidRPr="0049452A">
        <w:rPr>
          <w:rFonts w:asciiTheme="majorHAnsi" w:hAnsiTheme="majorHAnsi" w:cs="Aptos"/>
        </w:rPr>
        <w:t>¹</w:t>
      </w:r>
      <w:r w:rsidRPr="0049452A">
        <w:rPr>
          <w:rFonts w:ascii="Arial" w:hAnsi="Arial" w:cs="Arial"/>
        </w:rPr>
        <w:t> </w:t>
      </w:r>
      <w:r w:rsidRPr="0049452A">
        <w:rPr>
          <w:rFonts w:asciiTheme="majorHAnsi" w:hAnsiTheme="majorHAnsi"/>
        </w:rPr>
        <w:t>yr</w:t>
      </w:r>
      <w:r w:rsidRPr="0049452A">
        <w:rPr>
          <w:rFonts w:ascii="Cambria Math" w:hAnsi="Cambria Math" w:cs="Cambria Math"/>
        </w:rPr>
        <w:t>⁻</w:t>
      </w:r>
      <w:r w:rsidRPr="0049452A">
        <w:rPr>
          <w:rFonts w:asciiTheme="majorHAnsi" w:hAnsiTheme="majorHAnsi" w:cs="Aptos"/>
        </w:rPr>
        <w:t>¹</w:t>
      </w:r>
      <w:r w:rsidRPr="0049452A">
        <w:rPr>
          <w:rFonts w:asciiTheme="majorHAnsi" w:hAnsiTheme="majorHAnsi"/>
        </w:rPr>
        <w:t xml:space="preserve"> under NT compared to conventional tillage. Elias et al. (2023) even found similar soil bulk densities and sward compositions in 20-year NT fields versus 5-year cultivation cycles, questioning the necessity of frequent reseeding. Nevertheless, the impact of reseeding on soil C depends strongly on soil texture and the vertical distribution of carbon in the profile.</w:t>
      </w:r>
    </w:p>
    <w:p w14:paraId="4A7424E5" w14:textId="3136E3C0" w:rsidR="0049452A" w:rsidRPr="0049452A" w:rsidRDefault="0049452A" w:rsidP="00FA1836">
      <w:pPr>
        <w:pStyle w:val="BodyText"/>
        <w:spacing w:line="360" w:lineRule="auto"/>
        <w:jc w:val="both"/>
        <w:rPr>
          <w:rFonts w:asciiTheme="majorHAnsi" w:hAnsiTheme="majorHAnsi"/>
        </w:rPr>
      </w:pPr>
      <w:r w:rsidRPr="0049452A">
        <w:rPr>
          <w:rFonts w:asciiTheme="majorHAnsi" w:hAnsiTheme="majorHAnsi"/>
        </w:rPr>
        <w:t xml:space="preserve">Drainage substantially reduces soil total C and N storage, but it is essential for managing soil water and plant productivity (Ballantine and Tanner, 2013) and preventing waterlogging (De Schepper et al., 2015). Studies of subsurface drainage losses are limited (Dodd et al., 2014), yet the interaction between drainage and tillage is critical to sustainable soil management. Drainage and tillage each influence soil chemical and physical properties (Abid and Lal, 2008), </w:t>
      </w:r>
      <w:r w:rsidRPr="0049452A">
        <w:rPr>
          <w:rFonts w:asciiTheme="majorHAnsi" w:hAnsiTheme="majorHAnsi"/>
        </w:rPr>
        <w:lastRenderedPageBreak/>
        <w:t>but there is a knowledge gap regarding how several years of no-tillage (YNT) and drainage systems (DS) together affect soil nutrients. Rowden Moor grassland (North Wyke, UK) provides an ideal long-term field setting to study these effects</w:t>
      </w:r>
      <w:r w:rsidR="00D36C91">
        <w:rPr>
          <w:rFonts w:asciiTheme="majorHAnsi" w:hAnsiTheme="majorHAnsi"/>
        </w:rPr>
        <w:t xml:space="preserve">. </w:t>
      </w:r>
      <w:r w:rsidR="00036DA5" w:rsidRPr="00036DA5">
        <w:rPr>
          <w:rFonts w:asciiTheme="majorHAnsi" w:hAnsiTheme="majorHAnsi"/>
          <w:lang w:val="en-GB"/>
        </w:rPr>
        <w:t>The soils are classified as Hallsworth or Halstow series</w:t>
      </w:r>
      <w:r w:rsidR="00D36C91">
        <w:rPr>
          <w:rFonts w:asciiTheme="majorHAnsi" w:hAnsiTheme="majorHAnsi"/>
          <w:lang w:val="en-GB"/>
        </w:rPr>
        <w:t>,</w:t>
      </w:r>
      <w:r w:rsidR="00036DA5" w:rsidRPr="00036DA5">
        <w:rPr>
          <w:rFonts w:asciiTheme="majorHAnsi" w:hAnsiTheme="majorHAnsi"/>
          <w:lang w:val="en-GB"/>
        </w:rPr>
        <w:t xml:space="preserve"> poor</w:t>
      </w:r>
      <w:r w:rsidR="00D36C91">
        <w:rPr>
          <w:rFonts w:asciiTheme="majorHAnsi" w:hAnsiTheme="majorHAnsi"/>
          <w:lang w:val="en-GB"/>
        </w:rPr>
        <w:t>ly</w:t>
      </w:r>
      <w:r w:rsidR="00036DA5" w:rsidRPr="00036DA5">
        <w:rPr>
          <w:rFonts w:asciiTheme="majorHAnsi" w:hAnsiTheme="majorHAnsi"/>
          <w:lang w:val="en-GB"/>
        </w:rPr>
        <w:t xml:space="preserve"> drain</w:t>
      </w:r>
      <w:r w:rsidR="002412EB">
        <w:rPr>
          <w:rFonts w:asciiTheme="majorHAnsi" w:hAnsiTheme="majorHAnsi"/>
          <w:lang w:val="en-GB"/>
        </w:rPr>
        <w:t xml:space="preserve">ed </w:t>
      </w:r>
      <w:r w:rsidR="008E6E27">
        <w:rPr>
          <w:rFonts w:asciiTheme="majorHAnsi" w:hAnsiTheme="majorHAnsi"/>
          <w:lang w:val="en-GB"/>
        </w:rPr>
        <w:t>(</w:t>
      </w:r>
      <w:r w:rsidR="00CA5091" w:rsidRPr="00F82A0E">
        <w:rPr>
          <w:rFonts w:asciiTheme="majorHAnsi" w:hAnsiTheme="majorHAnsi"/>
          <w:lang w:val="en-GB"/>
        </w:rPr>
        <w:t>Harrod and Hogan, 2008</w:t>
      </w:r>
      <w:r w:rsidR="00CA5091">
        <w:rPr>
          <w:rFonts w:asciiTheme="majorHAnsi" w:hAnsiTheme="majorHAnsi"/>
          <w:lang w:val="en-GB"/>
        </w:rPr>
        <w:t xml:space="preserve">) </w:t>
      </w:r>
      <w:r w:rsidR="002412EB">
        <w:rPr>
          <w:rFonts w:asciiTheme="majorHAnsi" w:hAnsiTheme="majorHAnsi"/>
          <w:lang w:val="en-GB"/>
        </w:rPr>
        <w:t xml:space="preserve">due to </w:t>
      </w:r>
      <w:r w:rsidR="00036DA5" w:rsidRPr="00036DA5">
        <w:rPr>
          <w:rFonts w:asciiTheme="majorHAnsi" w:hAnsiTheme="majorHAnsi"/>
          <w:lang w:val="en-GB"/>
        </w:rPr>
        <w:t xml:space="preserve">low permeability and limited water storage capacity to a depth of 30 cm, which are typical features of intensively managed grasslands in the western United Kingdom </w:t>
      </w:r>
      <w:r w:rsidR="00944FED">
        <w:rPr>
          <w:rFonts w:asciiTheme="majorHAnsi" w:hAnsiTheme="majorHAnsi"/>
          <w:lang w:val="en-GB"/>
        </w:rPr>
        <w:t>(</w:t>
      </w:r>
      <w:r w:rsidR="00F82A0E" w:rsidRPr="00F82A0E">
        <w:rPr>
          <w:rFonts w:asciiTheme="majorHAnsi" w:hAnsiTheme="majorHAnsi"/>
          <w:lang w:val="en-GB"/>
        </w:rPr>
        <w:t>Blackwell et al., 2018).</w:t>
      </w:r>
    </w:p>
    <w:p w14:paraId="37A7287D" w14:textId="6B604A4C" w:rsidR="0049452A" w:rsidRPr="0049452A" w:rsidRDefault="0049452A" w:rsidP="0049452A">
      <w:pPr>
        <w:pStyle w:val="BodyText"/>
        <w:spacing w:line="360" w:lineRule="auto"/>
        <w:jc w:val="both"/>
        <w:rPr>
          <w:rFonts w:asciiTheme="majorHAnsi" w:hAnsiTheme="majorHAnsi"/>
        </w:rPr>
      </w:pPr>
      <w:r w:rsidRPr="00D63961">
        <w:rPr>
          <w:rFonts w:asciiTheme="majorHAnsi" w:hAnsiTheme="majorHAnsi"/>
        </w:rPr>
        <w:t>To our knowledge, no prior stud</w:t>
      </w:r>
      <w:r w:rsidR="00814BF0" w:rsidRPr="00D63961">
        <w:rPr>
          <w:rFonts w:asciiTheme="majorHAnsi" w:hAnsiTheme="majorHAnsi"/>
        </w:rPr>
        <w:t>y</w:t>
      </w:r>
      <w:r w:rsidRPr="00D63961">
        <w:rPr>
          <w:rFonts w:asciiTheme="majorHAnsi" w:hAnsiTheme="majorHAnsi"/>
        </w:rPr>
        <w:t xml:space="preserve"> h</w:t>
      </w:r>
      <w:r w:rsidR="00814BF0" w:rsidRPr="00D63961">
        <w:rPr>
          <w:rFonts w:asciiTheme="majorHAnsi" w:hAnsiTheme="majorHAnsi"/>
        </w:rPr>
        <w:t>as</w:t>
      </w:r>
      <w:r w:rsidR="0028059A" w:rsidRPr="00D63961">
        <w:rPr>
          <w:rFonts w:asciiTheme="majorHAnsi" w:hAnsiTheme="majorHAnsi"/>
        </w:rPr>
        <w:t xml:space="preserve"> directly</w:t>
      </w:r>
      <w:r w:rsidRPr="00D63961">
        <w:rPr>
          <w:rFonts w:asciiTheme="majorHAnsi" w:hAnsiTheme="majorHAnsi"/>
        </w:rPr>
        <w:t xml:space="preserve"> combined tillage-legacy and drainage treatments at this field scale or with multi-depth resolution</w:t>
      </w:r>
      <w:r w:rsidR="0028059A" w:rsidRPr="00D63961">
        <w:rPr>
          <w:rFonts w:asciiTheme="majorHAnsi" w:hAnsiTheme="majorHAnsi"/>
        </w:rPr>
        <w:t xml:space="preserve"> on basic</w:t>
      </w:r>
      <w:r w:rsidR="00D213E7" w:rsidRPr="00D63961">
        <w:rPr>
          <w:rFonts w:asciiTheme="majorHAnsi" w:hAnsiTheme="majorHAnsi"/>
        </w:rPr>
        <w:t xml:space="preserve"> soil nutrients in grasslan</w:t>
      </w:r>
      <w:r w:rsidR="00E15A05" w:rsidRPr="00D63961">
        <w:rPr>
          <w:rFonts w:asciiTheme="majorHAnsi" w:hAnsiTheme="majorHAnsi"/>
        </w:rPr>
        <w:t>d</w:t>
      </w:r>
      <w:r w:rsidR="005A56B5" w:rsidRPr="00D63961">
        <w:rPr>
          <w:rFonts w:asciiTheme="majorHAnsi" w:hAnsiTheme="majorHAnsi"/>
        </w:rPr>
        <w:t xml:space="preserve"> systems</w:t>
      </w:r>
      <w:r w:rsidR="00E15A05" w:rsidRPr="00D63961">
        <w:rPr>
          <w:rFonts w:asciiTheme="majorHAnsi" w:hAnsiTheme="majorHAnsi"/>
        </w:rPr>
        <w:t xml:space="preserve">. </w:t>
      </w:r>
      <w:r w:rsidR="005971D8" w:rsidRPr="00D63961">
        <w:rPr>
          <w:lang w:val="en-GB"/>
        </w:rPr>
        <w:t xml:space="preserve">Previous studies, such as Harris et al. (2018), focused solely on the long-term effects of drainage on </w:t>
      </w:r>
      <w:r w:rsidR="00E15A05" w:rsidRPr="00D63961">
        <w:rPr>
          <w:lang w:val="en-GB"/>
        </w:rPr>
        <w:t xml:space="preserve">soil </w:t>
      </w:r>
      <w:r w:rsidR="005971D8" w:rsidRPr="00D63961">
        <w:rPr>
          <w:lang w:val="en-GB"/>
        </w:rPr>
        <w:t>C and N, without considering differences in ploughing history or assessing phosphorus (P) dynamics</w:t>
      </w:r>
      <w:r w:rsidR="00E15A05" w:rsidRPr="00D63961">
        <w:rPr>
          <w:lang w:val="en-GB"/>
        </w:rPr>
        <w:t xml:space="preserve"> at same site</w:t>
      </w:r>
      <w:r w:rsidR="005971D8" w:rsidRPr="00D63961">
        <w:rPr>
          <w:lang w:val="en-GB"/>
        </w:rPr>
        <w:t xml:space="preserve">. </w:t>
      </w:r>
      <w:r w:rsidR="00424947" w:rsidRPr="00D63961">
        <w:t>Likewise, Hayes et al. (2022)</w:t>
      </w:r>
      <w:r w:rsidR="000D0940" w:rsidRPr="00D63961">
        <w:t xml:space="preserve"> examined how inversion tillage and reseeding affect surface nutrient</w:t>
      </w:r>
      <w:r w:rsidR="00D54F8D" w:rsidRPr="00D63961">
        <w:t xml:space="preserve">, </w:t>
      </w:r>
      <w:r w:rsidR="000D0940" w:rsidRPr="00D63961">
        <w:t>finding large reductions in P after reseeding, but only at the 0–7.5 cm depth and without controlled drainage contrasts</w:t>
      </w:r>
      <w:r w:rsidR="007F37F0" w:rsidRPr="00D63961">
        <w:t xml:space="preserve">. </w:t>
      </w:r>
      <w:r w:rsidRPr="00D63961">
        <w:rPr>
          <w:rFonts w:asciiTheme="majorHAnsi" w:hAnsiTheme="majorHAnsi"/>
        </w:rPr>
        <w:t xml:space="preserve">Our </w:t>
      </w:r>
      <w:r w:rsidR="00832A8B" w:rsidRPr="00D63961">
        <w:rPr>
          <w:rFonts w:asciiTheme="majorHAnsi" w:hAnsiTheme="majorHAnsi"/>
        </w:rPr>
        <w:t>n</w:t>
      </w:r>
      <w:r w:rsidR="00E57D5A" w:rsidRPr="00D63961">
        <w:rPr>
          <w:rFonts w:asciiTheme="majorHAnsi" w:hAnsiTheme="majorHAnsi"/>
        </w:rPr>
        <w:t xml:space="preserve">ovel </w:t>
      </w:r>
      <w:r w:rsidRPr="00D63961">
        <w:rPr>
          <w:rFonts w:asciiTheme="majorHAnsi" w:hAnsiTheme="majorHAnsi"/>
        </w:rPr>
        <w:t>study fills this gap by leveraging the 1-ha hydrologically isolated Rowden plots to provide robust whole-plot data</w:t>
      </w:r>
      <w:r w:rsidR="002F7346" w:rsidRPr="00D63961">
        <w:rPr>
          <w:rFonts w:asciiTheme="majorHAnsi" w:hAnsiTheme="majorHAnsi"/>
        </w:rPr>
        <w:t>.</w:t>
      </w:r>
      <w:r w:rsidR="002F7346">
        <w:rPr>
          <w:rFonts w:asciiTheme="majorHAnsi" w:hAnsiTheme="majorHAnsi"/>
        </w:rPr>
        <w:t xml:space="preserve"> This</w:t>
      </w:r>
      <w:r w:rsidR="002F7346" w:rsidRPr="00120DD3">
        <w:t xml:space="preserve"> combines both factors: four treatments</w:t>
      </w:r>
      <w:r w:rsidR="006473AD">
        <w:t xml:space="preserve"> combinat</w:t>
      </w:r>
      <w:r w:rsidR="00CE4134">
        <w:t>ions from</w:t>
      </w:r>
      <w:r w:rsidR="002F7346" w:rsidRPr="00120DD3">
        <w:t xml:space="preserve"> drained vs. undrained, 5-year vs. 30-year no-till</w:t>
      </w:r>
      <w:r w:rsidR="00CE4134">
        <w:t xml:space="preserve"> </w:t>
      </w:r>
      <w:r w:rsidR="002F7346" w:rsidRPr="00120DD3">
        <w:t xml:space="preserve">and measures </w:t>
      </w:r>
      <w:r w:rsidR="00102416" w:rsidRPr="0049452A">
        <w:rPr>
          <w:rFonts w:asciiTheme="majorHAnsi" w:hAnsiTheme="majorHAnsi"/>
        </w:rPr>
        <w:t>total carbon</w:t>
      </w:r>
      <w:r w:rsidR="00102416">
        <w:rPr>
          <w:rFonts w:asciiTheme="majorHAnsi" w:hAnsiTheme="majorHAnsi"/>
        </w:rPr>
        <w:t xml:space="preserve"> (TC)</w:t>
      </w:r>
      <w:r w:rsidR="00102416" w:rsidRPr="0049452A">
        <w:rPr>
          <w:rFonts w:asciiTheme="majorHAnsi" w:hAnsiTheme="majorHAnsi"/>
        </w:rPr>
        <w:t>, total nitrogen</w:t>
      </w:r>
      <w:r w:rsidR="00102416">
        <w:rPr>
          <w:rFonts w:asciiTheme="majorHAnsi" w:hAnsiTheme="majorHAnsi"/>
        </w:rPr>
        <w:t xml:space="preserve"> (TN)</w:t>
      </w:r>
      <w:r w:rsidR="00102416" w:rsidRPr="0049452A">
        <w:rPr>
          <w:rFonts w:asciiTheme="majorHAnsi" w:hAnsiTheme="majorHAnsi"/>
        </w:rPr>
        <w:t>, total phosphorus</w:t>
      </w:r>
      <w:r w:rsidR="00102416">
        <w:rPr>
          <w:rFonts w:asciiTheme="majorHAnsi" w:hAnsiTheme="majorHAnsi"/>
        </w:rPr>
        <w:t xml:space="preserve"> (TP)</w:t>
      </w:r>
      <w:r w:rsidR="00102416" w:rsidRPr="0049452A">
        <w:rPr>
          <w:rFonts w:asciiTheme="majorHAnsi" w:hAnsiTheme="majorHAnsi"/>
        </w:rPr>
        <w:t>, and pH</w:t>
      </w:r>
      <w:r w:rsidR="00CE0819">
        <w:rPr>
          <w:rFonts w:asciiTheme="majorHAnsi" w:hAnsiTheme="majorHAnsi"/>
        </w:rPr>
        <w:t xml:space="preserve"> </w:t>
      </w:r>
      <w:r w:rsidR="002F7346" w:rsidRPr="00120DD3">
        <w:t>at two depths (0–10 and 10–30 cm).</w:t>
      </w:r>
      <w:r w:rsidRPr="0049452A">
        <w:rPr>
          <w:rFonts w:asciiTheme="majorHAnsi" w:hAnsiTheme="majorHAnsi"/>
        </w:rPr>
        <w:t xml:space="preserve"> Long-term experiments (30+ years) have shown that extended NT increases crop yields, C sequestration, and soil quality (Sá et al., 2017), supporting NT as a valuable tool for food security and climate mitigation. The objectives were to determine how these factors, and their interactions influence soil nutrient concentrations in an intensively managed grassland</w:t>
      </w:r>
      <w:r w:rsidR="008B2969">
        <w:rPr>
          <w:rFonts w:asciiTheme="majorHAnsi" w:hAnsiTheme="majorHAnsi"/>
        </w:rPr>
        <w:t xml:space="preserve"> in Southwest England</w:t>
      </w:r>
      <w:r w:rsidRPr="0049452A">
        <w:rPr>
          <w:rFonts w:asciiTheme="majorHAnsi" w:hAnsiTheme="majorHAnsi"/>
        </w:rPr>
        <w:t>.</w:t>
      </w:r>
    </w:p>
    <w:p w14:paraId="22C92352" w14:textId="77777777" w:rsidR="0049452A" w:rsidRPr="001D2FCB" w:rsidRDefault="0049452A" w:rsidP="0049452A">
      <w:pPr>
        <w:spacing w:after="0" w:line="360" w:lineRule="auto"/>
        <w:jc w:val="both"/>
        <w:rPr>
          <w:rFonts w:ascii="Aptos" w:hAnsi="Aptos" w:cs="Arial"/>
          <w:color w:val="FF0000"/>
          <w:sz w:val="24"/>
          <w:szCs w:val="24"/>
        </w:rPr>
      </w:pPr>
      <w:r w:rsidRPr="001D2FCB">
        <w:rPr>
          <w:rFonts w:ascii="Aptos" w:hAnsi="Aptos" w:cs="Arial"/>
          <w:b/>
          <w:sz w:val="24"/>
          <w:szCs w:val="24"/>
        </w:rPr>
        <w:t>MATERIALS AND METHODS</w:t>
      </w:r>
    </w:p>
    <w:p w14:paraId="195CC773" w14:textId="77777777" w:rsidR="0049452A" w:rsidRPr="001D2FCB" w:rsidRDefault="0049452A" w:rsidP="0049452A">
      <w:pPr>
        <w:spacing w:after="240" w:line="240" w:lineRule="auto"/>
        <w:rPr>
          <w:rFonts w:ascii="Aptos" w:hAnsi="Aptos" w:cs="Arial"/>
          <w:b/>
          <w:sz w:val="24"/>
          <w:szCs w:val="24"/>
        </w:rPr>
      </w:pPr>
      <w:r w:rsidRPr="001D2FCB">
        <w:rPr>
          <w:rFonts w:ascii="Aptos" w:hAnsi="Aptos" w:cs="Arial"/>
          <w:b/>
          <w:sz w:val="24"/>
          <w:szCs w:val="24"/>
        </w:rPr>
        <w:t xml:space="preserve">Study site </w:t>
      </w:r>
    </w:p>
    <w:p w14:paraId="175C4545" w14:textId="6B645594" w:rsidR="0049452A" w:rsidRPr="00FF4C79" w:rsidRDefault="0049452A" w:rsidP="0049452A">
      <w:pPr>
        <w:spacing w:after="240" w:line="360" w:lineRule="auto"/>
        <w:jc w:val="both"/>
        <w:rPr>
          <w:rFonts w:asciiTheme="majorHAnsi" w:hAnsiTheme="majorHAnsi"/>
          <w:sz w:val="24"/>
          <w:szCs w:val="24"/>
        </w:rPr>
      </w:pPr>
      <w:r w:rsidRPr="001D2FCB">
        <w:rPr>
          <w:rFonts w:ascii="Aptos" w:hAnsi="Aptos" w:cs="Arial"/>
          <w:sz w:val="24"/>
          <w:szCs w:val="24"/>
        </w:rPr>
        <w:t xml:space="preserve">The location of the experiment was at Rowden Moor near North Wyke, Rothamsted Research, Southwest, England.  The study area comprises 12 plots, 1 hectare each of intensively managed grassland. All 12 </w:t>
      </w:r>
      <w:r w:rsidRPr="001D2FCB">
        <w:rPr>
          <w:rFonts w:ascii="Aptos" w:hAnsi="Aptos"/>
          <w:color w:val="000000"/>
          <w:sz w:val="24"/>
          <w:szCs w:val="24"/>
        </w:rPr>
        <w:t xml:space="preserve">plots are surrounded by gravel interceptors, or French drains, to intercept overland surface runoff and surface lateral flow (down to a depth of 30 cm), ensuring that each plot is hydrologically isolated from its neighbouring plots. Additionally, six plots are drained (sub-surface) to a depth of 85 cm using a combination of deep gravel-filled trenches and tile drains placed at 40 m intervals </w:t>
      </w:r>
      <w:r w:rsidRPr="001D2FCB">
        <w:rPr>
          <w:rFonts w:ascii="Aptos" w:hAnsi="Aptos"/>
          <w:color w:val="000000"/>
          <w:sz w:val="24"/>
          <w:szCs w:val="24"/>
        </w:rPr>
        <w:lastRenderedPageBreak/>
        <w:t>across the slope, overlaid with mole drains at 2 m spacing and a depth of 55 cm downslope.</w:t>
      </w:r>
      <w:r w:rsidRPr="001D2FCB">
        <w:rPr>
          <w:rFonts w:ascii="Aptos" w:hAnsi="Aptos"/>
          <w:color w:val="000000"/>
          <w:sz w:val="24"/>
          <w:szCs w:val="24"/>
          <w:shd w:val="clear" w:color="auto" w:fill="F8F9FA"/>
        </w:rPr>
        <w:t> </w:t>
      </w:r>
      <w:r w:rsidRPr="001D2FCB">
        <w:rPr>
          <w:rFonts w:ascii="Aptos" w:hAnsi="Aptos" w:cs="Arial"/>
          <w:sz w:val="24"/>
          <w:szCs w:val="24"/>
        </w:rPr>
        <w:t>A detailed description of the drainage system and site can be found in Harrod and Hogan (2008), Harris et al. (2018)</w:t>
      </w:r>
      <w:r>
        <w:rPr>
          <w:rFonts w:ascii="Aptos" w:hAnsi="Aptos" w:cs="Arial"/>
          <w:sz w:val="24"/>
          <w:szCs w:val="24"/>
        </w:rPr>
        <w:t xml:space="preserve">, and </w:t>
      </w:r>
      <w:r w:rsidRPr="001D2FCB">
        <w:rPr>
          <w:rFonts w:ascii="Aptos" w:hAnsi="Aptos" w:cs="Arial"/>
          <w:sz w:val="24"/>
          <w:szCs w:val="24"/>
        </w:rPr>
        <w:t>Hawkins (2023)</w:t>
      </w:r>
      <w:r>
        <w:rPr>
          <w:rFonts w:ascii="Aptos" w:hAnsi="Aptos" w:cs="Arial"/>
          <w:sz w:val="24"/>
          <w:szCs w:val="24"/>
        </w:rPr>
        <w:t>.</w:t>
      </w:r>
      <w:r w:rsidR="00497220" w:rsidRPr="00497220">
        <w:t xml:space="preserve"> </w:t>
      </w:r>
      <w:r w:rsidR="00497220" w:rsidRPr="00FF4C79">
        <w:rPr>
          <w:rFonts w:asciiTheme="majorHAnsi" w:hAnsiTheme="majorHAnsi"/>
          <w:sz w:val="24"/>
          <w:szCs w:val="24"/>
        </w:rPr>
        <w:t>Since the 1980s the experiment has been sheep-grazed and regularly limed and fertilised to maintain productivit</w:t>
      </w:r>
      <w:r w:rsidR="00FF4C79" w:rsidRPr="00FF4C79">
        <w:rPr>
          <w:rFonts w:asciiTheme="majorHAnsi" w:hAnsiTheme="majorHAnsi"/>
          <w:sz w:val="24"/>
          <w:szCs w:val="24"/>
        </w:rPr>
        <w:t>y.</w:t>
      </w:r>
      <w:r w:rsidR="00497220" w:rsidRPr="00FF4C79">
        <w:rPr>
          <w:rFonts w:asciiTheme="majorHAnsi" w:hAnsiTheme="majorHAnsi"/>
          <w:sz w:val="24"/>
          <w:szCs w:val="24"/>
        </w:rPr>
        <w:t xml:space="preserve"> All plots are similar in history except for our treatments: half were last ploughed in </w:t>
      </w:r>
      <w:r w:rsidR="00DE4BE5" w:rsidRPr="00FF4C79">
        <w:rPr>
          <w:rFonts w:asciiTheme="majorHAnsi" w:hAnsiTheme="majorHAnsi"/>
          <w:sz w:val="24"/>
          <w:szCs w:val="24"/>
        </w:rPr>
        <w:t>2017,</w:t>
      </w:r>
      <w:r w:rsidR="00497220" w:rsidRPr="00FF4C79">
        <w:rPr>
          <w:rFonts w:asciiTheme="majorHAnsi" w:hAnsiTheme="majorHAnsi"/>
          <w:sz w:val="24"/>
          <w:szCs w:val="24"/>
        </w:rPr>
        <w:t xml:space="preserve"> and half have remained permanent pasture (no till for ≥30 years)</w:t>
      </w:r>
      <w:r w:rsidR="00FF4C79">
        <w:rPr>
          <w:rFonts w:asciiTheme="majorHAnsi" w:hAnsiTheme="majorHAnsi"/>
          <w:sz w:val="24"/>
          <w:szCs w:val="24"/>
        </w:rPr>
        <w:t>.</w:t>
      </w:r>
      <w:r w:rsidR="00E06847">
        <w:rPr>
          <w:rFonts w:asciiTheme="majorHAnsi" w:hAnsiTheme="majorHAnsi"/>
          <w:sz w:val="24"/>
          <w:szCs w:val="24"/>
        </w:rPr>
        <w:t xml:space="preserve"> All plots were </w:t>
      </w:r>
      <w:r w:rsidR="00E41F6D">
        <w:rPr>
          <w:rFonts w:asciiTheme="majorHAnsi" w:hAnsiTheme="majorHAnsi"/>
          <w:sz w:val="24"/>
          <w:szCs w:val="24"/>
        </w:rPr>
        <w:t>fertilized</w:t>
      </w:r>
      <w:r w:rsidR="00756822">
        <w:rPr>
          <w:rFonts w:asciiTheme="majorHAnsi" w:hAnsiTheme="majorHAnsi"/>
          <w:sz w:val="24"/>
          <w:szCs w:val="24"/>
        </w:rPr>
        <w:t xml:space="preserve"> </w:t>
      </w:r>
      <w:r w:rsidR="00B33729">
        <w:rPr>
          <w:rFonts w:asciiTheme="majorHAnsi" w:hAnsiTheme="majorHAnsi"/>
          <w:sz w:val="24"/>
          <w:szCs w:val="24"/>
        </w:rPr>
        <w:t>with</w:t>
      </w:r>
      <w:r w:rsidR="00756822">
        <w:rPr>
          <w:rFonts w:asciiTheme="majorHAnsi" w:hAnsiTheme="majorHAnsi"/>
          <w:sz w:val="24"/>
          <w:szCs w:val="24"/>
        </w:rPr>
        <w:t xml:space="preserve"> 250 kg N ha</w:t>
      </w:r>
      <w:r w:rsidR="00756822" w:rsidRPr="00756822">
        <w:rPr>
          <w:rFonts w:asciiTheme="majorHAnsi" w:hAnsiTheme="majorHAnsi"/>
          <w:sz w:val="24"/>
          <w:szCs w:val="24"/>
          <w:vertAlign w:val="superscript"/>
        </w:rPr>
        <w:t>-1</w:t>
      </w:r>
      <w:r w:rsidR="00F07477">
        <w:rPr>
          <w:rFonts w:asciiTheme="majorHAnsi" w:hAnsiTheme="majorHAnsi"/>
          <w:sz w:val="24"/>
          <w:szCs w:val="24"/>
        </w:rPr>
        <w:t xml:space="preserve"> yr</w:t>
      </w:r>
      <w:r w:rsidR="00F07477" w:rsidRPr="00B33729">
        <w:rPr>
          <w:rFonts w:asciiTheme="majorHAnsi" w:hAnsiTheme="majorHAnsi"/>
          <w:sz w:val="24"/>
          <w:szCs w:val="24"/>
          <w:vertAlign w:val="superscript"/>
        </w:rPr>
        <w:t>-1</w:t>
      </w:r>
      <w:r w:rsidR="00F07477">
        <w:rPr>
          <w:rFonts w:asciiTheme="majorHAnsi" w:hAnsiTheme="majorHAnsi"/>
          <w:sz w:val="24"/>
          <w:szCs w:val="24"/>
        </w:rPr>
        <w:t>.</w:t>
      </w:r>
    </w:p>
    <w:p w14:paraId="49DA2E46" w14:textId="77777777" w:rsidR="0049452A" w:rsidRPr="001D2FCB" w:rsidRDefault="0049452A" w:rsidP="0049452A">
      <w:pPr>
        <w:spacing w:after="0" w:line="360" w:lineRule="auto"/>
        <w:jc w:val="both"/>
        <w:rPr>
          <w:rFonts w:ascii="Aptos" w:hAnsi="Aptos" w:cs="Arial"/>
          <w:b/>
          <w:bCs/>
          <w:sz w:val="24"/>
          <w:szCs w:val="24"/>
        </w:rPr>
      </w:pPr>
      <w:r w:rsidRPr="001D2FCB">
        <w:rPr>
          <w:rFonts w:ascii="Aptos" w:hAnsi="Aptos" w:cs="Arial"/>
          <w:b/>
          <w:bCs/>
          <w:sz w:val="24"/>
          <w:szCs w:val="24"/>
        </w:rPr>
        <w:t>Experimental Design and Management</w:t>
      </w:r>
    </w:p>
    <w:p w14:paraId="522E14D6" w14:textId="7119EFF6" w:rsidR="0049452A" w:rsidRPr="001D2FCB" w:rsidRDefault="0049452A" w:rsidP="0049452A">
      <w:pPr>
        <w:spacing w:after="240" w:line="360" w:lineRule="auto"/>
        <w:jc w:val="both"/>
        <w:rPr>
          <w:rFonts w:ascii="Aptos" w:hAnsi="Aptos" w:cs="Arial"/>
          <w:sz w:val="24"/>
          <w:szCs w:val="24"/>
        </w:rPr>
      </w:pPr>
      <w:r w:rsidRPr="001D2FCB">
        <w:rPr>
          <w:rFonts w:ascii="Aptos" w:hAnsi="Aptos" w:cs="Arial"/>
          <w:sz w:val="24"/>
          <w:szCs w:val="24"/>
        </w:rPr>
        <w:t>The study was conducted in 2022 using eight plots of 1</w:t>
      </w:r>
      <w:r w:rsidR="00B366A8">
        <w:rPr>
          <w:rFonts w:ascii="Aptos" w:hAnsi="Aptos" w:cs="Arial"/>
          <w:sz w:val="24"/>
          <w:szCs w:val="24"/>
        </w:rPr>
        <w:t>-</w:t>
      </w:r>
      <w:r w:rsidRPr="001D2FCB">
        <w:rPr>
          <w:rFonts w:ascii="Aptos" w:hAnsi="Aptos" w:cs="Arial"/>
          <w:sz w:val="24"/>
          <w:szCs w:val="24"/>
        </w:rPr>
        <w:t xml:space="preserve">ha each. Four of the plots had not been ploughed for over 30YNT. The remaining four plots were ploughed and harrowed in 2017 and reseeded with perennial ryegrass </w:t>
      </w:r>
      <w:r w:rsidRPr="001D2FCB">
        <w:rPr>
          <w:rFonts w:ascii="Aptos" w:hAnsi="Aptos" w:cs="Arial"/>
          <w:i/>
          <w:iCs/>
          <w:sz w:val="24"/>
          <w:szCs w:val="24"/>
        </w:rPr>
        <w:t>(Lolium perenne</w:t>
      </w:r>
      <w:r w:rsidRPr="001D2FCB">
        <w:rPr>
          <w:rFonts w:ascii="Aptos" w:hAnsi="Aptos" w:cs="Arial"/>
          <w:sz w:val="24"/>
          <w:szCs w:val="24"/>
        </w:rPr>
        <w:t>) and Festulolium hybrid (</w:t>
      </w:r>
      <w:r w:rsidRPr="001D2FCB">
        <w:rPr>
          <w:rFonts w:ascii="Aptos" w:hAnsi="Aptos" w:cs="Arial"/>
          <w:i/>
          <w:iCs/>
          <w:sz w:val="24"/>
          <w:szCs w:val="24"/>
        </w:rPr>
        <w:t>Festulolium</w:t>
      </w:r>
      <w:r w:rsidRPr="001D2FCB">
        <w:rPr>
          <w:rFonts w:ascii="Aptos" w:hAnsi="Aptos" w:cs="Arial"/>
          <w:sz w:val="24"/>
          <w:szCs w:val="24"/>
        </w:rPr>
        <w:t xml:space="preserve">), and then unploughed for 5 years (until summer 2022, 5YNT). Two of the 5YNT and 30YNT plots were drained and the other two were undrained. </w:t>
      </w:r>
      <w:r w:rsidRPr="001D2FCB">
        <w:rPr>
          <w:rFonts w:ascii="Aptos" w:hAnsi="Aptos"/>
          <w:sz w:val="24"/>
          <w:szCs w:val="24"/>
        </w:rPr>
        <w:t>Therefore, this experiment involved the factorial combination of three factors: YNT (</w:t>
      </w:r>
      <w:r w:rsidRPr="001D2FCB">
        <w:rPr>
          <w:rFonts w:ascii="Aptos" w:hAnsi="Aptos" w:cs="Arial"/>
          <w:sz w:val="24"/>
          <w:szCs w:val="24"/>
        </w:rPr>
        <w:t>5YNT</w:t>
      </w:r>
      <w:r w:rsidRPr="001D2FCB">
        <w:rPr>
          <w:rFonts w:ascii="Aptos" w:hAnsi="Aptos"/>
          <w:sz w:val="24"/>
          <w:szCs w:val="24"/>
        </w:rPr>
        <w:t xml:space="preserve"> and 30YNT), DS (drained and undrained), and soil depths (0 – 10 cm and 10 – 30 cm, see next section), replicated two times. </w:t>
      </w:r>
      <w:r w:rsidRPr="001D2FCB">
        <w:rPr>
          <w:rFonts w:ascii="Aptos" w:hAnsi="Aptos" w:cs="Arial"/>
          <w:i/>
          <w:iCs/>
          <w:sz w:val="24"/>
          <w:szCs w:val="24"/>
        </w:rPr>
        <w:t xml:space="preserve">Lolium perenne, Agrostis stolonifera, </w:t>
      </w:r>
      <w:r w:rsidRPr="001D2FCB">
        <w:rPr>
          <w:rFonts w:ascii="Aptos" w:hAnsi="Aptos" w:cs="Arial"/>
          <w:sz w:val="24"/>
          <w:szCs w:val="24"/>
        </w:rPr>
        <w:t xml:space="preserve">and </w:t>
      </w:r>
      <w:r w:rsidRPr="001D2FCB">
        <w:rPr>
          <w:rFonts w:ascii="Aptos" w:hAnsi="Aptos" w:cs="Arial"/>
          <w:i/>
          <w:iCs/>
          <w:sz w:val="24"/>
          <w:szCs w:val="24"/>
        </w:rPr>
        <w:t xml:space="preserve">Holcus lanatus </w:t>
      </w:r>
      <w:r w:rsidRPr="001D2FCB">
        <w:rPr>
          <w:rFonts w:ascii="Aptos" w:hAnsi="Aptos" w:cs="Arial"/>
          <w:sz w:val="24"/>
          <w:szCs w:val="24"/>
        </w:rPr>
        <w:t xml:space="preserve">were the dominant grass species in all the plots during soil sampling in August 2022. The plots were grazed by </w:t>
      </w:r>
      <w:r w:rsidR="00707935">
        <w:rPr>
          <w:rFonts w:ascii="Aptos" w:hAnsi="Aptos" w:cs="Arial"/>
          <w:sz w:val="24"/>
          <w:szCs w:val="24"/>
        </w:rPr>
        <w:t xml:space="preserve">10 </w:t>
      </w:r>
      <w:r w:rsidRPr="001D2FCB">
        <w:rPr>
          <w:rFonts w:ascii="Aptos" w:hAnsi="Aptos" w:cs="Arial"/>
          <w:sz w:val="24"/>
          <w:szCs w:val="24"/>
        </w:rPr>
        <w:t>ewes and their lambs from April to October each year.</w:t>
      </w:r>
    </w:p>
    <w:p w14:paraId="4CE234AD" w14:textId="77777777" w:rsidR="0049452A" w:rsidRPr="001D2FCB" w:rsidRDefault="0049452A" w:rsidP="0049452A">
      <w:pPr>
        <w:spacing w:after="0" w:line="360" w:lineRule="auto"/>
        <w:jc w:val="both"/>
        <w:rPr>
          <w:rFonts w:ascii="Aptos" w:hAnsi="Aptos" w:cs="Arial"/>
          <w:b/>
          <w:bCs/>
          <w:sz w:val="24"/>
          <w:szCs w:val="24"/>
        </w:rPr>
      </w:pPr>
      <w:r w:rsidRPr="001D2FCB">
        <w:rPr>
          <w:rFonts w:ascii="Aptos" w:hAnsi="Aptos" w:cs="Arial"/>
          <w:b/>
          <w:bCs/>
          <w:sz w:val="24"/>
          <w:szCs w:val="24"/>
        </w:rPr>
        <w:t>Soil sampling procedure, processing, and analysis</w:t>
      </w:r>
    </w:p>
    <w:p w14:paraId="1D0BB002" w14:textId="77777777" w:rsidR="0049452A" w:rsidRDefault="0049452A" w:rsidP="0049452A">
      <w:pPr>
        <w:spacing w:after="240" w:line="360" w:lineRule="auto"/>
        <w:jc w:val="both"/>
        <w:rPr>
          <w:rStyle w:val="Emphasis"/>
          <w:rFonts w:ascii="Aptos" w:hAnsi="Aptos" w:cs="Arial"/>
          <w:sz w:val="24"/>
          <w:szCs w:val="24"/>
        </w:rPr>
      </w:pPr>
      <w:r w:rsidRPr="001D2FCB">
        <w:rPr>
          <w:rFonts w:ascii="Aptos" w:hAnsi="Aptos" w:cs="Arial"/>
          <w:sz w:val="24"/>
          <w:szCs w:val="24"/>
        </w:rPr>
        <w:t xml:space="preserve">Ten intact soil cores (pseudo-replicates) in each plot were sampled with a 5cm diameter split soil corer to a depth of 30 cm with individual cores being evenly spread along a “W” shape covering each of the 1-ha plots. </w:t>
      </w:r>
      <w:r w:rsidRPr="001D2FCB">
        <w:rPr>
          <w:rFonts w:ascii="Aptos" w:hAnsi="Aptos"/>
          <w:sz w:val="24"/>
          <w:szCs w:val="24"/>
        </w:rPr>
        <w:t>Each core was subdivided into two depths (0 – 10 cm and 10 – 30 cm).</w:t>
      </w:r>
      <w:r w:rsidRPr="001D2FCB">
        <w:rPr>
          <w:rFonts w:ascii="Aptos" w:hAnsi="Aptos" w:cs="Arial"/>
          <w:sz w:val="24"/>
          <w:szCs w:val="24"/>
        </w:rPr>
        <w:t xml:space="preserve"> Sampling took place in August 2022. Soil pH was determined using the soil water suspension method (FA</w:t>
      </w:r>
      <w:r>
        <w:rPr>
          <w:rFonts w:ascii="Aptos" w:hAnsi="Aptos" w:cs="Arial"/>
          <w:sz w:val="24"/>
          <w:szCs w:val="24"/>
        </w:rPr>
        <w:t>O</w:t>
      </w:r>
      <w:r w:rsidRPr="001D2FCB">
        <w:rPr>
          <w:rFonts w:ascii="Aptos" w:hAnsi="Aptos" w:cs="Arial"/>
          <w:sz w:val="24"/>
          <w:szCs w:val="24"/>
        </w:rPr>
        <w:t>, 2021). TC and TN concentrations were determined using the</w:t>
      </w:r>
      <w:r w:rsidRPr="001D2FCB">
        <w:rPr>
          <w:rFonts w:ascii="Aptos" w:hAnsi="Aptos" w:cs="Arial"/>
          <w:color w:val="030303"/>
          <w:sz w:val="24"/>
          <w:szCs w:val="24"/>
          <w:shd w:val="clear" w:color="auto" w:fill="FEFEFE"/>
        </w:rPr>
        <w:t xml:space="preserve"> LECO Combustion analyser (</w:t>
      </w:r>
      <w:r w:rsidRPr="001D2FCB">
        <w:rPr>
          <w:rFonts w:ascii="Aptos" w:hAnsi="Aptos" w:cs="Open Sans"/>
          <w:color w:val="333333"/>
          <w:sz w:val="24"/>
          <w:szCs w:val="24"/>
          <w:shd w:val="clear" w:color="auto" w:fill="FFFFFF"/>
        </w:rPr>
        <w:t>Wright and Bailey, 2001)</w:t>
      </w:r>
      <w:r w:rsidRPr="001D2FCB">
        <w:rPr>
          <w:rFonts w:ascii="Aptos" w:hAnsi="Aptos" w:cs="Arial"/>
          <w:color w:val="030303"/>
          <w:sz w:val="24"/>
          <w:szCs w:val="24"/>
          <w:shd w:val="clear" w:color="auto" w:fill="FEFEFE"/>
        </w:rPr>
        <w:t xml:space="preserve">. </w:t>
      </w:r>
      <w:r w:rsidRPr="001D2FCB">
        <w:rPr>
          <w:rStyle w:val="Emphasis"/>
          <w:rFonts w:ascii="Aptos" w:hAnsi="Aptos" w:cs="Arial"/>
          <w:i w:val="0"/>
          <w:iCs w:val="0"/>
          <w:sz w:val="24"/>
          <w:szCs w:val="24"/>
        </w:rPr>
        <w:t>TP concentration was analysed using Inductively Coupled Plasma Optical Emission Spectroscopy</w:t>
      </w:r>
      <w:r w:rsidRPr="001D2FCB">
        <w:rPr>
          <w:rStyle w:val="Emphasis"/>
          <w:rFonts w:ascii="Aptos" w:hAnsi="Aptos" w:cs="Arial"/>
          <w:sz w:val="24"/>
          <w:szCs w:val="24"/>
        </w:rPr>
        <w:t>.</w:t>
      </w:r>
    </w:p>
    <w:p w14:paraId="410D5923" w14:textId="77777777" w:rsidR="00B70A32" w:rsidRPr="001D2FCB" w:rsidRDefault="00B70A32" w:rsidP="0049452A">
      <w:pPr>
        <w:spacing w:after="240" w:line="360" w:lineRule="auto"/>
        <w:jc w:val="both"/>
        <w:rPr>
          <w:rStyle w:val="Emphasis"/>
          <w:rFonts w:ascii="Aptos" w:hAnsi="Aptos" w:cs="Arial"/>
          <w:i w:val="0"/>
          <w:iCs w:val="0"/>
          <w:sz w:val="24"/>
          <w:szCs w:val="24"/>
        </w:rPr>
      </w:pPr>
    </w:p>
    <w:p w14:paraId="646C0A6D" w14:textId="77777777" w:rsidR="0049452A" w:rsidRPr="001D2FCB" w:rsidRDefault="0049452A" w:rsidP="0049452A">
      <w:pPr>
        <w:spacing w:after="0" w:line="360" w:lineRule="auto"/>
        <w:jc w:val="both"/>
        <w:rPr>
          <w:rFonts w:ascii="Aptos" w:hAnsi="Aptos" w:cs="Arial"/>
          <w:b/>
          <w:bCs/>
          <w:sz w:val="24"/>
          <w:szCs w:val="24"/>
        </w:rPr>
      </w:pPr>
      <w:r w:rsidRPr="001D2FCB">
        <w:rPr>
          <w:rFonts w:ascii="Aptos" w:hAnsi="Aptos" w:cs="Arial"/>
          <w:b/>
          <w:bCs/>
          <w:iCs/>
          <w:sz w:val="24"/>
          <w:szCs w:val="24"/>
        </w:rPr>
        <w:t>D</w:t>
      </w:r>
      <w:r w:rsidRPr="001D2FCB">
        <w:rPr>
          <w:rFonts w:ascii="Aptos" w:hAnsi="Aptos" w:cs="Arial"/>
          <w:b/>
          <w:bCs/>
          <w:sz w:val="24"/>
          <w:szCs w:val="24"/>
        </w:rPr>
        <w:t>ata analysis</w:t>
      </w:r>
    </w:p>
    <w:p w14:paraId="1FD8DF4D" w14:textId="3A37AA0F" w:rsidR="0049452A" w:rsidRPr="001D2FCB" w:rsidRDefault="0049452A" w:rsidP="0049452A">
      <w:pPr>
        <w:spacing w:after="240" w:line="360" w:lineRule="auto"/>
        <w:jc w:val="both"/>
        <w:rPr>
          <w:rFonts w:ascii="Aptos" w:hAnsi="Aptos" w:cs="Arial"/>
          <w:sz w:val="24"/>
          <w:szCs w:val="24"/>
        </w:rPr>
      </w:pPr>
      <w:r w:rsidRPr="001D2FCB">
        <w:rPr>
          <w:rFonts w:ascii="Aptos" w:hAnsi="Aptos" w:cs="Arial"/>
          <w:sz w:val="24"/>
          <w:szCs w:val="24"/>
        </w:rPr>
        <w:lastRenderedPageBreak/>
        <w:t xml:space="preserve">Analysis of variance (ANOVA) was performed on the data generated. YNT, DS, soil depths, and their interaction were included in the model as </w:t>
      </w:r>
      <w:r w:rsidR="00F85F4A">
        <w:rPr>
          <w:rFonts w:ascii="Aptos" w:hAnsi="Aptos" w:cs="Arial"/>
          <w:sz w:val="24"/>
          <w:szCs w:val="24"/>
        </w:rPr>
        <w:t xml:space="preserve">a </w:t>
      </w:r>
      <w:r w:rsidRPr="001D2FCB">
        <w:rPr>
          <w:rFonts w:ascii="Aptos" w:hAnsi="Aptos" w:cs="Arial"/>
          <w:sz w:val="24"/>
          <w:szCs w:val="24"/>
        </w:rPr>
        <w:t xml:space="preserve">fixed effect. </w:t>
      </w:r>
      <w:r w:rsidR="002B13AC" w:rsidRPr="002B13AC">
        <w:rPr>
          <w:rFonts w:ascii="Aptos" w:hAnsi="Aptos" w:cs="Arial"/>
          <w:sz w:val="24"/>
          <w:szCs w:val="24"/>
        </w:rPr>
        <w:t xml:space="preserve">The analysis model included soil cores (pseudo-replicates) nested within plots, and soil depths nested within soil cores, </w:t>
      </w:r>
      <w:r w:rsidR="005F6CA8" w:rsidRPr="005F6CA8">
        <w:rPr>
          <w:rFonts w:ascii="Aptos" w:hAnsi="Aptos" w:cs="Arial"/>
          <w:sz w:val="24"/>
          <w:szCs w:val="24"/>
        </w:rPr>
        <w:t>which were included as random (blocking)</w:t>
      </w:r>
      <w:r w:rsidR="002B13AC" w:rsidRPr="002B13AC">
        <w:rPr>
          <w:rFonts w:ascii="Aptos" w:hAnsi="Aptos" w:cs="Arial"/>
          <w:sz w:val="24"/>
          <w:szCs w:val="24"/>
        </w:rPr>
        <w:t>.</w:t>
      </w:r>
      <w:r w:rsidR="001D666C">
        <w:rPr>
          <w:rFonts w:ascii="Aptos" w:hAnsi="Aptos" w:cs="Arial"/>
          <w:sz w:val="24"/>
          <w:szCs w:val="24"/>
        </w:rPr>
        <w:t xml:space="preserve"> </w:t>
      </w:r>
      <w:r w:rsidRPr="001D2FCB">
        <w:rPr>
          <w:rFonts w:ascii="Aptos" w:hAnsi="Aptos" w:cs="Arial"/>
          <w:sz w:val="24"/>
          <w:szCs w:val="24"/>
        </w:rPr>
        <w:t xml:space="preserve">Analyses were performed using </w:t>
      </w:r>
      <w:r>
        <w:rPr>
          <w:rFonts w:ascii="Aptos" w:hAnsi="Aptos" w:cs="Arial"/>
          <w:sz w:val="24"/>
          <w:szCs w:val="24"/>
        </w:rPr>
        <w:t>GenStat</w:t>
      </w:r>
      <w:r w:rsidRPr="001D2FCB">
        <w:rPr>
          <w:rFonts w:ascii="Aptos" w:hAnsi="Aptos" w:cs="Arial"/>
          <w:sz w:val="24"/>
          <w:szCs w:val="24"/>
        </w:rPr>
        <w:t xml:space="preserve"> statistical software </w:t>
      </w:r>
      <w:r w:rsidRPr="00E527AE">
        <w:rPr>
          <w:rFonts w:ascii="Aptos" w:hAnsi="Aptos" w:cs="Arial"/>
          <w:sz w:val="24"/>
          <w:szCs w:val="24"/>
        </w:rPr>
        <w:t>(</w:t>
      </w:r>
      <w:r w:rsidRPr="00E527AE">
        <w:rPr>
          <w:rFonts w:ascii="Aptos" w:hAnsi="Aptos"/>
          <w:color w:val="595959"/>
          <w:sz w:val="24"/>
          <w:szCs w:val="24"/>
          <w:shd w:val="clear" w:color="auto" w:fill="FFFFFF"/>
        </w:rPr>
        <w:t>VSN International, 202</w:t>
      </w:r>
      <w:r>
        <w:rPr>
          <w:rFonts w:ascii="Aptos" w:hAnsi="Aptos"/>
          <w:color w:val="595959"/>
          <w:sz w:val="24"/>
          <w:szCs w:val="24"/>
          <w:shd w:val="clear" w:color="auto" w:fill="FFFFFF"/>
        </w:rPr>
        <w:t>3</w:t>
      </w:r>
      <w:r w:rsidRPr="00E527AE">
        <w:rPr>
          <w:rFonts w:ascii="Aptos" w:hAnsi="Aptos" w:cs="Arial"/>
          <w:sz w:val="24"/>
          <w:szCs w:val="24"/>
        </w:rPr>
        <w:t xml:space="preserve">). </w:t>
      </w:r>
      <w:r w:rsidRPr="001D2FCB">
        <w:rPr>
          <w:rFonts w:ascii="Aptos" w:hAnsi="Aptos" w:cs="Arial"/>
          <w:sz w:val="24"/>
          <w:szCs w:val="24"/>
        </w:rPr>
        <w:t xml:space="preserve">The significant difference between means was declared at a 5% probability level </w:t>
      </w:r>
      <w:r>
        <w:rPr>
          <w:rFonts w:ascii="Aptos" w:hAnsi="Aptos" w:cs="Arial"/>
          <w:sz w:val="24"/>
          <w:szCs w:val="24"/>
        </w:rPr>
        <w:t xml:space="preserve">and the </w:t>
      </w:r>
      <w:r w:rsidRPr="001D2FCB">
        <w:rPr>
          <w:rFonts w:ascii="Aptos" w:hAnsi="Aptos" w:cs="Arial"/>
          <w:sz w:val="24"/>
          <w:szCs w:val="24"/>
        </w:rPr>
        <w:t>Tukey HSD post hoc test</w:t>
      </w:r>
      <w:r>
        <w:rPr>
          <w:rFonts w:ascii="Aptos" w:hAnsi="Aptos" w:cs="Arial"/>
          <w:sz w:val="24"/>
          <w:szCs w:val="24"/>
        </w:rPr>
        <w:t xml:space="preserve"> was used to separate means from the interactions</w:t>
      </w:r>
      <w:r w:rsidRPr="001D2FCB">
        <w:rPr>
          <w:rFonts w:ascii="Aptos" w:hAnsi="Aptos" w:cs="Arial"/>
          <w:sz w:val="24"/>
          <w:szCs w:val="24"/>
        </w:rPr>
        <w:t xml:space="preserve">. </w:t>
      </w:r>
    </w:p>
    <w:p w14:paraId="5DFB4F6F" w14:textId="77777777" w:rsidR="0049452A" w:rsidRPr="001D2FCB" w:rsidRDefault="0049452A" w:rsidP="0049452A">
      <w:pPr>
        <w:spacing w:after="240" w:line="240" w:lineRule="auto"/>
        <w:rPr>
          <w:rFonts w:ascii="Aptos" w:hAnsi="Aptos" w:cs="Arial"/>
          <w:b/>
          <w:bCs/>
          <w:sz w:val="24"/>
          <w:szCs w:val="24"/>
        </w:rPr>
      </w:pPr>
      <w:r w:rsidRPr="001D2FCB">
        <w:rPr>
          <w:rFonts w:ascii="Aptos" w:hAnsi="Aptos" w:cs="Arial"/>
          <w:b/>
          <w:bCs/>
          <w:sz w:val="24"/>
          <w:szCs w:val="24"/>
        </w:rPr>
        <w:t>RESULTS</w:t>
      </w:r>
    </w:p>
    <w:p w14:paraId="16C36FA9" w14:textId="7274859D" w:rsidR="00111920" w:rsidRPr="001D2FCB" w:rsidRDefault="0049452A" w:rsidP="00111920">
      <w:pPr>
        <w:spacing w:after="240" w:line="360" w:lineRule="auto"/>
        <w:jc w:val="both"/>
        <w:rPr>
          <w:rFonts w:ascii="Aptos" w:hAnsi="Aptos" w:cs="Arial"/>
          <w:sz w:val="24"/>
          <w:szCs w:val="24"/>
        </w:rPr>
      </w:pPr>
      <w:r>
        <w:rPr>
          <w:rFonts w:ascii="Aptos" w:hAnsi="Aptos" w:cs="Arial"/>
          <w:sz w:val="24"/>
          <w:szCs w:val="24"/>
        </w:rPr>
        <w:t xml:space="preserve">The results of the analyses of variance are provided in </w:t>
      </w:r>
      <w:r w:rsidR="00DF7EF7">
        <w:rPr>
          <w:rFonts w:ascii="Aptos" w:hAnsi="Aptos" w:cs="Arial"/>
          <w:sz w:val="24"/>
          <w:szCs w:val="24"/>
        </w:rPr>
        <w:t>Table</w:t>
      </w:r>
      <w:r w:rsidR="009A3B2F">
        <w:rPr>
          <w:rFonts w:ascii="Aptos" w:hAnsi="Aptos" w:cs="Arial"/>
          <w:sz w:val="24"/>
          <w:szCs w:val="24"/>
        </w:rPr>
        <w:t xml:space="preserve"> 1.</w:t>
      </w:r>
      <w:r>
        <w:rPr>
          <w:rFonts w:ascii="Aptos" w:hAnsi="Aptos" w:cs="Arial"/>
          <w:sz w:val="24"/>
          <w:szCs w:val="24"/>
        </w:rPr>
        <w:t xml:space="preserve"> </w:t>
      </w:r>
      <w:r w:rsidRPr="001D2FCB">
        <w:rPr>
          <w:rFonts w:ascii="Aptos" w:hAnsi="Aptos" w:cs="Arial"/>
          <w:sz w:val="24"/>
          <w:szCs w:val="24"/>
        </w:rPr>
        <w:t>The</w:t>
      </w:r>
      <w:r>
        <w:rPr>
          <w:rFonts w:ascii="Aptos" w:hAnsi="Aptos" w:cs="Arial"/>
          <w:sz w:val="24"/>
          <w:szCs w:val="24"/>
        </w:rPr>
        <w:t>re was a triple</w:t>
      </w:r>
      <w:r w:rsidRPr="001D2FCB">
        <w:rPr>
          <w:rFonts w:ascii="Aptos" w:hAnsi="Aptos" w:cs="Arial"/>
          <w:sz w:val="24"/>
          <w:szCs w:val="24"/>
        </w:rPr>
        <w:t xml:space="preserve"> interaction </w:t>
      </w:r>
      <w:r>
        <w:rPr>
          <w:rFonts w:ascii="Aptos" w:hAnsi="Aptos" w:cs="Arial"/>
          <w:sz w:val="24"/>
          <w:szCs w:val="24"/>
        </w:rPr>
        <w:t xml:space="preserve">effect </w:t>
      </w:r>
      <w:r w:rsidRPr="001D2FCB">
        <w:rPr>
          <w:rFonts w:ascii="Aptos" w:hAnsi="Aptos" w:cs="Arial"/>
          <w:sz w:val="24"/>
          <w:szCs w:val="24"/>
        </w:rPr>
        <w:t xml:space="preserve">between YNT, DS, and </w:t>
      </w:r>
      <w:r>
        <w:rPr>
          <w:rFonts w:ascii="Aptos" w:hAnsi="Aptos" w:cs="Arial"/>
          <w:sz w:val="24"/>
          <w:szCs w:val="24"/>
        </w:rPr>
        <w:t>d</w:t>
      </w:r>
      <w:r w:rsidRPr="001D2FCB">
        <w:rPr>
          <w:rFonts w:ascii="Aptos" w:hAnsi="Aptos" w:cs="Arial"/>
          <w:sz w:val="24"/>
          <w:szCs w:val="24"/>
        </w:rPr>
        <w:t xml:space="preserve">epth </w:t>
      </w:r>
      <w:r>
        <w:rPr>
          <w:rFonts w:ascii="Aptos" w:hAnsi="Aptos" w:cs="Arial"/>
          <w:sz w:val="24"/>
          <w:szCs w:val="24"/>
        </w:rPr>
        <w:t>on</w:t>
      </w:r>
      <w:r w:rsidRPr="001D2FCB">
        <w:rPr>
          <w:rFonts w:ascii="Aptos" w:hAnsi="Aptos" w:cs="Arial"/>
          <w:sz w:val="24"/>
          <w:szCs w:val="24"/>
        </w:rPr>
        <w:t xml:space="preserve"> TC</w:t>
      </w:r>
      <w:r>
        <w:rPr>
          <w:rFonts w:ascii="Aptos" w:hAnsi="Aptos" w:cs="Arial"/>
          <w:sz w:val="24"/>
          <w:szCs w:val="24"/>
        </w:rPr>
        <w:t xml:space="preserve"> (</w:t>
      </w:r>
      <w:r w:rsidRPr="00EF3D6C">
        <w:rPr>
          <w:rFonts w:ascii="Aptos" w:hAnsi="Aptos" w:cs="Arial"/>
          <w:i/>
          <w:iCs/>
          <w:sz w:val="24"/>
          <w:szCs w:val="24"/>
        </w:rPr>
        <w:t>p</w:t>
      </w:r>
      <w:r>
        <w:rPr>
          <w:rFonts w:ascii="Aptos" w:hAnsi="Aptos" w:cs="Arial"/>
          <w:sz w:val="24"/>
          <w:szCs w:val="24"/>
        </w:rPr>
        <w:t xml:space="preserve"> = 0.003)</w:t>
      </w:r>
      <w:r w:rsidRPr="001D2FCB">
        <w:rPr>
          <w:rFonts w:ascii="Aptos" w:hAnsi="Aptos" w:cs="Arial"/>
          <w:sz w:val="24"/>
          <w:szCs w:val="24"/>
        </w:rPr>
        <w:t>, TN</w:t>
      </w:r>
      <w:r>
        <w:rPr>
          <w:rFonts w:ascii="Aptos" w:hAnsi="Aptos" w:cs="Arial"/>
          <w:sz w:val="24"/>
          <w:szCs w:val="24"/>
        </w:rPr>
        <w:t xml:space="preserve"> (</w:t>
      </w:r>
      <w:r w:rsidRPr="00990B02">
        <w:rPr>
          <w:rFonts w:ascii="Aptos" w:hAnsi="Aptos" w:cs="Arial"/>
          <w:i/>
          <w:iCs/>
          <w:sz w:val="24"/>
          <w:szCs w:val="24"/>
        </w:rPr>
        <w:t>p</w:t>
      </w:r>
      <w:r>
        <w:rPr>
          <w:rFonts w:ascii="Aptos" w:hAnsi="Aptos" w:cs="Arial"/>
          <w:sz w:val="24"/>
          <w:szCs w:val="24"/>
        </w:rPr>
        <w:t xml:space="preserve"> = 0.013)</w:t>
      </w:r>
      <w:r w:rsidRPr="001D2FCB">
        <w:rPr>
          <w:rFonts w:ascii="Aptos" w:hAnsi="Aptos" w:cs="Arial"/>
          <w:sz w:val="24"/>
          <w:szCs w:val="24"/>
        </w:rPr>
        <w:t xml:space="preserve">, TP </w:t>
      </w:r>
      <w:r>
        <w:rPr>
          <w:rFonts w:ascii="Aptos" w:hAnsi="Aptos" w:cs="Arial"/>
          <w:sz w:val="24"/>
          <w:szCs w:val="24"/>
        </w:rPr>
        <w:t>(</w:t>
      </w:r>
      <w:r w:rsidRPr="00990B02">
        <w:rPr>
          <w:rFonts w:ascii="Aptos" w:hAnsi="Aptos" w:cs="Arial"/>
          <w:i/>
          <w:iCs/>
          <w:sz w:val="24"/>
          <w:szCs w:val="24"/>
        </w:rPr>
        <w:t>p</w:t>
      </w:r>
      <w:r>
        <w:rPr>
          <w:rFonts w:ascii="Aptos" w:hAnsi="Aptos" w:cs="Arial"/>
          <w:sz w:val="24"/>
          <w:szCs w:val="24"/>
        </w:rPr>
        <w:t xml:space="preserve"> = 0.022)</w:t>
      </w:r>
      <w:r w:rsidRPr="001D2FCB">
        <w:rPr>
          <w:rFonts w:ascii="Aptos" w:hAnsi="Aptos" w:cs="Arial"/>
          <w:sz w:val="24"/>
          <w:szCs w:val="24"/>
        </w:rPr>
        <w:t xml:space="preserve">, concentrations, and pH </w:t>
      </w:r>
      <w:r>
        <w:rPr>
          <w:rFonts w:ascii="Aptos" w:hAnsi="Aptos" w:cs="Arial"/>
          <w:sz w:val="24"/>
          <w:szCs w:val="24"/>
        </w:rPr>
        <w:t>(</w:t>
      </w:r>
      <w:r w:rsidRPr="00990B02">
        <w:rPr>
          <w:rFonts w:ascii="Aptos" w:hAnsi="Aptos" w:cs="Arial"/>
          <w:i/>
          <w:iCs/>
          <w:sz w:val="24"/>
          <w:szCs w:val="24"/>
        </w:rPr>
        <w:t>p</w:t>
      </w:r>
      <w:r>
        <w:rPr>
          <w:rFonts w:ascii="Aptos" w:hAnsi="Aptos" w:cs="Arial"/>
          <w:sz w:val="24"/>
          <w:szCs w:val="24"/>
        </w:rPr>
        <w:t xml:space="preserve"> = 0.005)</w:t>
      </w:r>
      <w:r w:rsidRPr="001D2FCB">
        <w:rPr>
          <w:rFonts w:ascii="Aptos" w:hAnsi="Aptos" w:cs="Arial"/>
          <w:sz w:val="24"/>
          <w:szCs w:val="24"/>
        </w:rPr>
        <w:t xml:space="preserve"> (</w:t>
      </w:r>
      <w:r>
        <w:rPr>
          <w:rFonts w:ascii="Aptos" w:hAnsi="Aptos" w:cs="Arial"/>
          <w:sz w:val="24"/>
          <w:szCs w:val="24"/>
        </w:rPr>
        <w:t xml:space="preserve">Figure </w:t>
      </w:r>
      <w:r w:rsidRPr="001D2FCB">
        <w:rPr>
          <w:rFonts w:ascii="Aptos" w:hAnsi="Aptos" w:cs="Arial"/>
          <w:sz w:val="24"/>
          <w:szCs w:val="24"/>
        </w:rPr>
        <w:t>1</w:t>
      </w:r>
      <w:r>
        <w:rPr>
          <w:rFonts w:ascii="Aptos" w:hAnsi="Aptos" w:cs="Arial"/>
          <w:sz w:val="24"/>
          <w:szCs w:val="24"/>
        </w:rPr>
        <w:t xml:space="preserve">). </w:t>
      </w:r>
      <w:r w:rsidRPr="001D2FCB">
        <w:rPr>
          <w:rFonts w:ascii="Aptos" w:hAnsi="Aptos" w:cs="Arial"/>
          <w:sz w:val="24"/>
          <w:szCs w:val="24"/>
        </w:rPr>
        <w:t>Generally, differences were found between the YNT and DS combinations at 0 – 10 cm, but not at 10 – 30 cm depth for TC (Figure 1a). The undrained 30YNT at 0 – 10 cm (</w:t>
      </w:r>
      <w:r>
        <w:rPr>
          <w:rFonts w:ascii="Aptos" w:hAnsi="Aptos" w:cs="Arial"/>
          <w:sz w:val="24"/>
          <w:szCs w:val="24"/>
        </w:rPr>
        <w:t>74.9</w:t>
      </w:r>
      <w:r w:rsidR="00BE1FFA">
        <w:rPr>
          <w:rFonts w:ascii="Aptos" w:hAnsi="Aptos" w:cs="Arial"/>
          <w:sz w:val="24"/>
          <w:szCs w:val="24"/>
        </w:rPr>
        <w:t xml:space="preserve"> </w:t>
      </w:r>
      <w:r>
        <w:rPr>
          <w:rFonts w:ascii="Aptos" w:hAnsi="Aptos" w:cs="Arial"/>
          <w:sz w:val="24"/>
          <w:szCs w:val="24"/>
        </w:rPr>
        <w:t>g</w:t>
      </w:r>
      <w:r w:rsidR="00BE1FFA">
        <w:rPr>
          <w:rFonts w:ascii="Aptos" w:hAnsi="Aptos" w:cs="Arial"/>
          <w:sz w:val="24"/>
          <w:szCs w:val="24"/>
        </w:rPr>
        <w:t xml:space="preserve"> </w:t>
      </w:r>
      <w:r>
        <w:rPr>
          <w:rFonts w:ascii="Aptos" w:hAnsi="Aptos" w:cs="Arial"/>
          <w:sz w:val="24"/>
          <w:szCs w:val="24"/>
        </w:rPr>
        <w:t>kg</w:t>
      </w:r>
      <w:r w:rsidR="00BE1FFA" w:rsidRPr="00BE1FFA">
        <w:rPr>
          <w:rFonts w:ascii="Aptos" w:hAnsi="Aptos" w:cs="Arial"/>
          <w:sz w:val="24"/>
          <w:szCs w:val="24"/>
          <w:vertAlign w:val="superscript"/>
        </w:rPr>
        <w:t>-1</w:t>
      </w:r>
      <w:r w:rsidRPr="001D2FCB">
        <w:rPr>
          <w:rFonts w:ascii="Aptos" w:hAnsi="Aptos" w:cs="Arial"/>
          <w:sz w:val="24"/>
          <w:szCs w:val="24"/>
        </w:rPr>
        <w:t xml:space="preserve">) had </w:t>
      </w:r>
      <w:r>
        <w:rPr>
          <w:rFonts w:ascii="Aptos" w:hAnsi="Aptos" w:cs="Arial"/>
          <w:sz w:val="24"/>
          <w:szCs w:val="24"/>
        </w:rPr>
        <w:t xml:space="preserve">20.1% greater TC concentration than the drained </w:t>
      </w:r>
      <w:r w:rsidRPr="001D2FCB">
        <w:rPr>
          <w:rFonts w:ascii="Aptos" w:hAnsi="Aptos" w:cs="Arial"/>
          <w:sz w:val="24"/>
          <w:szCs w:val="24"/>
        </w:rPr>
        <w:t>30YNT at 0 – 10 cm</w:t>
      </w:r>
      <w:r>
        <w:rPr>
          <w:rFonts w:ascii="Aptos" w:hAnsi="Aptos" w:cs="Arial"/>
          <w:sz w:val="24"/>
          <w:szCs w:val="24"/>
        </w:rPr>
        <w:t>, 31</w:t>
      </w:r>
      <w:r w:rsidR="00DF7EF7">
        <w:rPr>
          <w:rFonts w:ascii="Aptos" w:hAnsi="Aptos" w:cs="Arial"/>
          <w:sz w:val="24"/>
          <w:szCs w:val="24"/>
        </w:rPr>
        <w:t xml:space="preserve">. </w:t>
      </w:r>
      <w:r>
        <w:rPr>
          <w:rFonts w:ascii="Aptos" w:hAnsi="Aptos" w:cs="Arial"/>
          <w:sz w:val="24"/>
          <w:szCs w:val="24"/>
        </w:rPr>
        <w:t>0% greater TC concentration than the 5</w:t>
      </w:r>
      <w:r w:rsidRPr="001D2FCB">
        <w:rPr>
          <w:rFonts w:ascii="Aptos" w:hAnsi="Aptos" w:cs="Arial"/>
          <w:sz w:val="24"/>
          <w:szCs w:val="24"/>
        </w:rPr>
        <w:t>YNT at 0 – 10 cm</w:t>
      </w:r>
      <w:r>
        <w:rPr>
          <w:rFonts w:ascii="Aptos" w:hAnsi="Aptos" w:cs="Arial"/>
          <w:sz w:val="24"/>
          <w:szCs w:val="24"/>
        </w:rPr>
        <w:t>, and</w:t>
      </w:r>
      <w:r w:rsidRPr="001D2FCB">
        <w:rPr>
          <w:rFonts w:ascii="Aptos" w:hAnsi="Aptos" w:cs="Arial"/>
          <w:sz w:val="24"/>
          <w:szCs w:val="24"/>
        </w:rPr>
        <w:t xml:space="preserve"> 69.</w:t>
      </w:r>
      <w:r>
        <w:rPr>
          <w:rFonts w:ascii="Aptos" w:hAnsi="Aptos" w:cs="Arial"/>
          <w:sz w:val="24"/>
          <w:szCs w:val="24"/>
        </w:rPr>
        <w:t>3</w:t>
      </w:r>
      <w:r w:rsidRPr="001D2FCB">
        <w:rPr>
          <w:rFonts w:ascii="Aptos" w:hAnsi="Aptos" w:cs="Arial"/>
          <w:sz w:val="24"/>
          <w:szCs w:val="24"/>
        </w:rPr>
        <w:t>% greater TC concentration</w:t>
      </w:r>
      <w:r>
        <w:rPr>
          <w:rFonts w:ascii="Aptos" w:hAnsi="Aptos" w:cs="Arial"/>
          <w:sz w:val="24"/>
          <w:szCs w:val="24"/>
        </w:rPr>
        <w:t xml:space="preserve"> </w:t>
      </w:r>
      <w:r w:rsidRPr="001D2FCB">
        <w:rPr>
          <w:rFonts w:ascii="Aptos" w:hAnsi="Aptos" w:cs="Arial"/>
          <w:sz w:val="24"/>
          <w:szCs w:val="24"/>
        </w:rPr>
        <w:t>(</w:t>
      </w:r>
      <w:r w:rsidRPr="001D2FCB">
        <w:rPr>
          <w:rFonts w:ascii="Aptos" w:hAnsi="Aptos"/>
          <w:sz w:val="24"/>
          <w:szCs w:val="24"/>
        </w:rPr>
        <w:t>Figure 1a</w:t>
      </w:r>
      <w:r>
        <w:rPr>
          <w:rFonts w:ascii="Aptos" w:hAnsi="Aptos"/>
          <w:sz w:val="24"/>
          <w:szCs w:val="24"/>
        </w:rPr>
        <w:t>)</w:t>
      </w:r>
      <w:r w:rsidRPr="001D2FCB">
        <w:rPr>
          <w:rFonts w:ascii="Aptos" w:hAnsi="Aptos" w:cs="Arial"/>
          <w:sz w:val="24"/>
          <w:szCs w:val="24"/>
        </w:rPr>
        <w:t xml:space="preserve"> than the average value (23.1 </w:t>
      </w:r>
      <w:r w:rsidR="00DF7EF7">
        <w:rPr>
          <w:rFonts w:ascii="Aptos" w:hAnsi="Aptos" w:cs="Arial"/>
          <w:sz w:val="24"/>
          <w:szCs w:val="24"/>
        </w:rPr>
        <w:t>g kg</w:t>
      </w:r>
      <w:r w:rsidR="00DF7EF7" w:rsidRPr="00BE1FFA">
        <w:rPr>
          <w:rFonts w:ascii="Aptos" w:hAnsi="Aptos" w:cs="Arial"/>
          <w:sz w:val="24"/>
          <w:szCs w:val="24"/>
          <w:vertAlign w:val="superscript"/>
        </w:rPr>
        <w:t>-1</w:t>
      </w:r>
      <w:r w:rsidRPr="001D2FCB">
        <w:rPr>
          <w:rFonts w:ascii="Aptos" w:hAnsi="Aptos" w:cs="Arial"/>
          <w:sz w:val="24"/>
          <w:szCs w:val="24"/>
        </w:rPr>
        <w:t>) f</w:t>
      </w:r>
      <w:r>
        <w:rPr>
          <w:rFonts w:ascii="Aptos" w:hAnsi="Aptos" w:cs="Arial"/>
          <w:sz w:val="24"/>
          <w:szCs w:val="24"/>
        </w:rPr>
        <w:t>rom</w:t>
      </w:r>
      <w:r w:rsidRPr="001D2FCB">
        <w:rPr>
          <w:rFonts w:ascii="Aptos" w:hAnsi="Aptos" w:cs="Arial"/>
          <w:sz w:val="24"/>
          <w:szCs w:val="24"/>
        </w:rPr>
        <w:t xml:space="preserve"> </w:t>
      </w:r>
      <w:r>
        <w:rPr>
          <w:rFonts w:ascii="Aptos" w:hAnsi="Aptos" w:cs="Arial"/>
          <w:sz w:val="24"/>
          <w:szCs w:val="24"/>
        </w:rPr>
        <w:t xml:space="preserve">all the three-way interactions at </w:t>
      </w:r>
      <w:r w:rsidRPr="001D2FCB">
        <w:rPr>
          <w:rFonts w:ascii="Aptos" w:hAnsi="Aptos" w:cs="Arial"/>
          <w:sz w:val="24"/>
          <w:szCs w:val="24"/>
        </w:rPr>
        <w:t xml:space="preserve">10 – 30cm which did not differ among them. </w:t>
      </w:r>
      <w:r>
        <w:rPr>
          <w:rFonts w:ascii="Aptos" w:hAnsi="Aptos" w:cs="Arial"/>
          <w:sz w:val="24"/>
          <w:szCs w:val="24"/>
        </w:rPr>
        <w:t>Similarly,</w:t>
      </w:r>
      <w:r w:rsidRPr="001D2FCB">
        <w:rPr>
          <w:rFonts w:ascii="Aptos" w:hAnsi="Aptos" w:cs="Arial"/>
          <w:sz w:val="24"/>
          <w:szCs w:val="24"/>
        </w:rPr>
        <w:t xml:space="preserve"> </w:t>
      </w:r>
      <w:r>
        <w:rPr>
          <w:rFonts w:ascii="Aptos" w:hAnsi="Aptos" w:cs="Arial"/>
          <w:sz w:val="24"/>
          <w:szCs w:val="24"/>
        </w:rPr>
        <w:t xml:space="preserve">the undrained </w:t>
      </w:r>
      <w:r w:rsidRPr="00B2517F">
        <w:rPr>
          <w:rFonts w:ascii="Aptos" w:hAnsi="Aptos" w:cs="Arial"/>
          <w:sz w:val="24"/>
          <w:szCs w:val="24"/>
        </w:rPr>
        <w:t xml:space="preserve">30YNT at 0 – 10 cm </w:t>
      </w:r>
      <w:r>
        <w:rPr>
          <w:rFonts w:ascii="Aptos" w:hAnsi="Aptos" w:cs="Arial"/>
          <w:sz w:val="24"/>
          <w:szCs w:val="24"/>
        </w:rPr>
        <w:t xml:space="preserve">(6.98 </w:t>
      </w:r>
      <w:r w:rsidR="00DF7EF7">
        <w:rPr>
          <w:rFonts w:ascii="Aptos" w:hAnsi="Aptos" w:cs="Arial"/>
          <w:sz w:val="24"/>
          <w:szCs w:val="24"/>
        </w:rPr>
        <w:t>g kg</w:t>
      </w:r>
      <w:r w:rsidR="00DF7EF7" w:rsidRPr="00BE1FFA">
        <w:rPr>
          <w:rFonts w:ascii="Aptos" w:hAnsi="Aptos" w:cs="Arial"/>
          <w:sz w:val="24"/>
          <w:szCs w:val="24"/>
          <w:vertAlign w:val="superscript"/>
        </w:rPr>
        <w:t>-1</w:t>
      </w:r>
      <w:r>
        <w:rPr>
          <w:rFonts w:ascii="Aptos" w:hAnsi="Aptos" w:cs="Arial"/>
          <w:sz w:val="24"/>
          <w:szCs w:val="24"/>
        </w:rPr>
        <w:t xml:space="preserve">) had 15.9% greater </w:t>
      </w:r>
      <w:r w:rsidRPr="001D2FCB">
        <w:rPr>
          <w:rFonts w:ascii="Aptos" w:hAnsi="Aptos" w:cs="Arial"/>
          <w:sz w:val="24"/>
          <w:szCs w:val="24"/>
        </w:rPr>
        <w:t xml:space="preserve">TN concentration </w:t>
      </w:r>
      <w:r>
        <w:rPr>
          <w:rFonts w:ascii="Aptos" w:hAnsi="Aptos" w:cs="Arial"/>
          <w:sz w:val="24"/>
          <w:szCs w:val="24"/>
        </w:rPr>
        <w:t xml:space="preserve">than the </w:t>
      </w:r>
      <w:r w:rsidRPr="001D2FCB">
        <w:rPr>
          <w:rFonts w:ascii="Aptos" w:hAnsi="Aptos" w:cs="Arial"/>
          <w:sz w:val="24"/>
          <w:szCs w:val="24"/>
        </w:rPr>
        <w:t xml:space="preserve">drained 30YNT </w:t>
      </w:r>
      <w:r w:rsidRPr="00B2517F">
        <w:rPr>
          <w:rFonts w:ascii="Aptos" w:hAnsi="Aptos" w:cs="Arial"/>
          <w:sz w:val="24"/>
          <w:szCs w:val="24"/>
        </w:rPr>
        <w:t>at 0 – 10 cm</w:t>
      </w:r>
      <w:r w:rsidRPr="001D2FCB">
        <w:rPr>
          <w:rFonts w:ascii="Aptos" w:hAnsi="Aptos" w:cs="Arial"/>
          <w:sz w:val="24"/>
          <w:szCs w:val="24"/>
        </w:rPr>
        <w:t xml:space="preserve">, which in turn was higher </w:t>
      </w:r>
      <w:r>
        <w:rPr>
          <w:rFonts w:ascii="Aptos" w:hAnsi="Aptos" w:cs="Arial"/>
          <w:sz w:val="24"/>
          <w:szCs w:val="24"/>
        </w:rPr>
        <w:t xml:space="preserve">(12.2%) </w:t>
      </w:r>
      <w:r w:rsidRPr="001D2FCB">
        <w:rPr>
          <w:rFonts w:ascii="Aptos" w:hAnsi="Aptos" w:cs="Arial"/>
          <w:sz w:val="24"/>
          <w:szCs w:val="24"/>
        </w:rPr>
        <w:t xml:space="preserve">than the 5YNT plots </w:t>
      </w:r>
      <w:r w:rsidRPr="00B2517F">
        <w:rPr>
          <w:rFonts w:ascii="Aptos" w:hAnsi="Aptos" w:cs="Arial"/>
          <w:sz w:val="24"/>
          <w:szCs w:val="24"/>
        </w:rPr>
        <w:t xml:space="preserve">at 0 – 10 cm </w:t>
      </w:r>
      <w:r w:rsidRPr="001D2FCB">
        <w:rPr>
          <w:rFonts w:ascii="Aptos" w:hAnsi="Aptos" w:cs="Arial"/>
          <w:sz w:val="24"/>
          <w:szCs w:val="24"/>
        </w:rPr>
        <w:t xml:space="preserve">(Figure 1b). </w:t>
      </w:r>
      <w:r>
        <w:rPr>
          <w:rFonts w:ascii="Aptos" w:hAnsi="Aptos" w:cs="Arial"/>
          <w:sz w:val="24"/>
          <w:szCs w:val="24"/>
        </w:rPr>
        <w:t xml:space="preserve">Also, the TN concentration at 10-30 cm depth was lower than any of the </w:t>
      </w:r>
      <w:r w:rsidRPr="001D2FCB">
        <w:rPr>
          <w:rFonts w:ascii="Aptos" w:hAnsi="Aptos" w:cs="Arial"/>
          <w:sz w:val="24"/>
          <w:szCs w:val="24"/>
        </w:rPr>
        <w:t>YNT and DS combinations at 0 – 10 cm</w:t>
      </w:r>
      <w:r>
        <w:rPr>
          <w:rFonts w:ascii="Aptos" w:hAnsi="Aptos" w:cs="Arial"/>
          <w:sz w:val="24"/>
          <w:szCs w:val="24"/>
        </w:rPr>
        <w:t xml:space="preserve">.  At 10 – 30 cm depth, the undrained </w:t>
      </w:r>
      <w:r w:rsidRPr="001D2FCB">
        <w:rPr>
          <w:rFonts w:ascii="Aptos" w:hAnsi="Aptos" w:cs="Arial"/>
          <w:sz w:val="24"/>
          <w:szCs w:val="24"/>
        </w:rPr>
        <w:t xml:space="preserve">5YNT plots </w:t>
      </w:r>
      <w:r>
        <w:rPr>
          <w:rFonts w:ascii="Aptos" w:hAnsi="Aptos" w:cs="Arial"/>
          <w:sz w:val="24"/>
          <w:szCs w:val="24"/>
        </w:rPr>
        <w:t>had 27.3% higher TN concentration</w:t>
      </w:r>
      <w:r w:rsidRPr="001D2FCB">
        <w:rPr>
          <w:rFonts w:ascii="Aptos" w:hAnsi="Aptos" w:cs="Arial"/>
          <w:sz w:val="24"/>
          <w:szCs w:val="24"/>
        </w:rPr>
        <w:t xml:space="preserve"> than those of </w:t>
      </w:r>
      <w:r>
        <w:rPr>
          <w:rFonts w:ascii="Aptos" w:hAnsi="Aptos" w:cs="Arial"/>
          <w:sz w:val="24"/>
          <w:szCs w:val="24"/>
        </w:rPr>
        <w:t xml:space="preserve">drained and </w:t>
      </w:r>
      <w:r w:rsidR="00111920">
        <w:rPr>
          <w:rFonts w:ascii="Aptos" w:hAnsi="Aptos" w:cs="Arial"/>
          <w:sz w:val="24"/>
          <w:szCs w:val="24"/>
        </w:rPr>
        <w:t xml:space="preserve">undrained </w:t>
      </w:r>
      <w:r w:rsidR="00111920" w:rsidRPr="001D2FCB">
        <w:rPr>
          <w:rFonts w:ascii="Aptos" w:hAnsi="Aptos" w:cs="Arial"/>
          <w:sz w:val="24"/>
          <w:szCs w:val="24"/>
        </w:rPr>
        <w:t xml:space="preserve">30YNT plots </w:t>
      </w:r>
      <w:r w:rsidR="00111920">
        <w:rPr>
          <w:rFonts w:ascii="Aptos" w:hAnsi="Aptos" w:cs="Arial"/>
          <w:sz w:val="24"/>
          <w:szCs w:val="24"/>
        </w:rPr>
        <w:t xml:space="preserve">at the same depth </w:t>
      </w:r>
      <w:r w:rsidR="00111920" w:rsidRPr="001D2FCB">
        <w:rPr>
          <w:rFonts w:ascii="Aptos" w:hAnsi="Aptos" w:cs="Arial"/>
          <w:sz w:val="24"/>
          <w:szCs w:val="24"/>
        </w:rPr>
        <w:t>(Figure 1b</w:t>
      </w:r>
      <w:r w:rsidR="00111920">
        <w:rPr>
          <w:rFonts w:ascii="Aptos" w:hAnsi="Aptos" w:cs="Arial"/>
          <w:sz w:val="24"/>
          <w:szCs w:val="24"/>
        </w:rPr>
        <w:t>)</w:t>
      </w:r>
      <w:r w:rsidR="00111920">
        <w:rPr>
          <w:rFonts w:ascii="Aptos" w:hAnsi="Aptos"/>
          <w:b/>
          <w:bCs/>
          <w:color w:val="000000" w:themeColor="text1"/>
        </w:rPr>
        <w:t xml:space="preserve">. </w:t>
      </w:r>
      <w:r w:rsidR="00111920" w:rsidRPr="001D2FCB">
        <w:rPr>
          <w:rFonts w:ascii="Aptos" w:hAnsi="Aptos" w:cs="Arial"/>
          <w:sz w:val="24"/>
          <w:szCs w:val="24"/>
        </w:rPr>
        <w:t xml:space="preserve">TP concentration </w:t>
      </w:r>
      <w:r w:rsidR="00111920">
        <w:rPr>
          <w:rFonts w:ascii="Aptos" w:hAnsi="Aptos" w:cs="Arial"/>
          <w:sz w:val="24"/>
          <w:szCs w:val="24"/>
        </w:rPr>
        <w:t xml:space="preserve">(1034.9 ppm) </w:t>
      </w:r>
      <w:r w:rsidR="00111920" w:rsidRPr="001D2FCB">
        <w:rPr>
          <w:rFonts w:ascii="Aptos" w:hAnsi="Aptos" w:cs="Arial"/>
          <w:sz w:val="24"/>
          <w:szCs w:val="24"/>
        </w:rPr>
        <w:t xml:space="preserve">was 66.9% greater in the </w:t>
      </w:r>
      <w:r w:rsidR="00111920">
        <w:rPr>
          <w:rFonts w:ascii="Aptos" w:hAnsi="Aptos" w:cs="Arial"/>
          <w:sz w:val="24"/>
          <w:szCs w:val="24"/>
        </w:rPr>
        <w:t xml:space="preserve">undrained </w:t>
      </w:r>
      <w:r w:rsidR="00111920" w:rsidRPr="001D2FCB">
        <w:rPr>
          <w:rFonts w:ascii="Aptos" w:hAnsi="Aptos" w:cs="Arial"/>
          <w:sz w:val="24"/>
          <w:szCs w:val="24"/>
        </w:rPr>
        <w:t xml:space="preserve">30YNT plots at 0 – 10 cm depth than the </w:t>
      </w:r>
      <w:r w:rsidR="00111920">
        <w:rPr>
          <w:rFonts w:ascii="Aptos" w:hAnsi="Aptos" w:cs="Arial"/>
          <w:sz w:val="24"/>
          <w:szCs w:val="24"/>
        </w:rPr>
        <w:t>average</w:t>
      </w:r>
      <w:r w:rsidR="00111920" w:rsidRPr="001D2FCB">
        <w:rPr>
          <w:rFonts w:ascii="Aptos" w:hAnsi="Aptos" w:cs="Arial"/>
          <w:sz w:val="24"/>
          <w:szCs w:val="24"/>
        </w:rPr>
        <w:t xml:space="preserve"> value of 342 ppm across YNT x DS combinations at 10 – 30 cm depth, which did not differ among each other (</w:t>
      </w:r>
      <w:r w:rsidR="00111920" w:rsidRPr="00046EDF">
        <w:rPr>
          <w:rFonts w:ascii="Aptos" w:hAnsi="Aptos" w:cs="Arial"/>
          <w:i/>
          <w:iCs/>
          <w:sz w:val="24"/>
          <w:szCs w:val="24"/>
        </w:rPr>
        <w:t>p</w:t>
      </w:r>
      <w:r w:rsidR="00111920">
        <w:rPr>
          <w:rFonts w:ascii="Aptos" w:hAnsi="Aptos" w:cs="Arial"/>
          <w:sz w:val="24"/>
          <w:szCs w:val="24"/>
        </w:rPr>
        <w:t xml:space="preserve">=0.022, </w:t>
      </w:r>
      <w:r w:rsidR="00111920" w:rsidRPr="001D2FCB">
        <w:rPr>
          <w:rFonts w:ascii="Aptos" w:hAnsi="Aptos" w:cs="Arial"/>
          <w:sz w:val="24"/>
          <w:szCs w:val="24"/>
        </w:rPr>
        <w:t>Table 1</w:t>
      </w:r>
      <w:r w:rsidR="00111920">
        <w:rPr>
          <w:rFonts w:ascii="Aptos" w:hAnsi="Aptos" w:cs="Arial"/>
          <w:sz w:val="24"/>
          <w:szCs w:val="24"/>
        </w:rPr>
        <w:t>c</w:t>
      </w:r>
      <w:r w:rsidR="00111920" w:rsidRPr="001D2FCB">
        <w:rPr>
          <w:rFonts w:ascii="Aptos" w:hAnsi="Aptos" w:cs="Arial"/>
          <w:sz w:val="24"/>
          <w:szCs w:val="24"/>
        </w:rPr>
        <w:t>). For pH, the NYT and DS</w:t>
      </w:r>
      <w:r w:rsidR="00111920" w:rsidRPr="001D2FCB" w:rsidDel="00976F1A">
        <w:rPr>
          <w:rFonts w:ascii="Aptos" w:hAnsi="Aptos" w:cs="Arial"/>
          <w:sz w:val="24"/>
          <w:szCs w:val="24"/>
        </w:rPr>
        <w:t xml:space="preserve"> </w:t>
      </w:r>
      <w:r w:rsidR="00111920" w:rsidRPr="001D2FCB">
        <w:rPr>
          <w:rFonts w:ascii="Aptos" w:hAnsi="Aptos" w:cs="Arial"/>
          <w:sz w:val="24"/>
          <w:szCs w:val="24"/>
        </w:rPr>
        <w:t xml:space="preserve">combinations were similar </w:t>
      </w:r>
      <w:r w:rsidR="00111920">
        <w:rPr>
          <w:rFonts w:ascii="Aptos" w:hAnsi="Aptos" w:cs="Arial"/>
          <w:sz w:val="24"/>
          <w:szCs w:val="24"/>
        </w:rPr>
        <w:t>within</w:t>
      </w:r>
      <w:r w:rsidR="00111920" w:rsidRPr="001D2FCB">
        <w:rPr>
          <w:rFonts w:ascii="Aptos" w:hAnsi="Aptos" w:cs="Arial"/>
          <w:sz w:val="24"/>
          <w:szCs w:val="24"/>
        </w:rPr>
        <w:t xml:space="preserve"> depths</w:t>
      </w:r>
      <w:r w:rsidR="00111920">
        <w:rPr>
          <w:rFonts w:ascii="Aptos" w:hAnsi="Aptos" w:cs="Arial"/>
          <w:sz w:val="24"/>
          <w:szCs w:val="24"/>
        </w:rPr>
        <w:t xml:space="preserve">. However, the undrained </w:t>
      </w:r>
      <w:r w:rsidR="00111920" w:rsidRPr="001D2FCB">
        <w:rPr>
          <w:rFonts w:ascii="Aptos" w:hAnsi="Aptos" w:cs="Arial"/>
          <w:sz w:val="24"/>
          <w:szCs w:val="24"/>
        </w:rPr>
        <w:t>30YNT plots at 0 – 10 cm</w:t>
      </w:r>
      <w:r w:rsidR="00111920">
        <w:rPr>
          <w:rFonts w:ascii="Aptos" w:hAnsi="Aptos" w:cs="Arial"/>
          <w:sz w:val="24"/>
          <w:szCs w:val="24"/>
        </w:rPr>
        <w:t xml:space="preserve"> were</w:t>
      </w:r>
      <w:r w:rsidR="00111920" w:rsidRPr="001D2FCB">
        <w:rPr>
          <w:rFonts w:ascii="Aptos" w:hAnsi="Aptos" w:cs="Arial"/>
          <w:sz w:val="24"/>
          <w:szCs w:val="24"/>
        </w:rPr>
        <w:t xml:space="preserve"> 4.6 % lower compared to the </w:t>
      </w:r>
      <w:r w:rsidR="00111920">
        <w:rPr>
          <w:rFonts w:ascii="Aptos" w:hAnsi="Aptos" w:cs="Arial"/>
          <w:sz w:val="24"/>
          <w:szCs w:val="24"/>
        </w:rPr>
        <w:t xml:space="preserve">undrained </w:t>
      </w:r>
      <w:r w:rsidR="00111920" w:rsidRPr="001D2FCB">
        <w:rPr>
          <w:rFonts w:ascii="Aptos" w:hAnsi="Aptos" w:cs="Arial"/>
          <w:sz w:val="24"/>
          <w:szCs w:val="24"/>
        </w:rPr>
        <w:t xml:space="preserve">30YNT undrained plots at 10 – 30 cm (Figure </w:t>
      </w:r>
      <w:r w:rsidR="00111920">
        <w:rPr>
          <w:rFonts w:ascii="Aptos" w:hAnsi="Aptos" w:cs="Arial"/>
          <w:sz w:val="24"/>
          <w:szCs w:val="24"/>
        </w:rPr>
        <w:t>1d</w:t>
      </w:r>
      <w:r w:rsidR="00111920" w:rsidRPr="001D2FCB">
        <w:rPr>
          <w:rFonts w:ascii="Aptos" w:hAnsi="Aptos" w:cs="Arial"/>
          <w:sz w:val="24"/>
          <w:szCs w:val="24"/>
        </w:rPr>
        <w:t xml:space="preserve">).   </w:t>
      </w:r>
    </w:p>
    <w:p w14:paraId="596E9B49" w14:textId="629F585F" w:rsidR="0049452A" w:rsidRPr="00111920" w:rsidRDefault="0049452A" w:rsidP="00111920">
      <w:pPr>
        <w:spacing w:after="240" w:line="360" w:lineRule="auto"/>
        <w:jc w:val="both"/>
        <w:rPr>
          <w:rFonts w:ascii="Aptos" w:hAnsi="Aptos"/>
          <w:b/>
          <w:bCs/>
          <w:color w:val="000000" w:themeColor="text1"/>
        </w:rPr>
        <w:sectPr w:rsidR="0049452A" w:rsidRPr="00111920" w:rsidSect="0049452A">
          <w:pgSz w:w="11906" w:h="16838"/>
          <w:pgMar w:top="1440" w:right="1559" w:bottom="1440" w:left="1440" w:header="709" w:footer="709" w:gutter="0"/>
          <w:lnNumType w:countBy="1" w:restart="continuous"/>
          <w:cols w:space="708"/>
          <w:docGrid w:linePitch="360"/>
        </w:sectPr>
      </w:pPr>
    </w:p>
    <w:p w14:paraId="034822F4" w14:textId="77777777" w:rsidR="0049452A" w:rsidRPr="001D2FCB" w:rsidRDefault="0049452A" w:rsidP="0049452A">
      <w:pPr>
        <w:rPr>
          <w:rFonts w:ascii="Aptos" w:hAnsi="Aptos"/>
        </w:rPr>
      </w:pPr>
    </w:p>
    <w:p w14:paraId="01719F8B" w14:textId="77777777" w:rsidR="0049452A" w:rsidRPr="001D2FCB" w:rsidRDefault="0049452A" w:rsidP="0049452A">
      <w:pPr>
        <w:rPr>
          <w:rFonts w:ascii="Aptos" w:hAnsi="Aptos"/>
        </w:rPr>
      </w:pPr>
    </w:p>
    <w:p w14:paraId="7F02541D" w14:textId="77777777" w:rsidR="0049452A" w:rsidRPr="001D2FCB" w:rsidRDefault="0049452A" w:rsidP="0049452A">
      <w:pPr>
        <w:rPr>
          <w:rFonts w:ascii="Aptos" w:hAnsi="Aptos"/>
        </w:rPr>
      </w:pPr>
    </w:p>
    <w:bookmarkEnd w:id="0"/>
    <w:p w14:paraId="1761CB5A" w14:textId="77777777" w:rsidR="0049452A" w:rsidRPr="001D2FCB" w:rsidRDefault="0049452A" w:rsidP="0049452A">
      <w:pPr>
        <w:spacing w:after="0" w:line="240" w:lineRule="auto"/>
        <w:ind w:right="-46"/>
        <w:jc w:val="both"/>
        <w:rPr>
          <w:rFonts w:ascii="Aptos" w:hAnsi="Aptos" w:cs="Arial"/>
          <w:b/>
          <w:bCs/>
          <w:sz w:val="24"/>
          <w:szCs w:val="24"/>
        </w:rPr>
      </w:pPr>
    </w:p>
    <w:p w14:paraId="1DC2F4DE" w14:textId="77777777" w:rsidR="0049452A" w:rsidRPr="001D2FCB" w:rsidRDefault="0049452A" w:rsidP="0049452A">
      <w:pPr>
        <w:spacing w:after="0" w:line="240" w:lineRule="auto"/>
        <w:ind w:right="-46"/>
        <w:jc w:val="both"/>
        <w:rPr>
          <w:rFonts w:ascii="Aptos" w:hAnsi="Aptos" w:cs="Arial"/>
          <w:b/>
          <w:bCs/>
          <w:sz w:val="24"/>
          <w:szCs w:val="24"/>
        </w:rPr>
      </w:pPr>
    </w:p>
    <w:p w14:paraId="5B38B2D3" w14:textId="2F9D6A52" w:rsidR="0049452A" w:rsidRPr="001D2FCB" w:rsidRDefault="00DE4BE5" w:rsidP="0049452A">
      <w:pPr>
        <w:spacing w:after="0" w:line="240" w:lineRule="auto"/>
        <w:ind w:right="-46"/>
        <w:jc w:val="both"/>
        <w:rPr>
          <w:rFonts w:ascii="Aptos" w:hAnsi="Aptos"/>
        </w:rPr>
      </w:pPr>
      <w:r>
        <w:rPr>
          <w:rFonts w:ascii="Aptos" w:hAnsi="Aptos" w:cs="Arial"/>
          <w:b/>
          <w:bCs/>
          <w:sz w:val="24"/>
          <w:szCs w:val="24"/>
        </w:rPr>
        <w:t>Table 1.</w:t>
      </w:r>
      <w:r w:rsidR="0049452A" w:rsidRPr="001D2FCB">
        <w:rPr>
          <w:rFonts w:ascii="Aptos" w:hAnsi="Aptos" w:cs="Arial"/>
          <w:b/>
          <w:bCs/>
          <w:sz w:val="24"/>
          <w:szCs w:val="24"/>
        </w:rPr>
        <w:t xml:space="preserve"> </w:t>
      </w:r>
      <w:r w:rsidR="0049452A" w:rsidRPr="001D2FCB">
        <w:rPr>
          <w:rFonts w:ascii="Aptos" w:hAnsi="Aptos"/>
          <w:sz w:val="24"/>
          <w:szCs w:val="24"/>
        </w:rPr>
        <w:t xml:space="preserve"> F and </w:t>
      </w:r>
      <w:r w:rsidR="0049452A" w:rsidRPr="001D2FCB">
        <w:rPr>
          <w:rFonts w:ascii="Aptos" w:hAnsi="Aptos"/>
          <w:i/>
          <w:iCs/>
          <w:sz w:val="24"/>
          <w:szCs w:val="24"/>
        </w:rPr>
        <w:t>p</w:t>
      </w:r>
      <w:r w:rsidR="0049452A" w:rsidRPr="001D2FCB">
        <w:rPr>
          <w:rFonts w:ascii="Aptos" w:hAnsi="Aptos"/>
          <w:sz w:val="24"/>
          <w:szCs w:val="24"/>
        </w:rPr>
        <w:t xml:space="preserve">-values generated from </w:t>
      </w:r>
      <w:r w:rsidR="0049452A">
        <w:rPr>
          <w:rFonts w:ascii="Aptos" w:hAnsi="Aptos"/>
          <w:sz w:val="24"/>
          <w:szCs w:val="24"/>
        </w:rPr>
        <w:t>analysis of variance</w:t>
      </w:r>
      <w:r w:rsidR="0049452A" w:rsidRPr="001D2FCB">
        <w:rPr>
          <w:rFonts w:ascii="Aptos" w:hAnsi="Aptos" w:cs="Arial"/>
          <w:sz w:val="24"/>
          <w:szCs w:val="24"/>
        </w:rPr>
        <w:t xml:space="preserve"> comparing the effect of years of no-tillage (YNT), drainage system (DS), soil depth, and their interaction effect on soil properties. </w:t>
      </w:r>
    </w:p>
    <w:tbl>
      <w:tblPr>
        <w:tblStyle w:val="TableGrid"/>
        <w:tblW w:w="143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2"/>
        <w:gridCol w:w="892"/>
        <w:gridCol w:w="911"/>
        <w:gridCol w:w="896"/>
        <w:gridCol w:w="911"/>
        <w:gridCol w:w="932"/>
        <w:gridCol w:w="932"/>
        <w:gridCol w:w="890"/>
        <w:gridCol w:w="911"/>
        <w:gridCol w:w="911"/>
        <w:gridCol w:w="932"/>
        <w:gridCol w:w="890"/>
        <w:gridCol w:w="932"/>
        <w:gridCol w:w="890"/>
        <w:gridCol w:w="1265"/>
      </w:tblGrid>
      <w:tr w:rsidR="0049452A" w:rsidRPr="001D2FCB" w14:paraId="0CA092A4" w14:textId="77777777" w:rsidTr="00240D53">
        <w:tc>
          <w:tcPr>
            <w:tcW w:w="1222" w:type="dxa"/>
            <w:vMerge w:val="restart"/>
          </w:tcPr>
          <w:p w14:paraId="2931421D" w14:textId="77777777" w:rsidR="0049452A" w:rsidRPr="001D2FCB" w:rsidRDefault="0049452A" w:rsidP="00240D53">
            <w:pPr>
              <w:rPr>
                <w:rFonts w:ascii="Aptos" w:hAnsi="Aptos" w:cs="Arial"/>
                <w:b/>
                <w:bCs/>
              </w:rPr>
            </w:pPr>
          </w:p>
          <w:p w14:paraId="61C216DE" w14:textId="77777777" w:rsidR="0049452A" w:rsidRPr="001D2FCB" w:rsidRDefault="0049452A" w:rsidP="00240D53">
            <w:pPr>
              <w:rPr>
                <w:rFonts w:ascii="Aptos" w:hAnsi="Aptos" w:cs="Arial"/>
              </w:rPr>
            </w:pPr>
            <w:r w:rsidRPr="001D2FCB">
              <w:rPr>
                <w:rFonts w:ascii="Aptos" w:hAnsi="Aptos" w:cs="Arial"/>
                <w:b/>
                <w:bCs/>
              </w:rPr>
              <w:t>Variables</w:t>
            </w:r>
            <w:r w:rsidRPr="001D2FCB">
              <w:rPr>
                <w:rFonts w:ascii="Aptos" w:hAnsi="Aptos" w:cs="Arial"/>
                <w:b/>
                <w:bCs/>
                <w:vertAlign w:val="superscript"/>
              </w:rPr>
              <w:t>1</w:t>
            </w:r>
          </w:p>
        </w:tc>
        <w:tc>
          <w:tcPr>
            <w:tcW w:w="1803" w:type="dxa"/>
            <w:gridSpan w:val="2"/>
            <w:tcBorders>
              <w:bottom w:val="single" w:sz="4" w:space="0" w:color="auto"/>
            </w:tcBorders>
          </w:tcPr>
          <w:p w14:paraId="6DF435A9" w14:textId="77777777" w:rsidR="0049452A" w:rsidRPr="001D2FCB" w:rsidRDefault="0049452A" w:rsidP="00240D53">
            <w:pPr>
              <w:jc w:val="center"/>
              <w:rPr>
                <w:rFonts w:ascii="Aptos" w:hAnsi="Aptos" w:cs="Arial"/>
              </w:rPr>
            </w:pPr>
            <w:r w:rsidRPr="001D2FCB">
              <w:rPr>
                <w:rFonts w:ascii="Aptos" w:hAnsi="Aptos" w:cs="Arial"/>
                <w:b/>
                <w:bCs/>
              </w:rPr>
              <w:t>YNT</w:t>
            </w:r>
          </w:p>
        </w:tc>
        <w:tc>
          <w:tcPr>
            <w:tcW w:w="1807" w:type="dxa"/>
            <w:gridSpan w:val="2"/>
            <w:tcBorders>
              <w:bottom w:val="single" w:sz="4" w:space="0" w:color="auto"/>
            </w:tcBorders>
          </w:tcPr>
          <w:p w14:paraId="4CBB8DA1" w14:textId="77777777" w:rsidR="0049452A" w:rsidRPr="001D2FCB" w:rsidRDefault="0049452A" w:rsidP="00240D53">
            <w:pPr>
              <w:rPr>
                <w:rFonts w:ascii="Aptos" w:hAnsi="Aptos" w:cs="Arial"/>
              </w:rPr>
            </w:pPr>
            <w:r w:rsidRPr="001D2FCB">
              <w:rPr>
                <w:rFonts w:ascii="Aptos" w:hAnsi="Aptos" w:cs="Arial"/>
                <w:b/>
                <w:bCs/>
              </w:rPr>
              <w:t xml:space="preserve">         DS</w:t>
            </w:r>
          </w:p>
        </w:tc>
        <w:tc>
          <w:tcPr>
            <w:tcW w:w="1864" w:type="dxa"/>
            <w:gridSpan w:val="2"/>
            <w:tcBorders>
              <w:bottom w:val="single" w:sz="4" w:space="0" w:color="auto"/>
            </w:tcBorders>
          </w:tcPr>
          <w:p w14:paraId="52352F6E" w14:textId="77777777" w:rsidR="0049452A" w:rsidRPr="001D2FCB" w:rsidRDefault="0049452A" w:rsidP="00240D53">
            <w:pPr>
              <w:jc w:val="center"/>
              <w:rPr>
                <w:rFonts w:ascii="Aptos" w:hAnsi="Aptos" w:cs="Arial"/>
              </w:rPr>
            </w:pPr>
            <w:r w:rsidRPr="001D2FCB">
              <w:rPr>
                <w:rFonts w:ascii="Aptos" w:hAnsi="Aptos" w:cs="Arial"/>
                <w:b/>
                <w:bCs/>
              </w:rPr>
              <w:t>Depth</w:t>
            </w:r>
          </w:p>
        </w:tc>
        <w:tc>
          <w:tcPr>
            <w:tcW w:w="1801" w:type="dxa"/>
            <w:gridSpan w:val="2"/>
            <w:tcBorders>
              <w:bottom w:val="single" w:sz="4" w:space="0" w:color="auto"/>
            </w:tcBorders>
          </w:tcPr>
          <w:p w14:paraId="5D6975E9" w14:textId="77777777" w:rsidR="0049452A" w:rsidRPr="001D2FCB" w:rsidRDefault="0049452A" w:rsidP="00240D53">
            <w:pPr>
              <w:jc w:val="center"/>
              <w:rPr>
                <w:rFonts w:ascii="Aptos" w:hAnsi="Aptos" w:cs="Arial"/>
              </w:rPr>
            </w:pPr>
            <w:r w:rsidRPr="001D2FCB">
              <w:rPr>
                <w:rFonts w:ascii="Aptos" w:hAnsi="Aptos" w:cs="Arial"/>
                <w:b/>
                <w:bCs/>
              </w:rPr>
              <w:t>YNT x DS</w:t>
            </w:r>
          </w:p>
        </w:tc>
        <w:tc>
          <w:tcPr>
            <w:tcW w:w="1843" w:type="dxa"/>
            <w:gridSpan w:val="2"/>
            <w:tcBorders>
              <w:bottom w:val="single" w:sz="4" w:space="0" w:color="auto"/>
            </w:tcBorders>
          </w:tcPr>
          <w:p w14:paraId="31DD5B83" w14:textId="77777777" w:rsidR="0049452A" w:rsidRPr="001D2FCB" w:rsidRDefault="0049452A" w:rsidP="00240D53">
            <w:pPr>
              <w:jc w:val="center"/>
              <w:rPr>
                <w:rFonts w:ascii="Aptos" w:hAnsi="Aptos" w:cs="Arial"/>
              </w:rPr>
            </w:pPr>
            <w:r w:rsidRPr="001D2FCB">
              <w:rPr>
                <w:rFonts w:ascii="Aptos" w:hAnsi="Aptos" w:cs="Arial"/>
                <w:b/>
                <w:bCs/>
              </w:rPr>
              <w:t>YNT x Depth</w:t>
            </w:r>
          </w:p>
        </w:tc>
        <w:tc>
          <w:tcPr>
            <w:tcW w:w="1822" w:type="dxa"/>
            <w:gridSpan w:val="2"/>
            <w:tcBorders>
              <w:bottom w:val="single" w:sz="4" w:space="0" w:color="auto"/>
            </w:tcBorders>
          </w:tcPr>
          <w:p w14:paraId="140C91B3" w14:textId="77777777" w:rsidR="0049452A" w:rsidRPr="001D2FCB" w:rsidRDefault="0049452A" w:rsidP="00240D53">
            <w:pPr>
              <w:jc w:val="center"/>
              <w:rPr>
                <w:rFonts w:ascii="Aptos" w:hAnsi="Aptos" w:cs="Arial"/>
              </w:rPr>
            </w:pPr>
            <w:r w:rsidRPr="001D2FCB">
              <w:rPr>
                <w:rFonts w:ascii="Aptos" w:hAnsi="Aptos" w:cs="Arial"/>
                <w:b/>
                <w:bCs/>
              </w:rPr>
              <w:t>DS x Depth</w:t>
            </w:r>
          </w:p>
        </w:tc>
        <w:tc>
          <w:tcPr>
            <w:tcW w:w="2155" w:type="dxa"/>
            <w:gridSpan w:val="2"/>
            <w:tcBorders>
              <w:bottom w:val="single" w:sz="4" w:space="0" w:color="auto"/>
            </w:tcBorders>
          </w:tcPr>
          <w:p w14:paraId="413E4317" w14:textId="77777777" w:rsidR="0049452A" w:rsidRPr="001D2FCB" w:rsidRDefault="0049452A" w:rsidP="00240D53">
            <w:pPr>
              <w:jc w:val="center"/>
              <w:rPr>
                <w:rFonts w:ascii="Aptos" w:hAnsi="Aptos" w:cs="Arial"/>
              </w:rPr>
            </w:pPr>
            <w:r w:rsidRPr="001D2FCB">
              <w:rPr>
                <w:rFonts w:ascii="Aptos" w:hAnsi="Aptos" w:cs="Arial"/>
                <w:b/>
                <w:bCs/>
              </w:rPr>
              <w:t>YNT x DS x Depth</w:t>
            </w:r>
          </w:p>
        </w:tc>
      </w:tr>
      <w:tr w:rsidR="0049452A" w:rsidRPr="001D2FCB" w14:paraId="4ED12281" w14:textId="77777777" w:rsidTr="00240D53">
        <w:tc>
          <w:tcPr>
            <w:tcW w:w="1222" w:type="dxa"/>
            <w:vMerge/>
            <w:tcBorders>
              <w:bottom w:val="single" w:sz="4" w:space="0" w:color="auto"/>
            </w:tcBorders>
          </w:tcPr>
          <w:p w14:paraId="0726436C" w14:textId="77777777" w:rsidR="0049452A" w:rsidRPr="001D2FCB" w:rsidRDefault="0049452A" w:rsidP="00240D53">
            <w:pPr>
              <w:rPr>
                <w:rFonts w:ascii="Aptos" w:hAnsi="Aptos" w:cs="Arial"/>
              </w:rPr>
            </w:pPr>
          </w:p>
        </w:tc>
        <w:tc>
          <w:tcPr>
            <w:tcW w:w="892" w:type="dxa"/>
            <w:tcBorders>
              <w:top w:val="single" w:sz="4" w:space="0" w:color="auto"/>
              <w:bottom w:val="single" w:sz="4" w:space="0" w:color="auto"/>
            </w:tcBorders>
          </w:tcPr>
          <w:p w14:paraId="61F52F4B"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911" w:type="dxa"/>
            <w:tcBorders>
              <w:top w:val="single" w:sz="4" w:space="0" w:color="auto"/>
              <w:bottom w:val="single" w:sz="4" w:space="0" w:color="auto"/>
            </w:tcBorders>
            <w:vAlign w:val="center"/>
          </w:tcPr>
          <w:p w14:paraId="16243EC5" w14:textId="77777777" w:rsidR="0049452A" w:rsidRPr="001D2FCB" w:rsidRDefault="0049452A" w:rsidP="00240D53">
            <w:pPr>
              <w:jc w:val="center"/>
              <w:rPr>
                <w:rFonts w:ascii="Aptos" w:hAnsi="Aptos" w:cs="Arial"/>
              </w:rPr>
            </w:pPr>
            <w:r w:rsidRPr="001D2FCB">
              <w:rPr>
                <w:rFonts w:ascii="Aptos" w:hAnsi="Aptos" w:cs="Arial"/>
                <w:b/>
                <w:bCs/>
                <w:i/>
                <w:iCs/>
              </w:rPr>
              <w:t>p</w:t>
            </w:r>
          </w:p>
        </w:tc>
        <w:tc>
          <w:tcPr>
            <w:tcW w:w="896" w:type="dxa"/>
            <w:tcBorders>
              <w:top w:val="single" w:sz="4" w:space="0" w:color="auto"/>
              <w:bottom w:val="single" w:sz="4" w:space="0" w:color="auto"/>
            </w:tcBorders>
          </w:tcPr>
          <w:p w14:paraId="0788BBF9"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911" w:type="dxa"/>
            <w:tcBorders>
              <w:top w:val="single" w:sz="4" w:space="0" w:color="auto"/>
              <w:bottom w:val="single" w:sz="4" w:space="0" w:color="auto"/>
            </w:tcBorders>
          </w:tcPr>
          <w:p w14:paraId="239FFFF9" w14:textId="77777777" w:rsidR="0049452A" w:rsidRPr="001D2FCB" w:rsidRDefault="0049452A" w:rsidP="00240D53">
            <w:pPr>
              <w:jc w:val="center"/>
              <w:rPr>
                <w:rFonts w:ascii="Aptos" w:hAnsi="Aptos" w:cs="Arial"/>
              </w:rPr>
            </w:pPr>
            <w:r w:rsidRPr="001D2FCB">
              <w:rPr>
                <w:rFonts w:ascii="Aptos" w:hAnsi="Aptos" w:cs="Arial"/>
                <w:b/>
                <w:bCs/>
                <w:i/>
                <w:iCs/>
              </w:rPr>
              <w:t>p</w:t>
            </w:r>
          </w:p>
        </w:tc>
        <w:tc>
          <w:tcPr>
            <w:tcW w:w="932" w:type="dxa"/>
            <w:tcBorders>
              <w:top w:val="single" w:sz="4" w:space="0" w:color="auto"/>
              <w:bottom w:val="single" w:sz="4" w:space="0" w:color="auto"/>
            </w:tcBorders>
          </w:tcPr>
          <w:p w14:paraId="4C2BB5FE"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932" w:type="dxa"/>
            <w:tcBorders>
              <w:top w:val="single" w:sz="4" w:space="0" w:color="auto"/>
              <w:bottom w:val="single" w:sz="4" w:space="0" w:color="auto"/>
            </w:tcBorders>
          </w:tcPr>
          <w:p w14:paraId="43F1B680" w14:textId="77777777" w:rsidR="0049452A" w:rsidRPr="001D2FCB" w:rsidRDefault="0049452A" w:rsidP="00240D53">
            <w:pPr>
              <w:jc w:val="center"/>
              <w:rPr>
                <w:rFonts w:ascii="Aptos" w:hAnsi="Aptos" w:cs="Arial"/>
              </w:rPr>
            </w:pPr>
            <w:r w:rsidRPr="001D2FCB">
              <w:rPr>
                <w:rFonts w:ascii="Aptos" w:hAnsi="Aptos" w:cs="Arial"/>
                <w:b/>
                <w:bCs/>
                <w:i/>
                <w:iCs/>
              </w:rPr>
              <w:t>p</w:t>
            </w:r>
          </w:p>
        </w:tc>
        <w:tc>
          <w:tcPr>
            <w:tcW w:w="890" w:type="dxa"/>
            <w:tcBorders>
              <w:top w:val="single" w:sz="4" w:space="0" w:color="auto"/>
              <w:bottom w:val="single" w:sz="4" w:space="0" w:color="auto"/>
            </w:tcBorders>
          </w:tcPr>
          <w:p w14:paraId="2AF3358D"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911" w:type="dxa"/>
            <w:tcBorders>
              <w:top w:val="single" w:sz="4" w:space="0" w:color="auto"/>
              <w:bottom w:val="single" w:sz="4" w:space="0" w:color="auto"/>
            </w:tcBorders>
          </w:tcPr>
          <w:p w14:paraId="4F5A2F06" w14:textId="77777777" w:rsidR="0049452A" w:rsidRPr="001D2FCB" w:rsidRDefault="0049452A" w:rsidP="00240D53">
            <w:pPr>
              <w:jc w:val="center"/>
              <w:rPr>
                <w:rFonts w:ascii="Aptos" w:hAnsi="Aptos" w:cs="Arial"/>
              </w:rPr>
            </w:pPr>
            <w:r w:rsidRPr="001D2FCB">
              <w:rPr>
                <w:rFonts w:ascii="Aptos" w:hAnsi="Aptos" w:cs="Arial"/>
                <w:b/>
                <w:bCs/>
                <w:i/>
                <w:iCs/>
              </w:rPr>
              <w:t>p</w:t>
            </w:r>
          </w:p>
        </w:tc>
        <w:tc>
          <w:tcPr>
            <w:tcW w:w="911" w:type="dxa"/>
            <w:tcBorders>
              <w:top w:val="single" w:sz="4" w:space="0" w:color="auto"/>
              <w:bottom w:val="single" w:sz="4" w:space="0" w:color="auto"/>
            </w:tcBorders>
          </w:tcPr>
          <w:p w14:paraId="51CAD9FC"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932" w:type="dxa"/>
            <w:tcBorders>
              <w:top w:val="single" w:sz="4" w:space="0" w:color="auto"/>
              <w:bottom w:val="single" w:sz="4" w:space="0" w:color="auto"/>
            </w:tcBorders>
          </w:tcPr>
          <w:p w14:paraId="6E198C75" w14:textId="77777777" w:rsidR="0049452A" w:rsidRPr="001D2FCB" w:rsidRDefault="0049452A" w:rsidP="00240D53">
            <w:pPr>
              <w:jc w:val="center"/>
              <w:rPr>
                <w:rFonts w:ascii="Aptos" w:hAnsi="Aptos" w:cs="Arial"/>
              </w:rPr>
            </w:pPr>
            <w:r w:rsidRPr="001D2FCB">
              <w:rPr>
                <w:rFonts w:ascii="Aptos" w:hAnsi="Aptos" w:cs="Arial"/>
                <w:b/>
                <w:bCs/>
                <w:i/>
                <w:iCs/>
              </w:rPr>
              <w:t>p</w:t>
            </w:r>
          </w:p>
        </w:tc>
        <w:tc>
          <w:tcPr>
            <w:tcW w:w="890" w:type="dxa"/>
            <w:tcBorders>
              <w:top w:val="single" w:sz="4" w:space="0" w:color="auto"/>
              <w:bottom w:val="single" w:sz="4" w:space="0" w:color="auto"/>
            </w:tcBorders>
          </w:tcPr>
          <w:p w14:paraId="652E64A1"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932" w:type="dxa"/>
            <w:tcBorders>
              <w:top w:val="single" w:sz="4" w:space="0" w:color="auto"/>
              <w:bottom w:val="single" w:sz="4" w:space="0" w:color="auto"/>
            </w:tcBorders>
          </w:tcPr>
          <w:p w14:paraId="3FD765B5" w14:textId="77777777" w:rsidR="0049452A" w:rsidRPr="001D2FCB" w:rsidRDefault="0049452A" w:rsidP="00240D53">
            <w:pPr>
              <w:jc w:val="center"/>
              <w:rPr>
                <w:rFonts w:ascii="Aptos" w:hAnsi="Aptos" w:cs="Arial"/>
              </w:rPr>
            </w:pPr>
            <w:r w:rsidRPr="001D2FCB">
              <w:rPr>
                <w:rFonts w:ascii="Aptos" w:hAnsi="Aptos" w:cs="Arial"/>
                <w:b/>
                <w:bCs/>
                <w:i/>
                <w:iCs/>
              </w:rPr>
              <w:t>p</w:t>
            </w:r>
          </w:p>
        </w:tc>
        <w:tc>
          <w:tcPr>
            <w:tcW w:w="890" w:type="dxa"/>
            <w:tcBorders>
              <w:top w:val="single" w:sz="4" w:space="0" w:color="auto"/>
              <w:bottom w:val="single" w:sz="4" w:space="0" w:color="auto"/>
            </w:tcBorders>
          </w:tcPr>
          <w:p w14:paraId="456595D6" w14:textId="77777777" w:rsidR="0049452A" w:rsidRPr="001D2FCB" w:rsidRDefault="0049452A" w:rsidP="00240D53">
            <w:pPr>
              <w:jc w:val="center"/>
              <w:rPr>
                <w:rFonts w:ascii="Aptos" w:hAnsi="Aptos" w:cs="Arial"/>
              </w:rPr>
            </w:pPr>
            <w:r w:rsidRPr="001D2FCB">
              <w:rPr>
                <w:rFonts w:ascii="Aptos" w:hAnsi="Aptos" w:cs="Arial"/>
                <w:b/>
                <w:bCs/>
                <w:i/>
                <w:iCs/>
              </w:rPr>
              <w:t>F</w:t>
            </w:r>
          </w:p>
        </w:tc>
        <w:tc>
          <w:tcPr>
            <w:tcW w:w="1265" w:type="dxa"/>
            <w:tcBorders>
              <w:top w:val="single" w:sz="4" w:space="0" w:color="auto"/>
              <w:bottom w:val="single" w:sz="4" w:space="0" w:color="auto"/>
            </w:tcBorders>
          </w:tcPr>
          <w:p w14:paraId="65321EB6" w14:textId="77777777" w:rsidR="0049452A" w:rsidRPr="001D2FCB" w:rsidRDefault="0049452A" w:rsidP="00240D53">
            <w:pPr>
              <w:jc w:val="center"/>
              <w:rPr>
                <w:rFonts w:ascii="Aptos" w:hAnsi="Aptos" w:cs="Arial"/>
              </w:rPr>
            </w:pPr>
            <w:r w:rsidRPr="001D2FCB">
              <w:rPr>
                <w:rFonts w:ascii="Aptos" w:hAnsi="Aptos" w:cs="Arial"/>
                <w:b/>
                <w:bCs/>
                <w:i/>
                <w:iCs/>
              </w:rPr>
              <w:t>p</w:t>
            </w:r>
          </w:p>
        </w:tc>
      </w:tr>
      <w:tr w:rsidR="0049452A" w:rsidRPr="001D2FCB" w14:paraId="04A40916" w14:textId="77777777" w:rsidTr="00240D53">
        <w:tc>
          <w:tcPr>
            <w:tcW w:w="1222" w:type="dxa"/>
            <w:vMerge w:val="restart"/>
            <w:tcBorders>
              <w:top w:val="single" w:sz="4" w:space="0" w:color="auto"/>
            </w:tcBorders>
          </w:tcPr>
          <w:p w14:paraId="48258867" w14:textId="77777777" w:rsidR="0049452A" w:rsidRPr="001D2FCB" w:rsidRDefault="0049452A" w:rsidP="00240D53">
            <w:pPr>
              <w:rPr>
                <w:rFonts w:ascii="Aptos" w:hAnsi="Aptos" w:cs="Arial"/>
              </w:rPr>
            </w:pPr>
            <w:r w:rsidRPr="001D2FCB">
              <w:rPr>
                <w:rFonts w:ascii="Aptos" w:hAnsi="Aptos" w:cs="Arial"/>
              </w:rPr>
              <w:t>TC</w:t>
            </w:r>
          </w:p>
          <w:p w14:paraId="62EEB394" w14:textId="77777777" w:rsidR="0049452A" w:rsidRPr="001D2FCB" w:rsidRDefault="0049452A" w:rsidP="00240D53">
            <w:pPr>
              <w:rPr>
                <w:rFonts w:ascii="Aptos" w:hAnsi="Aptos" w:cs="Arial"/>
              </w:rPr>
            </w:pPr>
            <w:r w:rsidRPr="001D2FCB">
              <w:rPr>
                <w:rFonts w:ascii="Aptos" w:hAnsi="Aptos" w:cs="Arial"/>
              </w:rPr>
              <w:t>TN</w:t>
            </w:r>
          </w:p>
        </w:tc>
        <w:tc>
          <w:tcPr>
            <w:tcW w:w="892" w:type="dxa"/>
            <w:tcBorders>
              <w:top w:val="single" w:sz="4" w:space="0" w:color="auto"/>
            </w:tcBorders>
          </w:tcPr>
          <w:p w14:paraId="7A6C1EA3" w14:textId="77777777" w:rsidR="0049452A" w:rsidRPr="001D2FCB" w:rsidRDefault="0049452A" w:rsidP="00240D53">
            <w:pPr>
              <w:jc w:val="right"/>
              <w:rPr>
                <w:rFonts w:ascii="Aptos" w:hAnsi="Aptos" w:cs="Arial"/>
              </w:rPr>
            </w:pPr>
            <w:r w:rsidRPr="001D2FCB">
              <w:rPr>
                <w:rFonts w:ascii="Aptos" w:hAnsi="Aptos" w:cs="Arial"/>
              </w:rPr>
              <w:t>34.2</w:t>
            </w:r>
          </w:p>
        </w:tc>
        <w:tc>
          <w:tcPr>
            <w:tcW w:w="911" w:type="dxa"/>
            <w:tcBorders>
              <w:top w:val="single" w:sz="4" w:space="0" w:color="auto"/>
            </w:tcBorders>
          </w:tcPr>
          <w:p w14:paraId="20E0464F" w14:textId="77777777" w:rsidR="0049452A" w:rsidRPr="001D2FCB" w:rsidRDefault="0049452A" w:rsidP="00240D53">
            <w:pPr>
              <w:jc w:val="right"/>
              <w:rPr>
                <w:rFonts w:ascii="Aptos" w:hAnsi="Aptos" w:cs="Arial"/>
              </w:rPr>
            </w:pPr>
            <w:r w:rsidRPr="001D2FCB">
              <w:rPr>
                <w:rFonts w:ascii="Aptos" w:hAnsi="Aptos" w:cs="Arial"/>
              </w:rPr>
              <w:t>0.004</w:t>
            </w:r>
          </w:p>
        </w:tc>
        <w:tc>
          <w:tcPr>
            <w:tcW w:w="896" w:type="dxa"/>
            <w:tcBorders>
              <w:top w:val="single" w:sz="4" w:space="0" w:color="auto"/>
            </w:tcBorders>
          </w:tcPr>
          <w:p w14:paraId="56F5F82D" w14:textId="77777777" w:rsidR="0049452A" w:rsidRPr="001D2FCB" w:rsidRDefault="0049452A" w:rsidP="00240D53">
            <w:pPr>
              <w:jc w:val="right"/>
              <w:rPr>
                <w:rFonts w:ascii="Aptos" w:hAnsi="Aptos" w:cs="Arial"/>
              </w:rPr>
            </w:pPr>
            <w:r w:rsidRPr="001D2FCB">
              <w:rPr>
                <w:rFonts w:ascii="Aptos" w:hAnsi="Aptos" w:cs="Arial"/>
              </w:rPr>
              <w:t>24.7</w:t>
            </w:r>
          </w:p>
        </w:tc>
        <w:tc>
          <w:tcPr>
            <w:tcW w:w="911" w:type="dxa"/>
            <w:tcBorders>
              <w:top w:val="single" w:sz="4" w:space="0" w:color="auto"/>
            </w:tcBorders>
          </w:tcPr>
          <w:p w14:paraId="353EA805" w14:textId="77777777" w:rsidR="0049452A" w:rsidRPr="001D2FCB" w:rsidRDefault="0049452A" w:rsidP="00240D53">
            <w:pPr>
              <w:jc w:val="right"/>
              <w:rPr>
                <w:rFonts w:ascii="Aptos" w:hAnsi="Aptos" w:cs="Arial"/>
              </w:rPr>
            </w:pPr>
            <w:r w:rsidRPr="001D2FCB">
              <w:rPr>
                <w:rFonts w:ascii="Aptos" w:hAnsi="Aptos" w:cs="Arial"/>
              </w:rPr>
              <w:t>0.008</w:t>
            </w:r>
          </w:p>
        </w:tc>
        <w:tc>
          <w:tcPr>
            <w:tcW w:w="932" w:type="dxa"/>
            <w:tcBorders>
              <w:top w:val="single" w:sz="4" w:space="0" w:color="auto"/>
            </w:tcBorders>
          </w:tcPr>
          <w:p w14:paraId="3FC0A135" w14:textId="77777777" w:rsidR="0049452A" w:rsidRPr="001D2FCB" w:rsidRDefault="0049452A" w:rsidP="00240D53">
            <w:pPr>
              <w:jc w:val="right"/>
              <w:rPr>
                <w:rFonts w:ascii="Aptos" w:hAnsi="Aptos" w:cs="Arial"/>
              </w:rPr>
            </w:pPr>
            <w:r w:rsidRPr="001D2FCB">
              <w:rPr>
                <w:rFonts w:ascii="Aptos" w:hAnsi="Aptos" w:cs="Arial"/>
              </w:rPr>
              <w:t>1253.8</w:t>
            </w:r>
          </w:p>
        </w:tc>
        <w:tc>
          <w:tcPr>
            <w:tcW w:w="932" w:type="dxa"/>
            <w:tcBorders>
              <w:top w:val="single" w:sz="4" w:space="0" w:color="auto"/>
            </w:tcBorders>
          </w:tcPr>
          <w:p w14:paraId="5BF53C7A" w14:textId="77777777" w:rsidR="0049452A" w:rsidRPr="001D2FCB" w:rsidRDefault="0049452A" w:rsidP="00240D53">
            <w:pPr>
              <w:jc w:val="right"/>
              <w:rPr>
                <w:rFonts w:ascii="Aptos" w:hAnsi="Aptos" w:cs="Arial"/>
              </w:rPr>
            </w:pPr>
            <w:r w:rsidRPr="001D2FCB">
              <w:rPr>
                <w:rFonts w:ascii="Aptos" w:hAnsi="Aptos" w:cs="Arial"/>
                <w:color w:val="000000"/>
                <w:kern w:val="0"/>
              </w:rPr>
              <w:t>&lt;0.001</w:t>
            </w:r>
          </w:p>
        </w:tc>
        <w:tc>
          <w:tcPr>
            <w:tcW w:w="890" w:type="dxa"/>
            <w:tcBorders>
              <w:top w:val="single" w:sz="4" w:space="0" w:color="auto"/>
            </w:tcBorders>
          </w:tcPr>
          <w:p w14:paraId="6A1E066F" w14:textId="77777777" w:rsidR="0049452A" w:rsidRPr="001D2FCB" w:rsidRDefault="0049452A" w:rsidP="00240D53">
            <w:pPr>
              <w:jc w:val="right"/>
              <w:rPr>
                <w:rFonts w:ascii="Aptos" w:hAnsi="Aptos" w:cs="Arial"/>
              </w:rPr>
            </w:pPr>
            <w:r w:rsidRPr="001D2FCB">
              <w:rPr>
                <w:rFonts w:ascii="Aptos" w:hAnsi="Aptos" w:cs="Arial"/>
              </w:rPr>
              <w:t>3.9</w:t>
            </w:r>
            <w:r>
              <w:rPr>
                <w:rFonts w:ascii="Aptos" w:hAnsi="Aptos" w:cs="Arial"/>
              </w:rPr>
              <w:t>8</w:t>
            </w:r>
          </w:p>
        </w:tc>
        <w:tc>
          <w:tcPr>
            <w:tcW w:w="911" w:type="dxa"/>
            <w:tcBorders>
              <w:top w:val="single" w:sz="4" w:space="0" w:color="auto"/>
            </w:tcBorders>
          </w:tcPr>
          <w:p w14:paraId="1CE9C2AB" w14:textId="77777777" w:rsidR="0049452A" w:rsidRPr="001D2FCB" w:rsidRDefault="0049452A" w:rsidP="00240D53">
            <w:pPr>
              <w:jc w:val="right"/>
              <w:rPr>
                <w:rFonts w:ascii="Aptos" w:hAnsi="Aptos" w:cs="Arial"/>
              </w:rPr>
            </w:pPr>
            <w:r w:rsidRPr="001D2FCB">
              <w:rPr>
                <w:rFonts w:ascii="Aptos" w:hAnsi="Aptos" w:cs="Arial"/>
              </w:rPr>
              <w:t>0.117</w:t>
            </w:r>
          </w:p>
        </w:tc>
        <w:tc>
          <w:tcPr>
            <w:tcW w:w="911" w:type="dxa"/>
            <w:tcBorders>
              <w:top w:val="single" w:sz="4" w:space="0" w:color="auto"/>
            </w:tcBorders>
          </w:tcPr>
          <w:p w14:paraId="4EDDD4A4" w14:textId="77777777" w:rsidR="0049452A" w:rsidRPr="001D2FCB" w:rsidRDefault="0049452A" w:rsidP="00240D53">
            <w:pPr>
              <w:jc w:val="right"/>
              <w:rPr>
                <w:rFonts w:ascii="Aptos" w:hAnsi="Aptos" w:cs="Arial"/>
              </w:rPr>
            </w:pPr>
            <w:r w:rsidRPr="001D2FCB">
              <w:rPr>
                <w:rFonts w:ascii="Aptos" w:hAnsi="Aptos" w:cs="Arial"/>
              </w:rPr>
              <w:t>130.4</w:t>
            </w:r>
          </w:p>
        </w:tc>
        <w:tc>
          <w:tcPr>
            <w:tcW w:w="932" w:type="dxa"/>
            <w:tcBorders>
              <w:top w:val="single" w:sz="4" w:space="0" w:color="auto"/>
            </w:tcBorders>
          </w:tcPr>
          <w:p w14:paraId="2F336C19"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Borders>
              <w:top w:val="single" w:sz="4" w:space="0" w:color="auto"/>
            </w:tcBorders>
          </w:tcPr>
          <w:p w14:paraId="62C6D0B9" w14:textId="77777777" w:rsidR="0049452A" w:rsidRPr="001D2FCB" w:rsidRDefault="0049452A" w:rsidP="00240D53">
            <w:pPr>
              <w:jc w:val="right"/>
              <w:rPr>
                <w:rFonts w:ascii="Aptos" w:hAnsi="Aptos" w:cs="Arial"/>
              </w:rPr>
            </w:pPr>
            <w:r w:rsidRPr="001D2FCB">
              <w:rPr>
                <w:rFonts w:ascii="Aptos" w:hAnsi="Aptos" w:cs="Arial"/>
              </w:rPr>
              <w:t>18.8</w:t>
            </w:r>
          </w:p>
        </w:tc>
        <w:tc>
          <w:tcPr>
            <w:tcW w:w="932" w:type="dxa"/>
            <w:tcBorders>
              <w:top w:val="single" w:sz="4" w:space="0" w:color="auto"/>
            </w:tcBorders>
          </w:tcPr>
          <w:p w14:paraId="00423AA7"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Borders>
              <w:top w:val="single" w:sz="4" w:space="0" w:color="auto"/>
            </w:tcBorders>
          </w:tcPr>
          <w:p w14:paraId="07D0CC4C" w14:textId="77777777" w:rsidR="0049452A" w:rsidRPr="001D2FCB" w:rsidRDefault="0049452A" w:rsidP="00240D53">
            <w:pPr>
              <w:jc w:val="right"/>
              <w:rPr>
                <w:rFonts w:ascii="Aptos" w:hAnsi="Aptos" w:cs="Arial"/>
              </w:rPr>
            </w:pPr>
            <w:r w:rsidRPr="001D2FCB">
              <w:rPr>
                <w:rFonts w:ascii="Aptos" w:hAnsi="Aptos" w:cs="Arial"/>
              </w:rPr>
              <w:t>9.2</w:t>
            </w:r>
            <w:r>
              <w:rPr>
                <w:rFonts w:ascii="Aptos" w:hAnsi="Aptos" w:cs="Arial"/>
              </w:rPr>
              <w:t>6</w:t>
            </w:r>
          </w:p>
        </w:tc>
        <w:tc>
          <w:tcPr>
            <w:tcW w:w="1265" w:type="dxa"/>
            <w:tcBorders>
              <w:top w:val="single" w:sz="4" w:space="0" w:color="auto"/>
            </w:tcBorders>
          </w:tcPr>
          <w:p w14:paraId="703A38DA" w14:textId="77777777" w:rsidR="0049452A" w:rsidRPr="001D2FCB" w:rsidRDefault="0049452A" w:rsidP="00240D53">
            <w:pPr>
              <w:jc w:val="right"/>
              <w:rPr>
                <w:rFonts w:ascii="Aptos" w:hAnsi="Aptos" w:cs="Arial"/>
              </w:rPr>
            </w:pPr>
            <w:r w:rsidRPr="001D2FCB">
              <w:rPr>
                <w:rFonts w:ascii="Aptos" w:hAnsi="Aptos" w:cs="Arial"/>
              </w:rPr>
              <w:t>0.003</w:t>
            </w:r>
          </w:p>
        </w:tc>
      </w:tr>
      <w:tr w:rsidR="0049452A" w:rsidRPr="001D2FCB" w14:paraId="63873A8C" w14:textId="77777777" w:rsidTr="00240D53">
        <w:tc>
          <w:tcPr>
            <w:tcW w:w="1222" w:type="dxa"/>
            <w:vMerge/>
          </w:tcPr>
          <w:p w14:paraId="23FD4BF6" w14:textId="77777777" w:rsidR="0049452A" w:rsidRPr="001D2FCB" w:rsidRDefault="0049452A" w:rsidP="00240D53">
            <w:pPr>
              <w:rPr>
                <w:rFonts w:ascii="Aptos" w:hAnsi="Aptos" w:cs="Arial"/>
              </w:rPr>
            </w:pPr>
          </w:p>
        </w:tc>
        <w:tc>
          <w:tcPr>
            <w:tcW w:w="892" w:type="dxa"/>
          </w:tcPr>
          <w:p w14:paraId="4757F455" w14:textId="77777777" w:rsidR="0049452A" w:rsidRPr="001D2FCB" w:rsidRDefault="0049452A" w:rsidP="00240D53">
            <w:pPr>
              <w:jc w:val="right"/>
              <w:rPr>
                <w:rFonts w:ascii="Aptos" w:hAnsi="Aptos" w:cs="Arial"/>
              </w:rPr>
            </w:pPr>
            <w:r w:rsidRPr="001D2FCB">
              <w:rPr>
                <w:rFonts w:ascii="Aptos" w:hAnsi="Aptos" w:cs="Arial"/>
              </w:rPr>
              <w:t>19.8</w:t>
            </w:r>
          </w:p>
        </w:tc>
        <w:tc>
          <w:tcPr>
            <w:tcW w:w="911" w:type="dxa"/>
          </w:tcPr>
          <w:p w14:paraId="14454429" w14:textId="77777777" w:rsidR="0049452A" w:rsidRPr="001D2FCB" w:rsidRDefault="0049452A" w:rsidP="00240D53">
            <w:pPr>
              <w:jc w:val="right"/>
              <w:rPr>
                <w:rFonts w:ascii="Aptos" w:hAnsi="Aptos" w:cs="Arial"/>
              </w:rPr>
            </w:pPr>
            <w:r w:rsidRPr="001D2FCB">
              <w:rPr>
                <w:rFonts w:ascii="Aptos" w:hAnsi="Aptos" w:cs="Arial"/>
              </w:rPr>
              <w:t>0.011</w:t>
            </w:r>
          </w:p>
        </w:tc>
        <w:tc>
          <w:tcPr>
            <w:tcW w:w="896" w:type="dxa"/>
          </w:tcPr>
          <w:p w14:paraId="4054A639" w14:textId="77777777" w:rsidR="0049452A" w:rsidRPr="001D2FCB" w:rsidRDefault="0049452A" w:rsidP="00240D53">
            <w:pPr>
              <w:jc w:val="right"/>
              <w:rPr>
                <w:rFonts w:ascii="Aptos" w:hAnsi="Aptos" w:cs="Arial"/>
              </w:rPr>
            </w:pPr>
            <w:r w:rsidRPr="001D2FCB">
              <w:rPr>
                <w:rFonts w:ascii="Aptos" w:hAnsi="Aptos" w:cs="Arial"/>
              </w:rPr>
              <w:t>20.4</w:t>
            </w:r>
          </w:p>
        </w:tc>
        <w:tc>
          <w:tcPr>
            <w:tcW w:w="911" w:type="dxa"/>
          </w:tcPr>
          <w:p w14:paraId="0A799D92" w14:textId="77777777" w:rsidR="0049452A" w:rsidRPr="001D2FCB" w:rsidRDefault="0049452A" w:rsidP="00240D53">
            <w:pPr>
              <w:jc w:val="right"/>
              <w:rPr>
                <w:rFonts w:ascii="Aptos" w:hAnsi="Aptos" w:cs="Arial"/>
              </w:rPr>
            </w:pPr>
            <w:r w:rsidRPr="001D2FCB">
              <w:rPr>
                <w:rFonts w:ascii="Aptos" w:hAnsi="Aptos" w:cs="Arial"/>
              </w:rPr>
              <w:t>0.011</w:t>
            </w:r>
          </w:p>
        </w:tc>
        <w:tc>
          <w:tcPr>
            <w:tcW w:w="932" w:type="dxa"/>
          </w:tcPr>
          <w:p w14:paraId="769E9ABD" w14:textId="77777777" w:rsidR="0049452A" w:rsidRPr="001D2FCB" w:rsidRDefault="0049452A" w:rsidP="00240D53">
            <w:pPr>
              <w:jc w:val="right"/>
              <w:rPr>
                <w:rFonts w:ascii="Aptos" w:hAnsi="Aptos" w:cs="Arial"/>
              </w:rPr>
            </w:pPr>
            <w:r w:rsidRPr="001D2FCB">
              <w:rPr>
                <w:rFonts w:ascii="Aptos" w:hAnsi="Aptos" w:cs="Arial"/>
              </w:rPr>
              <w:t>1129.3</w:t>
            </w:r>
          </w:p>
        </w:tc>
        <w:tc>
          <w:tcPr>
            <w:tcW w:w="932" w:type="dxa"/>
          </w:tcPr>
          <w:p w14:paraId="3DA34769"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Pr>
          <w:p w14:paraId="3BF75FA3" w14:textId="77777777" w:rsidR="0049452A" w:rsidRPr="001D2FCB" w:rsidRDefault="0049452A" w:rsidP="00240D53">
            <w:pPr>
              <w:jc w:val="right"/>
              <w:rPr>
                <w:rFonts w:ascii="Aptos" w:hAnsi="Aptos" w:cs="Arial"/>
              </w:rPr>
            </w:pPr>
            <w:r w:rsidRPr="001D2FCB">
              <w:rPr>
                <w:rFonts w:ascii="Aptos" w:hAnsi="Aptos" w:cs="Arial"/>
              </w:rPr>
              <w:t>0.</w:t>
            </w:r>
            <w:r>
              <w:rPr>
                <w:rFonts w:ascii="Aptos" w:hAnsi="Aptos" w:cs="Arial"/>
              </w:rPr>
              <w:t>37</w:t>
            </w:r>
          </w:p>
        </w:tc>
        <w:tc>
          <w:tcPr>
            <w:tcW w:w="911" w:type="dxa"/>
          </w:tcPr>
          <w:p w14:paraId="1C1CB78D" w14:textId="77777777" w:rsidR="0049452A" w:rsidRPr="001D2FCB" w:rsidRDefault="0049452A" w:rsidP="00240D53">
            <w:pPr>
              <w:jc w:val="right"/>
              <w:rPr>
                <w:rFonts w:ascii="Aptos" w:hAnsi="Aptos" w:cs="Arial"/>
              </w:rPr>
            </w:pPr>
            <w:r w:rsidRPr="001D2FCB">
              <w:rPr>
                <w:rFonts w:ascii="Aptos" w:hAnsi="Aptos" w:cs="Arial"/>
              </w:rPr>
              <w:t>0.575</w:t>
            </w:r>
          </w:p>
        </w:tc>
        <w:tc>
          <w:tcPr>
            <w:tcW w:w="911" w:type="dxa"/>
          </w:tcPr>
          <w:p w14:paraId="14BA4CB4" w14:textId="77777777" w:rsidR="0049452A" w:rsidRPr="001D2FCB" w:rsidRDefault="0049452A" w:rsidP="00240D53">
            <w:pPr>
              <w:jc w:val="right"/>
              <w:rPr>
                <w:rFonts w:ascii="Aptos" w:hAnsi="Aptos" w:cs="Arial"/>
              </w:rPr>
            </w:pPr>
            <w:r w:rsidRPr="001D2FCB">
              <w:rPr>
                <w:rFonts w:ascii="Aptos" w:hAnsi="Aptos" w:cs="Arial"/>
              </w:rPr>
              <w:t>132.7</w:t>
            </w:r>
          </w:p>
        </w:tc>
        <w:tc>
          <w:tcPr>
            <w:tcW w:w="932" w:type="dxa"/>
          </w:tcPr>
          <w:p w14:paraId="4A1D5CDF"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Pr>
          <w:p w14:paraId="6380BBCA" w14:textId="77777777" w:rsidR="0049452A" w:rsidRPr="001D2FCB" w:rsidRDefault="0049452A" w:rsidP="00240D53">
            <w:pPr>
              <w:jc w:val="right"/>
              <w:rPr>
                <w:rFonts w:ascii="Aptos" w:hAnsi="Aptos" w:cs="Arial"/>
              </w:rPr>
            </w:pPr>
            <w:r w:rsidRPr="001D2FCB">
              <w:rPr>
                <w:rFonts w:ascii="Aptos" w:hAnsi="Aptos" w:cs="Arial"/>
              </w:rPr>
              <w:t>14.2</w:t>
            </w:r>
          </w:p>
        </w:tc>
        <w:tc>
          <w:tcPr>
            <w:tcW w:w="932" w:type="dxa"/>
          </w:tcPr>
          <w:p w14:paraId="5CB119FC"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Pr>
          <w:p w14:paraId="113EBE14" w14:textId="77777777" w:rsidR="0049452A" w:rsidRPr="001D2FCB" w:rsidRDefault="0049452A" w:rsidP="00240D53">
            <w:pPr>
              <w:jc w:val="right"/>
              <w:rPr>
                <w:rFonts w:ascii="Aptos" w:hAnsi="Aptos" w:cs="Arial"/>
              </w:rPr>
            </w:pPr>
            <w:r w:rsidRPr="001D2FCB">
              <w:rPr>
                <w:rFonts w:ascii="Aptos" w:hAnsi="Aptos" w:cs="Arial"/>
              </w:rPr>
              <w:t>6.43</w:t>
            </w:r>
          </w:p>
        </w:tc>
        <w:tc>
          <w:tcPr>
            <w:tcW w:w="1265" w:type="dxa"/>
          </w:tcPr>
          <w:p w14:paraId="2F0EBD77" w14:textId="77777777" w:rsidR="0049452A" w:rsidRPr="001D2FCB" w:rsidRDefault="0049452A" w:rsidP="00240D53">
            <w:pPr>
              <w:jc w:val="right"/>
              <w:rPr>
                <w:rFonts w:ascii="Aptos" w:hAnsi="Aptos" w:cs="Arial"/>
              </w:rPr>
            </w:pPr>
            <w:r w:rsidRPr="001D2FCB">
              <w:rPr>
                <w:rFonts w:ascii="Aptos" w:hAnsi="Aptos" w:cs="Arial"/>
              </w:rPr>
              <w:t>0.013</w:t>
            </w:r>
          </w:p>
        </w:tc>
      </w:tr>
      <w:tr w:rsidR="0049452A" w:rsidRPr="001D2FCB" w14:paraId="33CED372" w14:textId="77777777" w:rsidTr="00240D53">
        <w:tc>
          <w:tcPr>
            <w:tcW w:w="1222" w:type="dxa"/>
          </w:tcPr>
          <w:p w14:paraId="55DDEF2A" w14:textId="77777777" w:rsidR="0049452A" w:rsidRPr="001D2FCB" w:rsidRDefault="0049452A" w:rsidP="00240D53">
            <w:pPr>
              <w:rPr>
                <w:rFonts w:ascii="Aptos" w:hAnsi="Aptos" w:cs="Arial"/>
              </w:rPr>
            </w:pPr>
            <w:r w:rsidRPr="001D2FCB">
              <w:rPr>
                <w:rFonts w:ascii="Aptos" w:hAnsi="Aptos" w:cs="Arial"/>
              </w:rPr>
              <w:t>TP</w:t>
            </w:r>
          </w:p>
        </w:tc>
        <w:tc>
          <w:tcPr>
            <w:tcW w:w="892" w:type="dxa"/>
          </w:tcPr>
          <w:p w14:paraId="3E2D0416" w14:textId="77777777" w:rsidR="0049452A" w:rsidRPr="001D2FCB" w:rsidRDefault="0049452A" w:rsidP="00240D53">
            <w:pPr>
              <w:jc w:val="right"/>
              <w:rPr>
                <w:rFonts w:ascii="Aptos" w:hAnsi="Aptos" w:cs="Arial"/>
              </w:rPr>
            </w:pPr>
            <w:r w:rsidRPr="001D2FCB">
              <w:rPr>
                <w:rFonts w:ascii="Aptos" w:hAnsi="Aptos" w:cs="Arial"/>
              </w:rPr>
              <w:t>3.7</w:t>
            </w:r>
            <w:r>
              <w:rPr>
                <w:rFonts w:ascii="Aptos" w:hAnsi="Aptos" w:cs="Arial"/>
              </w:rPr>
              <w:t>1</w:t>
            </w:r>
          </w:p>
        </w:tc>
        <w:tc>
          <w:tcPr>
            <w:tcW w:w="911" w:type="dxa"/>
          </w:tcPr>
          <w:p w14:paraId="6002940F" w14:textId="77777777" w:rsidR="0049452A" w:rsidRPr="001D2FCB" w:rsidRDefault="0049452A" w:rsidP="00240D53">
            <w:pPr>
              <w:jc w:val="right"/>
              <w:rPr>
                <w:rFonts w:ascii="Aptos" w:hAnsi="Aptos" w:cs="Arial"/>
              </w:rPr>
            </w:pPr>
            <w:r w:rsidRPr="001D2FCB">
              <w:rPr>
                <w:rFonts w:ascii="Aptos" w:hAnsi="Aptos" w:cs="Arial"/>
              </w:rPr>
              <w:t>0.126</w:t>
            </w:r>
          </w:p>
        </w:tc>
        <w:tc>
          <w:tcPr>
            <w:tcW w:w="896" w:type="dxa"/>
          </w:tcPr>
          <w:p w14:paraId="5DF6FC02" w14:textId="77777777" w:rsidR="0049452A" w:rsidRPr="001D2FCB" w:rsidRDefault="0049452A" w:rsidP="00240D53">
            <w:pPr>
              <w:jc w:val="right"/>
              <w:rPr>
                <w:rFonts w:ascii="Aptos" w:hAnsi="Aptos" w:cs="Arial"/>
              </w:rPr>
            </w:pPr>
            <w:r w:rsidRPr="001D2FCB">
              <w:rPr>
                <w:rFonts w:ascii="Aptos" w:hAnsi="Aptos" w:cs="Arial"/>
              </w:rPr>
              <w:t>2.5</w:t>
            </w:r>
            <w:r>
              <w:rPr>
                <w:rFonts w:ascii="Aptos" w:hAnsi="Aptos" w:cs="Arial"/>
              </w:rPr>
              <w:t>2</w:t>
            </w:r>
          </w:p>
        </w:tc>
        <w:tc>
          <w:tcPr>
            <w:tcW w:w="911" w:type="dxa"/>
          </w:tcPr>
          <w:p w14:paraId="672EBC87" w14:textId="77777777" w:rsidR="0049452A" w:rsidRPr="001D2FCB" w:rsidRDefault="0049452A" w:rsidP="00240D53">
            <w:pPr>
              <w:jc w:val="right"/>
              <w:rPr>
                <w:rFonts w:ascii="Aptos" w:hAnsi="Aptos" w:cs="Arial"/>
              </w:rPr>
            </w:pPr>
            <w:r w:rsidRPr="001D2FCB">
              <w:rPr>
                <w:rFonts w:ascii="Aptos" w:hAnsi="Aptos" w:cs="Arial"/>
              </w:rPr>
              <w:t>0.187</w:t>
            </w:r>
          </w:p>
        </w:tc>
        <w:tc>
          <w:tcPr>
            <w:tcW w:w="932" w:type="dxa"/>
          </w:tcPr>
          <w:p w14:paraId="07038527" w14:textId="77777777" w:rsidR="0049452A" w:rsidRPr="001D2FCB" w:rsidRDefault="0049452A" w:rsidP="00240D53">
            <w:pPr>
              <w:jc w:val="right"/>
              <w:rPr>
                <w:rFonts w:ascii="Aptos" w:hAnsi="Aptos" w:cs="Arial"/>
              </w:rPr>
            </w:pPr>
            <w:r w:rsidRPr="001D2FCB">
              <w:rPr>
                <w:rFonts w:ascii="Aptos" w:hAnsi="Aptos" w:cs="Arial"/>
              </w:rPr>
              <w:t>849.5</w:t>
            </w:r>
          </w:p>
        </w:tc>
        <w:tc>
          <w:tcPr>
            <w:tcW w:w="932" w:type="dxa"/>
          </w:tcPr>
          <w:p w14:paraId="2D17D12E"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Pr>
          <w:p w14:paraId="05C0AB67" w14:textId="77777777" w:rsidR="0049452A" w:rsidRPr="001D2FCB" w:rsidRDefault="0049452A" w:rsidP="00240D53">
            <w:pPr>
              <w:jc w:val="right"/>
              <w:rPr>
                <w:rFonts w:ascii="Aptos" w:hAnsi="Aptos" w:cs="Arial"/>
              </w:rPr>
            </w:pPr>
            <w:r w:rsidRPr="001D2FCB">
              <w:rPr>
                <w:rFonts w:ascii="Aptos" w:hAnsi="Aptos" w:cs="Arial"/>
              </w:rPr>
              <w:t>0.2</w:t>
            </w:r>
          </w:p>
        </w:tc>
        <w:tc>
          <w:tcPr>
            <w:tcW w:w="911" w:type="dxa"/>
          </w:tcPr>
          <w:p w14:paraId="4B7C5227" w14:textId="77777777" w:rsidR="0049452A" w:rsidRPr="001D2FCB" w:rsidRDefault="0049452A" w:rsidP="00240D53">
            <w:pPr>
              <w:jc w:val="right"/>
              <w:rPr>
                <w:rFonts w:ascii="Aptos" w:hAnsi="Aptos" w:cs="Arial"/>
              </w:rPr>
            </w:pPr>
            <w:r w:rsidRPr="001D2FCB">
              <w:rPr>
                <w:rFonts w:ascii="Aptos" w:hAnsi="Aptos" w:cs="Arial"/>
              </w:rPr>
              <w:t>0.648</w:t>
            </w:r>
          </w:p>
        </w:tc>
        <w:tc>
          <w:tcPr>
            <w:tcW w:w="911" w:type="dxa"/>
          </w:tcPr>
          <w:p w14:paraId="7B6883CC" w14:textId="77777777" w:rsidR="0049452A" w:rsidRPr="001D2FCB" w:rsidRDefault="0049452A" w:rsidP="00240D53">
            <w:pPr>
              <w:jc w:val="right"/>
              <w:rPr>
                <w:rFonts w:ascii="Aptos" w:hAnsi="Aptos" w:cs="Arial"/>
              </w:rPr>
            </w:pPr>
            <w:r w:rsidRPr="001D2FCB">
              <w:rPr>
                <w:rFonts w:ascii="Aptos" w:hAnsi="Aptos" w:cs="Arial"/>
              </w:rPr>
              <w:t>109.2</w:t>
            </w:r>
          </w:p>
        </w:tc>
        <w:tc>
          <w:tcPr>
            <w:tcW w:w="932" w:type="dxa"/>
          </w:tcPr>
          <w:p w14:paraId="73951CF2"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Pr>
          <w:p w14:paraId="3A846939" w14:textId="77777777" w:rsidR="0049452A" w:rsidRPr="001D2FCB" w:rsidRDefault="0049452A" w:rsidP="00240D53">
            <w:pPr>
              <w:jc w:val="right"/>
              <w:rPr>
                <w:rFonts w:ascii="Aptos" w:hAnsi="Aptos" w:cs="Arial"/>
              </w:rPr>
            </w:pPr>
            <w:r w:rsidRPr="001D2FCB">
              <w:rPr>
                <w:rFonts w:ascii="Aptos" w:hAnsi="Aptos" w:cs="Arial"/>
              </w:rPr>
              <w:t>7.3</w:t>
            </w:r>
          </w:p>
        </w:tc>
        <w:tc>
          <w:tcPr>
            <w:tcW w:w="932" w:type="dxa"/>
          </w:tcPr>
          <w:p w14:paraId="04C58C8C" w14:textId="77777777" w:rsidR="0049452A" w:rsidRPr="001D2FCB" w:rsidRDefault="0049452A" w:rsidP="00240D53">
            <w:pPr>
              <w:jc w:val="right"/>
              <w:rPr>
                <w:rFonts w:ascii="Aptos" w:hAnsi="Aptos" w:cs="Arial"/>
              </w:rPr>
            </w:pPr>
            <w:r w:rsidRPr="001D2FCB">
              <w:rPr>
                <w:rFonts w:ascii="Aptos" w:hAnsi="Aptos" w:cs="Arial"/>
              </w:rPr>
              <w:t>0.009</w:t>
            </w:r>
          </w:p>
        </w:tc>
        <w:tc>
          <w:tcPr>
            <w:tcW w:w="890" w:type="dxa"/>
          </w:tcPr>
          <w:p w14:paraId="29AD8C5C" w14:textId="77777777" w:rsidR="0049452A" w:rsidRPr="001D2FCB" w:rsidRDefault="0049452A" w:rsidP="00240D53">
            <w:pPr>
              <w:jc w:val="right"/>
              <w:rPr>
                <w:rFonts w:ascii="Aptos" w:hAnsi="Aptos" w:cs="Arial"/>
              </w:rPr>
            </w:pPr>
            <w:r w:rsidRPr="001D2FCB">
              <w:rPr>
                <w:rFonts w:ascii="Aptos" w:hAnsi="Aptos" w:cs="Arial"/>
              </w:rPr>
              <w:t>5.5</w:t>
            </w:r>
          </w:p>
        </w:tc>
        <w:tc>
          <w:tcPr>
            <w:tcW w:w="1265" w:type="dxa"/>
          </w:tcPr>
          <w:p w14:paraId="01EE736D" w14:textId="77777777" w:rsidR="0049452A" w:rsidRPr="001D2FCB" w:rsidRDefault="0049452A" w:rsidP="00240D53">
            <w:pPr>
              <w:jc w:val="right"/>
              <w:rPr>
                <w:rFonts w:ascii="Aptos" w:hAnsi="Aptos" w:cs="Arial"/>
              </w:rPr>
            </w:pPr>
            <w:r w:rsidRPr="001D2FCB">
              <w:rPr>
                <w:rFonts w:ascii="Aptos" w:hAnsi="Aptos" w:cs="Arial"/>
              </w:rPr>
              <w:t>0.022</w:t>
            </w:r>
          </w:p>
        </w:tc>
      </w:tr>
      <w:tr w:rsidR="0049452A" w:rsidRPr="001D2FCB" w14:paraId="7E6A4443" w14:textId="77777777" w:rsidTr="00240D53">
        <w:tc>
          <w:tcPr>
            <w:tcW w:w="1222" w:type="dxa"/>
          </w:tcPr>
          <w:p w14:paraId="209294C2" w14:textId="77777777" w:rsidR="0049452A" w:rsidRPr="001D2FCB" w:rsidRDefault="0049452A" w:rsidP="00240D53">
            <w:pPr>
              <w:rPr>
                <w:rFonts w:ascii="Aptos" w:hAnsi="Aptos" w:cs="Arial"/>
              </w:rPr>
            </w:pPr>
            <w:r w:rsidRPr="001D2FCB">
              <w:rPr>
                <w:rFonts w:ascii="Aptos" w:hAnsi="Aptos" w:cs="Arial"/>
              </w:rPr>
              <w:t>pH</w:t>
            </w:r>
          </w:p>
        </w:tc>
        <w:tc>
          <w:tcPr>
            <w:tcW w:w="892" w:type="dxa"/>
          </w:tcPr>
          <w:p w14:paraId="3261A6E0" w14:textId="77777777" w:rsidR="0049452A" w:rsidRPr="001D2FCB" w:rsidRDefault="0049452A" w:rsidP="00240D53">
            <w:pPr>
              <w:jc w:val="right"/>
              <w:rPr>
                <w:rFonts w:ascii="Aptos" w:hAnsi="Aptos" w:cs="Arial"/>
              </w:rPr>
            </w:pPr>
            <w:r w:rsidRPr="001D2FCB">
              <w:rPr>
                <w:rFonts w:ascii="Aptos" w:hAnsi="Aptos" w:cs="Arial"/>
              </w:rPr>
              <w:t>0.2</w:t>
            </w:r>
            <w:r>
              <w:rPr>
                <w:rFonts w:ascii="Aptos" w:hAnsi="Aptos" w:cs="Arial"/>
              </w:rPr>
              <w:t>4</w:t>
            </w:r>
          </w:p>
        </w:tc>
        <w:tc>
          <w:tcPr>
            <w:tcW w:w="911" w:type="dxa"/>
          </w:tcPr>
          <w:p w14:paraId="674BB564" w14:textId="77777777" w:rsidR="0049452A" w:rsidRPr="001D2FCB" w:rsidRDefault="0049452A" w:rsidP="00240D53">
            <w:pPr>
              <w:jc w:val="right"/>
              <w:rPr>
                <w:rFonts w:ascii="Aptos" w:hAnsi="Aptos" w:cs="Arial"/>
              </w:rPr>
            </w:pPr>
            <w:r w:rsidRPr="001D2FCB">
              <w:rPr>
                <w:rFonts w:ascii="Aptos" w:hAnsi="Aptos" w:cs="Arial"/>
              </w:rPr>
              <w:t>0.653</w:t>
            </w:r>
          </w:p>
        </w:tc>
        <w:tc>
          <w:tcPr>
            <w:tcW w:w="896" w:type="dxa"/>
          </w:tcPr>
          <w:p w14:paraId="5E7AAB3F" w14:textId="77777777" w:rsidR="0049452A" w:rsidRPr="001D2FCB" w:rsidRDefault="0049452A" w:rsidP="00240D53">
            <w:pPr>
              <w:jc w:val="right"/>
              <w:rPr>
                <w:rFonts w:ascii="Aptos" w:hAnsi="Aptos" w:cs="Arial"/>
              </w:rPr>
            </w:pPr>
            <w:r w:rsidRPr="001D2FCB">
              <w:rPr>
                <w:rFonts w:ascii="Aptos" w:hAnsi="Aptos" w:cs="Arial"/>
              </w:rPr>
              <w:t>0.</w:t>
            </w:r>
            <w:r>
              <w:rPr>
                <w:rFonts w:ascii="Aptos" w:hAnsi="Aptos" w:cs="Arial"/>
              </w:rPr>
              <w:t>46</w:t>
            </w:r>
          </w:p>
        </w:tc>
        <w:tc>
          <w:tcPr>
            <w:tcW w:w="911" w:type="dxa"/>
          </w:tcPr>
          <w:p w14:paraId="23087BA3" w14:textId="77777777" w:rsidR="0049452A" w:rsidRPr="001D2FCB" w:rsidRDefault="0049452A" w:rsidP="00240D53">
            <w:pPr>
              <w:jc w:val="right"/>
              <w:rPr>
                <w:rFonts w:ascii="Aptos" w:hAnsi="Aptos" w:cs="Arial"/>
              </w:rPr>
            </w:pPr>
            <w:r w:rsidRPr="001D2FCB">
              <w:rPr>
                <w:rFonts w:ascii="Aptos" w:hAnsi="Aptos" w:cs="Arial"/>
              </w:rPr>
              <w:t>0.536</w:t>
            </w:r>
          </w:p>
        </w:tc>
        <w:tc>
          <w:tcPr>
            <w:tcW w:w="932" w:type="dxa"/>
          </w:tcPr>
          <w:p w14:paraId="177BD756" w14:textId="77777777" w:rsidR="0049452A" w:rsidRPr="001D2FCB" w:rsidRDefault="0049452A" w:rsidP="00240D53">
            <w:pPr>
              <w:jc w:val="right"/>
              <w:rPr>
                <w:rFonts w:ascii="Aptos" w:hAnsi="Aptos" w:cs="Arial"/>
              </w:rPr>
            </w:pPr>
            <w:r w:rsidRPr="001D2FCB">
              <w:rPr>
                <w:rFonts w:ascii="Aptos" w:hAnsi="Aptos" w:cs="Arial"/>
              </w:rPr>
              <w:t>18.6</w:t>
            </w:r>
          </w:p>
        </w:tc>
        <w:tc>
          <w:tcPr>
            <w:tcW w:w="932" w:type="dxa"/>
          </w:tcPr>
          <w:p w14:paraId="0500BDC9" w14:textId="77777777" w:rsidR="0049452A" w:rsidRPr="001D2FCB" w:rsidRDefault="0049452A" w:rsidP="00240D53">
            <w:pPr>
              <w:jc w:val="right"/>
              <w:rPr>
                <w:rFonts w:ascii="Aptos" w:hAnsi="Aptos" w:cs="Arial"/>
              </w:rPr>
            </w:pPr>
            <w:r w:rsidRPr="001D2FCB">
              <w:rPr>
                <w:rFonts w:ascii="Aptos" w:hAnsi="Aptos" w:cs="Arial"/>
              </w:rPr>
              <w:t>&lt;0.001</w:t>
            </w:r>
          </w:p>
        </w:tc>
        <w:tc>
          <w:tcPr>
            <w:tcW w:w="890" w:type="dxa"/>
          </w:tcPr>
          <w:p w14:paraId="087D7CB3" w14:textId="77777777" w:rsidR="0049452A" w:rsidRPr="001D2FCB" w:rsidRDefault="0049452A" w:rsidP="00240D53">
            <w:pPr>
              <w:jc w:val="right"/>
              <w:rPr>
                <w:rFonts w:ascii="Aptos" w:hAnsi="Aptos" w:cs="Arial"/>
              </w:rPr>
            </w:pPr>
            <w:r w:rsidRPr="001D2FCB">
              <w:rPr>
                <w:rFonts w:ascii="Aptos" w:hAnsi="Aptos" w:cs="Arial"/>
              </w:rPr>
              <w:t>0.02</w:t>
            </w:r>
          </w:p>
        </w:tc>
        <w:tc>
          <w:tcPr>
            <w:tcW w:w="911" w:type="dxa"/>
          </w:tcPr>
          <w:p w14:paraId="512586BD" w14:textId="77777777" w:rsidR="0049452A" w:rsidRPr="001D2FCB" w:rsidRDefault="0049452A" w:rsidP="00240D53">
            <w:pPr>
              <w:jc w:val="right"/>
              <w:rPr>
                <w:rFonts w:ascii="Aptos" w:hAnsi="Aptos" w:cs="Arial"/>
              </w:rPr>
            </w:pPr>
            <w:r w:rsidRPr="001D2FCB">
              <w:rPr>
                <w:rFonts w:ascii="Aptos" w:hAnsi="Aptos" w:cs="Arial"/>
              </w:rPr>
              <w:t>0.883</w:t>
            </w:r>
          </w:p>
        </w:tc>
        <w:tc>
          <w:tcPr>
            <w:tcW w:w="911" w:type="dxa"/>
          </w:tcPr>
          <w:p w14:paraId="27AEE4D7" w14:textId="77777777" w:rsidR="0049452A" w:rsidRPr="001D2FCB" w:rsidRDefault="0049452A" w:rsidP="00240D53">
            <w:pPr>
              <w:jc w:val="right"/>
              <w:rPr>
                <w:rFonts w:ascii="Aptos" w:hAnsi="Aptos" w:cs="Arial"/>
              </w:rPr>
            </w:pPr>
            <w:r w:rsidRPr="001D2FCB">
              <w:rPr>
                <w:rFonts w:ascii="Aptos" w:hAnsi="Aptos" w:cs="Arial"/>
              </w:rPr>
              <w:t>2.5</w:t>
            </w:r>
            <w:r>
              <w:rPr>
                <w:rFonts w:ascii="Aptos" w:hAnsi="Aptos" w:cs="Arial"/>
              </w:rPr>
              <w:t>3</w:t>
            </w:r>
          </w:p>
        </w:tc>
        <w:tc>
          <w:tcPr>
            <w:tcW w:w="932" w:type="dxa"/>
          </w:tcPr>
          <w:p w14:paraId="7B8DE052" w14:textId="77777777" w:rsidR="0049452A" w:rsidRPr="001D2FCB" w:rsidRDefault="0049452A" w:rsidP="00240D53">
            <w:pPr>
              <w:jc w:val="right"/>
              <w:rPr>
                <w:rFonts w:ascii="Aptos" w:hAnsi="Aptos" w:cs="Arial"/>
              </w:rPr>
            </w:pPr>
            <w:r w:rsidRPr="001D2FCB">
              <w:rPr>
                <w:rFonts w:ascii="Aptos" w:hAnsi="Aptos" w:cs="Arial"/>
              </w:rPr>
              <w:t>0.116</w:t>
            </w:r>
          </w:p>
        </w:tc>
        <w:tc>
          <w:tcPr>
            <w:tcW w:w="890" w:type="dxa"/>
          </w:tcPr>
          <w:p w14:paraId="0CE3B04A" w14:textId="77777777" w:rsidR="0049452A" w:rsidRPr="001D2FCB" w:rsidRDefault="0049452A" w:rsidP="00240D53">
            <w:pPr>
              <w:jc w:val="right"/>
              <w:rPr>
                <w:rFonts w:ascii="Aptos" w:hAnsi="Aptos" w:cs="Arial"/>
              </w:rPr>
            </w:pPr>
            <w:r w:rsidRPr="001D2FCB">
              <w:rPr>
                <w:rFonts w:ascii="Aptos" w:hAnsi="Aptos" w:cs="Arial"/>
              </w:rPr>
              <w:t>0.05</w:t>
            </w:r>
          </w:p>
        </w:tc>
        <w:tc>
          <w:tcPr>
            <w:tcW w:w="932" w:type="dxa"/>
          </w:tcPr>
          <w:p w14:paraId="15EEBC29" w14:textId="77777777" w:rsidR="0049452A" w:rsidRPr="001D2FCB" w:rsidRDefault="0049452A" w:rsidP="00240D53">
            <w:pPr>
              <w:jc w:val="right"/>
              <w:rPr>
                <w:rFonts w:ascii="Aptos" w:hAnsi="Aptos" w:cs="Arial"/>
              </w:rPr>
            </w:pPr>
            <w:r>
              <w:rPr>
                <w:rFonts w:ascii="Aptos" w:hAnsi="Aptos" w:cs="Arial"/>
              </w:rPr>
              <w:t>0.822</w:t>
            </w:r>
          </w:p>
        </w:tc>
        <w:tc>
          <w:tcPr>
            <w:tcW w:w="890" w:type="dxa"/>
          </w:tcPr>
          <w:p w14:paraId="02B529FE" w14:textId="77777777" w:rsidR="0049452A" w:rsidRPr="001D2FCB" w:rsidRDefault="0049452A" w:rsidP="00240D53">
            <w:pPr>
              <w:jc w:val="right"/>
              <w:rPr>
                <w:rFonts w:ascii="Aptos" w:hAnsi="Aptos" w:cs="Arial"/>
              </w:rPr>
            </w:pPr>
            <w:r>
              <w:rPr>
                <w:rFonts w:ascii="Aptos" w:hAnsi="Aptos" w:cs="Arial"/>
              </w:rPr>
              <w:t>8.53</w:t>
            </w:r>
          </w:p>
        </w:tc>
        <w:tc>
          <w:tcPr>
            <w:tcW w:w="1265" w:type="dxa"/>
          </w:tcPr>
          <w:p w14:paraId="7B18B87B" w14:textId="77777777" w:rsidR="0049452A" w:rsidRPr="001D2FCB" w:rsidRDefault="0049452A" w:rsidP="00240D53">
            <w:pPr>
              <w:jc w:val="right"/>
              <w:rPr>
                <w:rFonts w:ascii="Aptos" w:hAnsi="Aptos" w:cs="Arial"/>
              </w:rPr>
            </w:pPr>
            <w:r w:rsidRPr="001D2FCB">
              <w:rPr>
                <w:rFonts w:ascii="Aptos" w:hAnsi="Aptos" w:cs="Arial"/>
              </w:rPr>
              <w:t>0.005</w:t>
            </w:r>
          </w:p>
        </w:tc>
      </w:tr>
    </w:tbl>
    <w:p w14:paraId="4DC9BFBE" w14:textId="0AED7665" w:rsidR="0049452A" w:rsidRPr="001D2FCB" w:rsidRDefault="0049452A" w:rsidP="0049452A">
      <w:pPr>
        <w:spacing w:after="240" w:line="360" w:lineRule="auto"/>
        <w:rPr>
          <w:rFonts w:ascii="Aptos" w:hAnsi="Aptos" w:cs="Arial"/>
          <w:sz w:val="20"/>
          <w:szCs w:val="20"/>
        </w:rPr>
        <w:sectPr w:rsidR="0049452A" w:rsidRPr="001D2FCB" w:rsidSect="0049452A">
          <w:pgSz w:w="16838" w:h="11906" w:orient="landscape"/>
          <w:pgMar w:top="1440" w:right="1440" w:bottom="1559" w:left="1440" w:header="709" w:footer="709" w:gutter="0"/>
          <w:lnNumType w:countBy="1" w:restart="continuous"/>
          <w:cols w:space="708"/>
          <w:docGrid w:linePitch="360"/>
        </w:sectPr>
      </w:pPr>
      <w:r w:rsidRPr="001D2FCB">
        <w:rPr>
          <w:rFonts w:ascii="Aptos" w:hAnsi="Aptos" w:cs="Arial"/>
          <w:vertAlign w:val="superscript"/>
        </w:rPr>
        <w:t>1</w:t>
      </w:r>
      <w:r w:rsidRPr="001D2FCB">
        <w:rPr>
          <w:rFonts w:ascii="Aptos" w:hAnsi="Aptos" w:cs="Arial"/>
          <w:sz w:val="20"/>
          <w:szCs w:val="20"/>
        </w:rPr>
        <w:t>TC: total carbon; TN: total nitrogen; TP: total phosphor</w:t>
      </w:r>
      <w:r>
        <w:rPr>
          <w:rFonts w:ascii="Aptos" w:hAnsi="Aptos" w:cs="Arial"/>
          <w:sz w:val="20"/>
          <w:szCs w:val="20"/>
        </w:rPr>
        <w:t>u</w:t>
      </w:r>
      <w:r w:rsidR="00A33E30">
        <w:rPr>
          <w:rFonts w:ascii="Aptos" w:hAnsi="Aptos" w:cs="Arial"/>
          <w:sz w:val="20"/>
          <w:szCs w:val="20"/>
        </w:rPr>
        <w:t>s.</w:t>
      </w:r>
    </w:p>
    <w:p w14:paraId="1867F245" w14:textId="2811715B" w:rsidR="005B7FA1" w:rsidRDefault="005B7FA1" w:rsidP="009A3B2F">
      <w:pPr>
        <w:spacing w:after="240" w:line="360" w:lineRule="auto"/>
        <w:jc w:val="both"/>
        <w:rPr>
          <w:noProof/>
        </w:rPr>
      </w:pPr>
    </w:p>
    <w:p w14:paraId="4C7889AF" w14:textId="7DAA308E" w:rsidR="003B14FB" w:rsidRDefault="003B14FB" w:rsidP="00580C11">
      <w:pPr>
        <w:spacing w:after="0"/>
        <w:rPr>
          <w:rFonts w:ascii="Aptos" w:hAnsi="Aptos" w:cs="Arial"/>
          <w:sz w:val="24"/>
          <w:szCs w:val="24"/>
        </w:rPr>
      </w:pPr>
    </w:p>
    <w:p w14:paraId="1532C37F" w14:textId="4285C532" w:rsidR="00D54D98" w:rsidRDefault="003B14FB" w:rsidP="00580C11">
      <w:pPr>
        <w:spacing w:after="0"/>
        <w:rPr>
          <w:rFonts w:ascii="Aptos" w:hAnsi="Aptos" w:cs="Arial"/>
          <w:sz w:val="24"/>
          <w:szCs w:val="24"/>
        </w:rPr>
      </w:pPr>
      <w:r>
        <w:rPr>
          <w:noProof/>
        </w:rPr>
        <w:drawing>
          <wp:inline distT="0" distB="0" distL="0" distR="0" wp14:anchorId="20EAE2C9" wp14:editId="0389A0FD">
            <wp:extent cx="5560722" cy="4114184"/>
            <wp:effectExtent l="0" t="0" r="1905" b="635"/>
            <wp:docPr id="11654869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6903" name=""/>
                    <pic:cNvPicPr/>
                  </pic:nvPicPr>
                  <pic:blipFill rotWithShape="1">
                    <a:blip r:embed="rId9">
                      <a:extLst>
                        <a:ext uri="{96DAC541-7B7A-43D3-8B79-37D633B846F1}">
                          <asvg:svgBlip xmlns:asvg="http://schemas.microsoft.com/office/drawing/2016/SVG/main" r:embed="rId10"/>
                        </a:ext>
                      </a:extLst>
                    </a:blip>
                    <a:srcRect l="1689" t="1309" r="23275"/>
                    <a:stretch/>
                  </pic:blipFill>
                  <pic:spPr bwMode="auto">
                    <a:xfrm>
                      <a:off x="0" y="0"/>
                      <a:ext cx="5575543" cy="4125149"/>
                    </a:xfrm>
                    <a:prstGeom prst="rect">
                      <a:avLst/>
                    </a:prstGeom>
                    <a:ln>
                      <a:noFill/>
                    </a:ln>
                    <a:extLst>
                      <a:ext uri="{53640926-AAD7-44D8-BBD7-CCE9431645EC}">
                        <a14:shadowObscured xmlns:a14="http://schemas.microsoft.com/office/drawing/2010/main"/>
                      </a:ext>
                    </a:extLst>
                  </pic:spPr>
                </pic:pic>
              </a:graphicData>
            </a:graphic>
          </wp:inline>
        </w:drawing>
      </w:r>
    </w:p>
    <w:p w14:paraId="07BD3CBE" w14:textId="46544003" w:rsidR="009A3B2F" w:rsidRPr="00C91226" w:rsidRDefault="009A3B2F" w:rsidP="00C91226">
      <w:pPr>
        <w:spacing w:after="240" w:line="360" w:lineRule="auto"/>
        <w:jc w:val="both"/>
        <w:rPr>
          <w:rFonts w:ascii="Aptos" w:hAnsi="Aptos" w:cs="Arial"/>
          <w:sz w:val="24"/>
          <w:szCs w:val="24"/>
        </w:rPr>
      </w:pPr>
      <w:r w:rsidRPr="001D2FCB">
        <w:rPr>
          <w:rFonts w:ascii="Aptos" w:hAnsi="Aptos" w:cs="Arial"/>
          <w:sz w:val="20"/>
          <w:szCs w:val="20"/>
        </w:rPr>
        <w:t>Figure 1. Box plots with the interaction between drainage system (drained</w:t>
      </w:r>
      <w:r w:rsidRPr="001D2FCB">
        <w:rPr>
          <w:rFonts w:ascii="Aptos" w:hAnsi="Aptos" w:cs="Arial"/>
          <w:b/>
          <w:bCs/>
          <w:sz w:val="20"/>
          <w:szCs w:val="20"/>
        </w:rPr>
        <w:t xml:space="preserve"> </w:t>
      </w:r>
      <w:r w:rsidRPr="001D2FCB">
        <w:rPr>
          <w:rFonts w:ascii="Aptos" w:hAnsi="Aptos" w:cs="Arial"/>
          <w:sz w:val="20"/>
          <w:szCs w:val="20"/>
        </w:rPr>
        <w:t>and undrained), years of no-tillage (5YNT and 30YNT), and soil depths (0-10 cm and 10-30 cm) for total carbon</w:t>
      </w:r>
      <w:r w:rsidRPr="001D2FCB">
        <w:rPr>
          <w:rFonts w:ascii="Aptos" w:hAnsi="Aptos" w:cs="Arial"/>
          <w:b/>
          <w:bCs/>
          <w:sz w:val="20"/>
          <w:szCs w:val="20"/>
        </w:rPr>
        <w:t xml:space="preserve"> </w:t>
      </w:r>
      <w:r w:rsidRPr="001D2FCB">
        <w:rPr>
          <w:rFonts w:ascii="Aptos" w:hAnsi="Aptos" w:cs="Arial"/>
          <w:sz w:val="20"/>
          <w:szCs w:val="20"/>
        </w:rPr>
        <w:t xml:space="preserve">(a) and total nitrogen (b), </w:t>
      </w:r>
      <w:r>
        <w:rPr>
          <w:rFonts w:ascii="Aptos" w:hAnsi="Aptos" w:cs="Arial"/>
          <w:sz w:val="20"/>
          <w:szCs w:val="20"/>
        </w:rPr>
        <w:t>total phosphorus (c) concentrations, and pH (d).</w:t>
      </w:r>
      <w:r w:rsidRPr="001D2FCB">
        <w:rPr>
          <w:rFonts w:ascii="Aptos" w:hAnsi="Aptos" w:cs="Arial"/>
          <w:sz w:val="20"/>
          <w:szCs w:val="20"/>
        </w:rPr>
        <w:t xml:space="preserve"> Error bars represent upper and lower percentiles. Plots with different letters differ significantly</w:t>
      </w:r>
      <w:r w:rsidR="00C2481D">
        <w:rPr>
          <w:rFonts w:ascii="Aptos" w:hAnsi="Aptos" w:cs="Arial"/>
          <w:sz w:val="20"/>
          <w:szCs w:val="20"/>
        </w:rPr>
        <w:t xml:space="preserve">. </w:t>
      </w:r>
      <w:r w:rsidR="00C2481D" w:rsidRPr="00C2481D">
        <w:rPr>
          <w:rFonts w:ascii="Aptos" w:hAnsi="Aptos" w:cs="Arial"/>
          <w:sz w:val="20"/>
          <w:szCs w:val="20"/>
        </w:rPr>
        <w:t xml:space="preserve">Each boxplot represents </w:t>
      </w:r>
      <w:r w:rsidR="00C2481D" w:rsidRPr="00C2481D">
        <w:rPr>
          <w:rFonts w:ascii="Aptos" w:hAnsi="Aptos" w:cs="Arial"/>
          <w:i/>
          <w:iCs/>
          <w:sz w:val="20"/>
          <w:szCs w:val="20"/>
        </w:rPr>
        <w:t>n</w:t>
      </w:r>
      <w:r w:rsidR="00C2481D" w:rsidRPr="00C2481D">
        <w:rPr>
          <w:rFonts w:ascii="Aptos" w:hAnsi="Aptos" w:cs="Arial"/>
          <w:sz w:val="20"/>
          <w:szCs w:val="20"/>
        </w:rPr>
        <w:t xml:space="preserve"> = 20 samples per treatment combination</w:t>
      </w:r>
      <w:r w:rsidR="00C2481D">
        <w:rPr>
          <w:rFonts w:ascii="Aptos" w:hAnsi="Aptos" w:cs="Arial"/>
          <w:sz w:val="20"/>
          <w:szCs w:val="20"/>
        </w:rPr>
        <w:t>.</w:t>
      </w:r>
    </w:p>
    <w:p w14:paraId="01CFEE17" w14:textId="77777777" w:rsidR="009A3B2F" w:rsidRPr="001D2FCB" w:rsidRDefault="009A3B2F" w:rsidP="009A3B2F">
      <w:pPr>
        <w:spacing w:after="0" w:line="360" w:lineRule="auto"/>
        <w:rPr>
          <w:rFonts w:ascii="Aptos" w:hAnsi="Aptos"/>
          <w:b/>
          <w:bCs/>
          <w:sz w:val="24"/>
          <w:szCs w:val="24"/>
        </w:rPr>
      </w:pPr>
      <w:r w:rsidRPr="001D2FCB">
        <w:rPr>
          <w:rFonts w:ascii="Aptos" w:hAnsi="Aptos"/>
          <w:b/>
          <w:bCs/>
          <w:sz w:val="24"/>
          <w:szCs w:val="24"/>
        </w:rPr>
        <w:t>DISCUSSION</w:t>
      </w:r>
    </w:p>
    <w:p w14:paraId="20ED8A26" w14:textId="77777777" w:rsidR="009A3B2F" w:rsidRPr="001D2FCB" w:rsidRDefault="009A3B2F" w:rsidP="009A3B2F">
      <w:pPr>
        <w:autoSpaceDE w:val="0"/>
        <w:autoSpaceDN w:val="0"/>
        <w:adjustRightInd w:val="0"/>
        <w:spacing w:after="240" w:line="360" w:lineRule="auto"/>
        <w:jc w:val="both"/>
        <w:rPr>
          <w:rFonts w:ascii="Aptos" w:hAnsi="Aptos" w:cs="Arial"/>
          <w:color w:val="040C28"/>
          <w:sz w:val="24"/>
          <w:szCs w:val="24"/>
        </w:rPr>
      </w:pPr>
      <w:r w:rsidRPr="001D2FCB">
        <w:rPr>
          <w:rFonts w:ascii="Aptos" w:hAnsi="Aptos"/>
          <w:sz w:val="24"/>
          <w:szCs w:val="24"/>
        </w:rPr>
        <w:t xml:space="preserve">This study examined the impact of various YNT, DS, and soil depth combinations on the chemical composition of soil in a temperate grassland in southwest England. Increased soil TC, TN, and TP </w:t>
      </w:r>
      <w:r>
        <w:rPr>
          <w:rFonts w:ascii="Aptos" w:hAnsi="Aptos"/>
          <w:sz w:val="24"/>
          <w:szCs w:val="24"/>
        </w:rPr>
        <w:t>levels could</w:t>
      </w:r>
      <w:r w:rsidRPr="001D2FCB">
        <w:rPr>
          <w:rFonts w:ascii="Aptos" w:hAnsi="Aptos"/>
          <w:sz w:val="24"/>
          <w:szCs w:val="24"/>
        </w:rPr>
        <w:t xml:space="preserve"> enhance soil physiochemical properties and boost grass yields. The findings show</w:t>
      </w:r>
      <w:r>
        <w:rPr>
          <w:rFonts w:ascii="Aptos" w:hAnsi="Aptos"/>
          <w:sz w:val="24"/>
          <w:szCs w:val="24"/>
        </w:rPr>
        <w:t>ed that combining</w:t>
      </w:r>
      <w:r w:rsidRPr="001D2FCB">
        <w:rPr>
          <w:rFonts w:ascii="Aptos" w:hAnsi="Aptos"/>
          <w:sz w:val="24"/>
          <w:szCs w:val="24"/>
        </w:rPr>
        <w:t xml:space="preserve"> longer YNT </w:t>
      </w:r>
      <w:r>
        <w:rPr>
          <w:rFonts w:ascii="Aptos" w:hAnsi="Aptos"/>
          <w:sz w:val="24"/>
          <w:szCs w:val="24"/>
        </w:rPr>
        <w:t xml:space="preserve">and undrained soil conditions </w:t>
      </w:r>
      <w:r w:rsidRPr="001D2FCB">
        <w:rPr>
          <w:rFonts w:ascii="Aptos" w:hAnsi="Aptos"/>
          <w:sz w:val="24"/>
          <w:szCs w:val="24"/>
        </w:rPr>
        <w:t xml:space="preserve">increased </w:t>
      </w:r>
      <w:r>
        <w:rPr>
          <w:rFonts w:ascii="Aptos" w:hAnsi="Aptos"/>
          <w:sz w:val="24"/>
          <w:szCs w:val="24"/>
        </w:rPr>
        <w:t>macronutrient</w:t>
      </w:r>
      <w:r w:rsidRPr="001D2FCB">
        <w:rPr>
          <w:rFonts w:ascii="Aptos" w:hAnsi="Aptos"/>
          <w:sz w:val="24"/>
          <w:szCs w:val="24"/>
        </w:rPr>
        <w:t xml:space="preserve"> </w:t>
      </w:r>
      <w:r>
        <w:rPr>
          <w:rFonts w:ascii="Aptos" w:hAnsi="Aptos"/>
          <w:sz w:val="24"/>
          <w:szCs w:val="24"/>
        </w:rPr>
        <w:t xml:space="preserve">(TC and TN) </w:t>
      </w:r>
      <w:r w:rsidRPr="001D2FCB">
        <w:rPr>
          <w:rFonts w:ascii="Aptos" w:hAnsi="Aptos"/>
          <w:sz w:val="24"/>
          <w:szCs w:val="24"/>
        </w:rPr>
        <w:t>concentrations</w:t>
      </w:r>
      <w:r>
        <w:rPr>
          <w:rFonts w:ascii="Aptos" w:hAnsi="Aptos"/>
          <w:sz w:val="24"/>
          <w:szCs w:val="24"/>
        </w:rPr>
        <w:t xml:space="preserve"> </w:t>
      </w:r>
      <w:r w:rsidRPr="001D2FCB">
        <w:rPr>
          <w:rFonts w:ascii="Aptos" w:hAnsi="Aptos"/>
          <w:sz w:val="24"/>
          <w:szCs w:val="24"/>
        </w:rPr>
        <w:t xml:space="preserve">in the </w:t>
      </w:r>
      <w:r>
        <w:rPr>
          <w:rFonts w:ascii="Aptos" w:hAnsi="Aptos"/>
          <w:sz w:val="24"/>
          <w:szCs w:val="24"/>
        </w:rPr>
        <w:t>soil's</w:t>
      </w:r>
      <w:r w:rsidRPr="001D2FCB">
        <w:rPr>
          <w:rFonts w:ascii="Aptos" w:hAnsi="Aptos"/>
          <w:sz w:val="24"/>
          <w:szCs w:val="24"/>
        </w:rPr>
        <w:t xml:space="preserve"> upper layer</w:t>
      </w:r>
      <w:r>
        <w:rPr>
          <w:rFonts w:ascii="Aptos" w:hAnsi="Aptos"/>
          <w:sz w:val="24"/>
          <w:szCs w:val="24"/>
        </w:rPr>
        <w:t xml:space="preserve"> (0 – 10 cm)</w:t>
      </w:r>
      <w:r w:rsidRPr="001D2FCB">
        <w:rPr>
          <w:rFonts w:ascii="Aptos" w:hAnsi="Aptos"/>
          <w:sz w:val="24"/>
          <w:szCs w:val="24"/>
        </w:rPr>
        <w:t xml:space="preserve">, </w:t>
      </w:r>
      <w:r>
        <w:rPr>
          <w:rFonts w:ascii="Aptos" w:hAnsi="Aptos"/>
          <w:sz w:val="24"/>
          <w:szCs w:val="24"/>
        </w:rPr>
        <w:t>which</w:t>
      </w:r>
      <w:r w:rsidRPr="001D2FCB">
        <w:rPr>
          <w:rFonts w:ascii="Aptos" w:hAnsi="Aptos"/>
          <w:sz w:val="24"/>
          <w:szCs w:val="24"/>
        </w:rPr>
        <w:t xml:space="preserve"> could offer long-term environmental benefits.</w:t>
      </w:r>
      <w:r>
        <w:rPr>
          <w:rFonts w:ascii="Aptos" w:hAnsi="Aptos"/>
          <w:sz w:val="24"/>
          <w:szCs w:val="24"/>
        </w:rPr>
        <w:t xml:space="preserve"> Soil TP concentration seemed to benefit from longer YNT at drained and undrained conditions.</w:t>
      </w:r>
      <w:r w:rsidRPr="001D2FCB">
        <w:rPr>
          <w:rFonts w:ascii="Aptos" w:hAnsi="Aptos"/>
          <w:sz w:val="24"/>
          <w:szCs w:val="24"/>
        </w:rPr>
        <w:t xml:space="preserve"> Conservation tillage reduces soil compaction and disturbance caused by mechanical farming tools, which can improve soil structure on farmland, increasing the accumulation of organic matter </w:t>
      </w:r>
      <w:r w:rsidRPr="001D2FCB">
        <w:rPr>
          <w:rFonts w:ascii="Aptos" w:hAnsi="Aptos"/>
          <w:sz w:val="24"/>
          <w:szCs w:val="24"/>
        </w:rPr>
        <w:lastRenderedPageBreak/>
        <w:t>and C in the soil (Lv et al., 2023)</w:t>
      </w:r>
      <w:r>
        <w:rPr>
          <w:rFonts w:ascii="Aptos" w:hAnsi="Aptos"/>
          <w:sz w:val="24"/>
          <w:szCs w:val="24"/>
        </w:rPr>
        <w:t xml:space="preserve">. These </w:t>
      </w:r>
      <w:r w:rsidRPr="001D2FCB">
        <w:rPr>
          <w:rFonts w:ascii="Aptos" w:hAnsi="Aptos"/>
          <w:sz w:val="24"/>
          <w:szCs w:val="24"/>
        </w:rPr>
        <w:t>benefits are potentially undone by a single reseeding event. Elias et al. (2023) proposed combining inversion tillage with reseeding herbal leys should be targeted at fields with low carbon saturation and fields with high existing stocks should be protected by extending no-tillage periods.</w:t>
      </w:r>
    </w:p>
    <w:p w14:paraId="53D9AA93" w14:textId="5351CBAF" w:rsidR="009A3B2F" w:rsidRPr="001D2FCB" w:rsidRDefault="009A3B2F" w:rsidP="009A3B2F">
      <w:pPr>
        <w:autoSpaceDE w:val="0"/>
        <w:autoSpaceDN w:val="0"/>
        <w:adjustRightInd w:val="0"/>
        <w:spacing w:after="240" w:line="360" w:lineRule="auto"/>
        <w:jc w:val="both"/>
        <w:rPr>
          <w:rFonts w:ascii="Aptos" w:hAnsi="Aptos"/>
          <w:sz w:val="24"/>
          <w:szCs w:val="24"/>
        </w:rPr>
      </w:pPr>
      <w:r>
        <w:rPr>
          <w:rFonts w:ascii="Aptos" w:hAnsi="Aptos"/>
          <w:sz w:val="24"/>
          <w:szCs w:val="24"/>
        </w:rPr>
        <w:t>Research on the interaction between tillage methods, DS, and soil depths regarding soil properties is scarce</w:t>
      </w:r>
      <w:r w:rsidR="00C42E61">
        <w:rPr>
          <w:rFonts w:ascii="Aptos" w:hAnsi="Aptos"/>
          <w:sz w:val="24"/>
          <w:szCs w:val="24"/>
        </w:rPr>
        <w:t xml:space="preserve"> in grassland systems at </w:t>
      </w:r>
      <w:r w:rsidR="00AC0F18">
        <w:rPr>
          <w:rFonts w:ascii="Aptos" w:hAnsi="Aptos"/>
          <w:sz w:val="24"/>
          <w:szCs w:val="24"/>
        </w:rPr>
        <w:t>large plot level</w:t>
      </w:r>
      <w:r>
        <w:rPr>
          <w:rFonts w:ascii="Aptos" w:hAnsi="Aptos"/>
          <w:sz w:val="24"/>
          <w:szCs w:val="24"/>
        </w:rPr>
        <w:t xml:space="preserve">. Most work </w:t>
      </w:r>
      <w:r w:rsidR="00090B60">
        <w:rPr>
          <w:rFonts w:ascii="Aptos" w:hAnsi="Aptos"/>
          <w:sz w:val="24"/>
          <w:szCs w:val="24"/>
        </w:rPr>
        <w:t xml:space="preserve">has </w:t>
      </w:r>
      <w:r>
        <w:rPr>
          <w:rFonts w:ascii="Aptos" w:hAnsi="Aptos"/>
          <w:sz w:val="24"/>
          <w:szCs w:val="24"/>
        </w:rPr>
        <w:t xml:space="preserve">focused on either tillage or drainage systems and a combination of other factors. </w:t>
      </w:r>
      <w:r w:rsidRPr="001D2FCB">
        <w:rPr>
          <w:rFonts w:ascii="Aptos" w:hAnsi="Aptos"/>
          <w:sz w:val="24"/>
          <w:szCs w:val="24"/>
        </w:rPr>
        <w:t>Previous findings showed higher soil TC and TN concentrations when tillage is reduced (Jakab et al., 2023; Lv et al., 2023;</w:t>
      </w:r>
      <w:r w:rsidRPr="001D2FCB">
        <w:rPr>
          <w:rFonts w:ascii="Aptos" w:hAnsi="Aptos" w:cs="Arial"/>
          <w:sz w:val="24"/>
          <w:szCs w:val="24"/>
        </w:rPr>
        <w:t xml:space="preserve"> </w:t>
      </w:r>
      <w:r w:rsidRPr="001D2FCB">
        <w:rPr>
          <w:rFonts w:ascii="Aptos" w:hAnsi="Aptos"/>
          <w:sz w:val="24"/>
          <w:szCs w:val="24"/>
        </w:rPr>
        <w:t>Ferreira et al., 2024) and higher soil TC and TN concentrations in the upper soil layers (</w:t>
      </w:r>
      <w:r w:rsidRPr="001D2FCB">
        <w:rPr>
          <w:rFonts w:ascii="Aptos" w:hAnsi="Aptos" w:cs="AdvOT569473da"/>
          <w:kern w:val="0"/>
          <w:sz w:val="24"/>
          <w:szCs w:val="24"/>
        </w:rPr>
        <w:t>Six et al., 2002)</w:t>
      </w:r>
      <w:r w:rsidRPr="001D2FCB">
        <w:rPr>
          <w:rFonts w:ascii="Aptos" w:hAnsi="Aptos"/>
          <w:sz w:val="24"/>
          <w:szCs w:val="24"/>
        </w:rPr>
        <w:t>, which is consistent with our results. Soils that have not been tilled are known to have higher surface crop residues, which can reduce evaporation and conserve soil moisture. This encourages slow biological degradation of organic C, promoting soil aggregation, improved temperature regulation, and increased total soil C stocks (</w:t>
      </w:r>
      <w:r w:rsidRPr="001D2FCB">
        <w:rPr>
          <w:rFonts w:ascii="Aptos" w:hAnsi="Aptos" w:cs="AdvOT8608a8d1"/>
          <w:kern w:val="0"/>
          <w:sz w:val="24"/>
          <w:szCs w:val="24"/>
        </w:rPr>
        <w:t>López-Bellido et al., 2019; Co</w:t>
      </w:r>
      <w:r>
        <w:rPr>
          <w:rFonts w:ascii="Aptos" w:hAnsi="Aptos" w:cs="AdvOT8608a8d1"/>
          <w:kern w:val="0"/>
          <w:sz w:val="24"/>
          <w:szCs w:val="24"/>
        </w:rPr>
        <w:t>o</w:t>
      </w:r>
      <w:r w:rsidRPr="001D2FCB">
        <w:rPr>
          <w:rFonts w:ascii="Aptos" w:hAnsi="Aptos" w:cs="AdvOT8608a8d1"/>
          <w:kern w:val="0"/>
          <w:sz w:val="24"/>
          <w:szCs w:val="24"/>
        </w:rPr>
        <w:t>per et al., 2021</w:t>
      </w:r>
      <w:r w:rsidRPr="001D2FCB">
        <w:rPr>
          <w:rFonts w:ascii="Aptos" w:hAnsi="Aptos"/>
          <w:sz w:val="24"/>
          <w:szCs w:val="24"/>
        </w:rPr>
        <w:t>). The reduced oxygen availability below the surface in NT systems also decreases decomposition rates, causing soil organic matter (OM) to be retained (Wershaw, 1993) as buried residues in tillage soils decompose at 3.4 times the rate of residues left on the soil surface (Beare et al., 1994). In contrast, soil tillage improves aeration, accelerating the decomposition of OM and mineralization of organic N into soluble forms, easily lost through leaching (</w:t>
      </w:r>
      <w:r w:rsidRPr="001D2FCB">
        <w:rPr>
          <w:rFonts w:ascii="Aptos" w:hAnsi="Aptos"/>
          <w:color w:val="000000" w:themeColor="text1"/>
        </w:rPr>
        <w:t>Vilakazi</w:t>
      </w:r>
      <w:r w:rsidRPr="001D2FCB">
        <w:rPr>
          <w:rFonts w:ascii="Aptos" w:hAnsi="Aptos"/>
          <w:sz w:val="24"/>
          <w:szCs w:val="24"/>
        </w:rPr>
        <w:t xml:space="preserve"> et al., 2022). Furthermore, </w:t>
      </w:r>
      <w:r w:rsidRPr="001D2FCB">
        <w:rPr>
          <w:rFonts w:ascii="Aptos" w:hAnsi="Aptos" w:cs="AdvOT569473da"/>
          <w:kern w:val="0"/>
          <w:sz w:val="24"/>
          <w:szCs w:val="24"/>
        </w:rPr>
        <w:t>conventional tillage breaks down soil aggregates, and the organic material held within them is mineralised by microbial organisms, eventually decreasing the soil C content (</w:t>
      </w:r>
      <w:r w:rsidRPr="001D2FCB">
        <w:rPr>
          <w:rFonts w:ascii="Aptos" w:hAnsi="Aptos" w:cs="AdvOTc022ae45.B"/>
          <w:kern w:val="0"/>
          <w:sz w:val="24"/>
          <w:szCs w:val="24"/>
        </w:rPr>
        <w:t>Cooper et al., 2021)</w:t>
      </w:r>
      <w:r w:rsidRPr="001D2FCB">
        <w:rPr>
          <w:rFonts w:ascii="Aptos" w:hAnsi="Aptos" w:cs="AdvOT569473da"/>
          <w:kern w:val="0"/>
          <w:sz w:val="24"/>
          <w:szCs w:val="24"/>
        </w:rPr>
        <w:t>.</w:t>
      </w:r>
      <w:r w:rsidRPr="001D2FCB">
        <w:rPr>
          <w:rFonts w:ascii="Aptos" w:hAnsi="Aptos"/>
          <w:sz w:val="24"/>
          <w:szCs w:val="24"/>
        </w:rPr>
        <w:t xml:space="preserve"> Undrained plots are known to have greater TC and TN due to the </w:t>
      </w:r>
      <w:r>
        <w:rPr>
          <w:rFonts w:ascii="Aptos" w:hAnsi="Aptos"/>
          <w:sz w:val="24"/>
          <w:szCs w:val="24"/>
        </w:rPr>
        <w:t>reduced</w:t>
      </w:r>
      <w:r w:rsidRPr="001D2FCB">
        <w:rPr>
          <w:rFonts w:ascii="Aptos" w:hAnsi="Aptos"/>
          <w:sz w:val="24"/>
          <w:szCs w:val="24"/>
        </w:rPr>
        <w:t xml:space="preserve"> decomposition rate of OM and their higher moisture contents (Harris et al., 2018), which is consistent with our findings as the undrained plots generally had higher soil TC and TN concentrations compared to the drained plots</w:t>
      </w:r>
      <w:r>
        <w:rPr>
          <w:rFonts w:ascii="Aptos" w:hAnsi="Aptos"/>
          <w:sz w:val="24"/>
          <w:szCs w:val="24"/>
        </w:rPr>
        <w:t xml:space="preserve"> at 0 – 10 cm depth</w:t>
      </w:r>
      <w:r w:rsidRPr="001D2FCB">
        <w:rPr>
          <w:rFonts w:ascii="Aptos" w:hAnsi="Aptos"/>
          <w:sz w:val="24"/>
          <w:szCs w:val="24"/>
        </w:rPr>
        <w:t>. The</w:t>
      </w:r>
      <w:r>
        <w:rPr>
          <w:rFonts w:ascii="Aptos" w:hAnsi="Aptos"/>
          <w:sz w:val="24"/>
          <w:szCs w:val="24"/>
        </w:rPr>
        <w:t xml:space="preserve"> lack of </w:t>
      </w:r>
      <w:r w:rsidRPr="001D2FCB">
        <w:rPr>
          <w:rFonts w:ascii="Aptos" w:hAnsi="Aptos"/>
          <w:sz w:val="24"/>
          <w:szCs w:val="24"/>
        </w:rPr>
        <w:t xml:space="preserve">differences between the treatments in </w:t>
      </w:r>
      <w:r>
        <w:rPr>
          <w:rFonts w:ascii="Aptos" w:hAnsi="Aptos"/>
          <w:sz w:val="24"/>
          <w:szCs w:val="24"/>
        </w:rPr>
        <w:t>TC</w:t>
      </w:r>
      <w:r w:rsidRPr="001D2FCB">
        <w:rPr>
          <w:rFonts w:ascii="Aptos" w:hAnsi="Aptos"/>
          <w:sz w:val="24"/>
          <w:szCs w:val="24"/>
        </w:rPr>
        <w:t xml:space="preserve"> at depth (10-30</w:t>
      </w:r>
      <w:r>
        <w:rPr>
          <w:rFonts w:ascii="Aptos" w:hAnsi="Aptos"/>
          <w:sz w:val="24"/>
          <w:szCs w:val="24"/>
        </w:rPr>
        <w:t xml:space="preserve"> </w:t>
      </w:r>
      <w:r w:rsidRPr="001D2FCB">
        <w:rPr>
          <w:rFonts w:ascii="Aptos" w:hAnsi="Aptos"/>
          <w:sz w:val="24"/>
          <w:szCs w:val="24"/>
        </w:rPr>
        <w:t>cm) indicat</w:t>
      </w:r>
      <w:r>
        <w:rPr>
          <w:rFonts w:ascii="Aptos" w:hAnsi="Aptos"/>
          <w:sz w:val="24"/>
          <w:szCs w:val="24"/>
        </w:rPr>
        <w:t>es</w:t>
      </w:r>
      <w:r w:rsidRPr="001D2FCB">
        <w:rPr>
          <w:rFonts w:ascii="Aptos" w:hAnsi="Aptos"/>
          <w:sz w:val="24"/>
          <w:szCs w:val="24"/>
        </w:rPr>
        <w:t xml:space="preserve"> that in the </w:t>
      </w:r>
      <w:r>
        <w:rPr>
          <w:rFonts w:ascii="Aptos" w:hAnsi="Aptos"/>
          <w:sz w:val="24"/>
          <w:szCs w:val="24"/>
        </w:rPr>
        <w:t>fine-textured</w:t>
      </w:r>
      <w:r w:rsidRPr="001D2FCB">
        <w:rPr>
          <w:rFonts w:ascii="Aptos" w:hAnsi="Aptos"/>
          <w:sz w:val="24"/>
          <w:szCs w:val="24"/>
        </w:rPr>
        <w:t xml:space="preserve"> soil at Rowden with high carbon saturation after many years of NT, the potential benefits of inversion tillage suggested by Elias et al</w:t>
      </w:r>
      <w:r>
        <w:rPr>
          <w:rFonts w:ascii="Aptos" w:hAnsi="Aptos"/>
          <w:sz w:val="24"/>
          <w:szCs w:val="24"/>
        </w:rPr>
        <w:t>.</w:t>
      </w:r>
      <w:r w:rsidRPr="001D2FCB">
        <w:rPr>
          <w:rFonts w:ascii="Aptos" w:hAnsi="Aptos"/>
          <w:sz w:val="24"/>
          <w:szCs w:val="24"/>
        </w:rPr>
        <w:t xml:space="preserve"> (2023) were not observed. </w:t>
      </w:r>
    </w:p>
    <w:p w14:paraId="6071A0EB" w14:textId="641A0246" w:rsidR="009A3B2F" w:rsidRPr="001D2FCB" w:rsidRDefault="009A3B2F" w:rsidP="009A3B2F">
      <w:pPr>
        <w:spacing w:after="240" w:line="360" w:lineRule="auto"/>
        <w:jc w:val="both"/>
        <w:rPr>
          <w:rFonts w:ascii="Aptos" w:hAnsi="Aptos"/>
          <w:sz w:val="24"/>
          <w:szCs w:val="24"/>
        </w:rPr>
      </w:pPr>
      <w:r w:rsidRPr="001D2FCB">
        <w:rPr>
          <w:rFonts w:ascii="Aptos" w:hAnsi="Aptos" w:cs="Arial"/>
          <w:sz w:val="24"/>
          <w:szCs w:val="24"/>
        </w:rPr>
        <w:t xml:space="preserve">Phosphorus is an essential element for plant growth and development, and its availability is affected by physical soil manipulation (Xiaozhu et al., 2016; Lv et al., </w:t>
      </w:r>
      <w:r w:rsidRPr="001D2FCB">
        <w:rPr>
          <w:rFonts w:ascii="Aptos" w:hAnsi="Aptos" w:cs="Arial"/>
          <w:sz w:val="24"/>
          <w:szCs w:val="24"/>
        </w:rPr>
        <w:lastRenderedPageBreak/>
        <w:t xml:space="preserve">2023). Higher concentrations of P in the upper soil layers in NT systems have been reported (Nze Memiaghe et al., 2022). It is important to note that </w:t>
      </w:r>
      <w:r w:rsidRPr="001D2FCB">
        <w:rPr>
          <w:rFonts w:ascii="Aptos" w:hAnsi="Aptos"/>
          <w:sz w:val="24"/>
          <w:szCs w:val="24"/>
        </w:rPr>
        <w:t xml:space="preserve">a slower decomposition of plant residues under NT may prevent the rapid mineralization of organic P and its translocation through the soil profile, due to the accumulation of plant residues on the soil surface, resulting in decreased aeration and increased soil moisture content. Furthermore, under tillage systems, organic P is rapidly </w:t>
      </w:r>
      <w:r>
        <w:rPr>
          <w:rFonts w:ascii="Aptos" w:hAnsi="Aptos"/>
          <w:sz w:val="24"/>
          <w:szCs w:val="24"/>
        </w:rPr>
        <w:t>mineralised</w:t>
      </w:r>
      <w:r w:rsidRPr="001D2FCB">
        <w:rPr>
          <w:rFonts w:ascii="Aptos" w:hAnsi="Aptos"/>
          <w:sz w:val="24"/>
          <w:szCs w:val="24"/>
        </w:rPr>
        <w:t xml:space="preserve">, </w:t>
      </w:r>
      <w:r>
        <w:rPr>
          <w:rFonts w:ascii="Aptos" w:hAnsi="Aptos"/>
          <w:sz w:val="24"/>
          <w:szCs w:val="24"/>
        </w:rPr>
        <w:t>providing</w:t>
      </w:r>
      <w:r w:rsidRPr="001D2FCB">
        <w:rPr>
          <w:rFonts w:ascii="Aptos" w:hAnsi="Aptos"/>
          <w:sz w:val="24"/>
          <w:szCs w:val="24"/>
        </w:rPr>
        <w:t xml:space="preserve"> </w:t>
      </w:r>
      <w:r>
        <w:rPr>
          <w:rFonts w:ascii="Aptos" w:hAnsi="Aptos"/>
          <w:sz w:val="24"/>
          <w:szCs w:val="24"/>
        </w:rPr>
        <w:t xml:space="preserve">P for </w:t>
      </w:r>
      <w:r w:rsidRPr="001D2FCB">
        <w:rPr>
          <w:rFonts w:ascii="Aptos" w:hAnsi="Aptos"/>
          <w:sz w:val="24"/>
          <w:szCs w:val="24"/>
        </w:rPr>
        <w:t>plant and microbial</w:t>
      </w:r>
      <w:r>
        <w:rPr>
          <w:rFonts w:ascii="Aptos" w:hAnsi="Aptos"/>
          <w:sz w:val="24"/>
          <w:szCs w:val="24"/>
        </w:rPr>
        <w:t xml:space="preserve"> </w:t>
      </w:r>
      <w:r w:rsidRPr="001D2FCB">
        <w:rPr>
          <w:rFonts w:ascii="Aptos" w:hAnsi="Aptos"/>
          <w:sz w:val="24"/>
          <w:szCs w:val="24"/>
        </w:rPr>
        <w:t>compared to conservation tillage (Vilakazi et al., 2022).</w:t>
      </w:r>
      <w:r w:rsidRPr="001D2FCB">
        <w:rPr>
          <w:rFonts w:ascii="Aptos" w:hAnsi="Aptos"/>
          <w:color w:val="1F1F1F"/>
        </w:rPr>
        <w:t xml:space="preserve">  </w:t>
      </w:r>
    </w:p>
    <w:p w14:paraId="02373735" w14:textId="77777777" w:rsidR="009A3B2F" w:rsidRPr="00F90457" w:rsidRDefault="009A3B2F" w:rsidP="009A3B2F">
      <w:pPr>
        <w:pStyle w:val="NormalWeb"/>
        <w:spacing w:line="360" w:lineRule="auto"/>
        <w:jc w:val="both"/>
        <w:rPr>
          <w:rFonts w:ascii="Aptos" w:hAnsi="Aptos"/>
        </w:rPr>
      </w:pPr>
      <w:r w:rsidRPr="00F90457">
        <w:rPr>
          <w:rFonts w:ascii="Aptos" w:hAnsi="Aptos"/>
        </w:rPr>
        <w:t xml:space="preserve">Reports indicate that no-tillage practices and undrained soil conditions can enhance </w:t>
      </w:r>
      <w:r>
        <w:rPr>
          <w:rFonts w:ascii="Aptos" w:hAnsi="Aptos"/>
        </w:rPr>
        <w:t>C</w:t>
      </w:r>
      <w:r w:rsidRPr="00F90457">
        <w:rPr>
          <w:rFonts w:ascii="Aptos" w:hAnsi="Aptos"/>
        </w:rPr>
        <w:t xml:space="preserve"> sequestration by minimizing </w:t>
      </w:r>
      <w:r>
        <w:rPr>
          <w:rFonts w:ascii="Aptos" w:hAnsi="Aptos"/>
        </w:rPr>
        <w:t>OM</w:t>
      </w:r>
      <w:r w:rsidRPr="00F90457">
        <w:rPr>
          <w:rFonts w:ascii="Aptos" w:hAnsi="Aptos"/>
        </w:rPr>
        <w:t xml:space="preserve"> breakdown and increasing </w:t>
      </w:r>
      <w:r>
        <w:rPr>
          <w:rFonts w:ascii="Aptos" w:hAnsi="Aptos"/>
        </w:rPr>
        <w:t>C</w:t>
      </w:r>
      <w:r w:rsidRPr="00F90457">
        <w:rPr>
          <w:rFonts w:ascii="Aptos" w:hAnsi="Aptos"/>
        </w:rPr>
        <w:t xml:space="preserve"> accumulation. Long-term </w:t>
      </w:r>
      <w:r>
        <w:rPr>
          <w:rFonts w:ascii="Aptos" w:hAnsi="Aptos"/>
        </w:rPr>
        <w:t>NT</w:t>
      </w:r>
      <w:r w:rsidRPr="00F90457">
        <w:rPr>
          <w:rFonts w:ascii="Aptos" w:hAnsi="Aptos"/>
        </w:rPr>
        <w:t xml:space="preserve"> management in undrained soils may effectively boost </w:t>
      </w:r>
      <w:r>
        <w:rPr>
          <w:rFonts w:ascii="Aptos" w:hAnsi="Aptos"/>
        </w:rPr>
        <w:t>TC</w:t>
      </w:r>
      <w:r w:rsidRPr="00F90457">
        <w:rPr>
          <w:rFonts w:ascii="Aptos" w:hAnsi="Aptos"/>
        </w:rPr>
        <w:t xml:space="preserve"> and </w:t>
      </w:r>
      <w:r>
        <w:rPr>
          <w:rFonts w:ascii="Aptos" w:hAnsi="Aptos"/>
        </w:rPr>
        <w:t>TN</w:t>
      </w:r>
      <w:r w:rsidRPr="00F90457">
        <w:rPr>
          <w:rFonts w:ascii="Aptos" w:hAnsi="Aptos"/>
        </w:rPr>
        <w:t xml:space="preserve"> concentrations in the upper soil layers as observed in our study, could help to mitigate greenhouse gas emissions and support climate change efforts. This approach is important to avoid the traditional 5-year tillage cycle</w:t>
      </w:r>
      <w:r>
        <w:rPr>
          <w:rFonts w:ascii="Aptos" w:hAnsi="Aptos"/>
        </w:rPr>
        <w:t xml:space="preserve"> </w:t>
      </w:r>
      <w:r w:rsidRPr="00F90457">
        <w:rPr>
          <w:rFonts w:ascii="Aptos" w:hAnsi="Aptos"/>
        </w:rPr>
        <w:t>stocks (Elias et al., 2023), especially in soils with significant chemical concentrations</w:t>
      </w:r>
      <w:r>
        <w:rPr>
          <w:rFonts w:ascii="Aptos" w:hAnsi="Aptos"/>
        </w:rPr>
        <w:t xml:space="preserve"> specifically targeting soil with low nutrient concentrations and stocks.</w:t>
      </w:r>
    </w:p>
    <w:p w14:paraId="1B4DABF2" w14:textId="0EBA02BA" w:rsidR="009A3B2F" w:rsidRDefault="009A3B2F" w:rsidP="009A3B2F">
      <w:pPr>
        <w:tabs>
          <w:tab w:val="left" w:pos="4253"/>
        </w:tabs>
        <w:spacing w:after="240" w:line="360" w:lineRule="auto"/>
        <w:jc w:val="both"/>
        <w:rPr>
          <w:rFonts w:ascii="Aptos" w:hAnsi="Aptos"/>
          <w:sz w:val="24"/>
          <w:szCs w:val="24"/>
        </w:rPr>
      </w:pPr>
      <w:r>
        <w:rPr>
          <w:rFonts w:ascii="Aptos" w:hAnsi="Aptos"/>
          <w:sz w:val="24"/>
          <w:szCs w:val="24"/>
        </w:rPr>
        <w:t>Data and reports</w:t>
      </w:r>
      <w:r w:rsidRPr="001D2FCB">
        <w:rPr>
          <w:rFonts w:ascii="Aptos" w:hAnsi="Aptos"/>
          <w:sz w:val="24"/>
          <w:szCs w:val="24"/>
        </w:rPr>
        <w:t xml:space="preserve"> on the impact of tillage systems on soil pH are highly variable, primarily due to variations in pedoclimatic conditions, cropping systems, and combined field operations at different experimental sites (Sadiq et al., 2021). In the UK, the recommended pH level for grassland soils is 6.0 (Defra, 2010; Goulding, 2016). </w:t>
      </w:r>
      <w:r>
        <w:rPr>
          <w:rFonts w:ascii="Aptos" w:hAnsi="Aptos"/>
          <w:sz w:val="24"/>
          <w:szCs w:val="24"/>
        </w:rPr>
        <w:t xml:space="preserve">Even though, all the treatments combinations from </w:t>
      </w:r>
      <w:r w:rsidR="0036075E">
        <w:rPr>
          <w:rFonts w:ascii="Aptos" w:hAnsi="Aptos"/>
          <w:sz w:val="24"/>
          <w:szCs w:val="24"/>
        </w:rPr>
        <w:t xml:space="preserve">the </w:t>
      </w:r>
      <w:r>
        <w:rPr>
          <w:rFonts w:ascii="Aptos" w:hAnsi="Aptos"/>
          <w:sz w:val="24"/>
          <w:szCs w:val="24"/>
        </w:rPr>
        <w:t xml:space="preserve">three-way interaction were almost statistically similar in </w:t>
      </w:r>
      <w:r w:rsidR="00A14A2D">
        <w:rPr>
          <w:rFonts w:ascii="Aptos" w:hAnsi="Aptos"/>
          <w:sz w:val="24"/>
          <w:szCs w:val="24"/>
        </w:rPr>
        <w:t xml:space="preserve">their </w:t>
      </w:r>
      <w:r>
        <w:rPr>
          <w:rFonts w:ascii="Aptos" w:hAnsi="Aptos"/>
          <w:sz w:val="24"/>
          <w:szCs w:val="24"/>
        </w:rPr>
        <w:t>values, drained 5YNT (5.95) and the undrained 30YNT (5.96)</w:t>
      </w:r>
      <w:r w:rsidRPr="001D2FCB">
        <w:rPr>
          <w:rFonts w:ascii="Aptos" w:hAnsi="Aptos"/>
          <w:sz w:val="24"/>
          <w:szCs w:val="24"/>
        </w:rPr>
        <w:t xml:space="preserve"> at 10</w:t>
      </w:r>
      <w:r>
        <w:rPr>
          <w:rFonts w:ascii="Aptos" w:hAnsi="Aptos"/>
          <w:sz w:val="24"/>
          <w:szCs w:val="24"/>
        </w:rPr>
        <w:t xml:space="preserve"> – 30</w:t>
      </w:r>
      <w:r w:rsidRPr="001D2FCB">
        <w:rPr>
          <w:rFonts w:ascii="Aptos" w:hAnsi="Aptos"/>
          <w:sz w:val="24"/>
          <w:szCs w:val="24"/>
        </w:rPr>
        <w:t>cm depth</w:t>
      </w:r>
      <w:r>
        <w:rPr>
          <w:rFonts w:ascii="Aptos" w:hAnsi="Aptos"/>
          <w:sz w:val="24"/>
          <w:szCs w:val="24"/>
        </w:rPr>
        <w:t xml:space="preserve"> </w:t>
      </w:r>
      <w:r w:rsidRPr="001D2FCB">
        <w:rPr>
          <w:rFonts w:ascii="Aptos" w:hAnsi="Aptos"/>
          <w:sz w:val="24"/>
          <w:szCs w:val="24"/>
        </w:rPr>
        <w:t xml:space="preserve">exhibited the </w:t>
      </w:r>
      <w:r>
        <w:rPr>
          <w:rFonts w:ascii="Aptos" w:hAnsi="Aptos"/>
          <w:sz w:val="24"/>
          <w:szCs w:val="24"/>
        </w:rPr>
        <w:t xml:space="preserve">closest </w:t>
      </w:r>
      <w:r w:rsidRPr="001D2FCB">
        <w:rPr>
          <w:rFonts w:ascii="Aptos" w:hAnsi="Aptos"/>
          <w:sz w:val="24"/>
          <w:szCs w:val="24"/>
        </w:rPr>
        <w:t xml:space="preserve">pH levels </w:t>
      </w:r>
      <w:r>
        <w:rPr>
          <w:rFonts w:ascii="Aptos" w:hAnsi="Aptos"/>
          <w:sz w:val="24"/>
          <w:szCs w:val="24"/>
        </w:rPr>
        <w:t>to the recommended value</w:t>
      </w:r>
      <w:r w:rsidRPr="001D2FCB">
        <w:rPr>
          <w:rFonts w:ascii="Aptos" w:hAnsi="Aptos"/>
          <w:sz w:val="24"/>
          <w:szCs w:val="24"/>
        </w:rPr>
        <w:t>. This could potentially reduce the costs associated with liming to achieve the optimal pH targets for sustainable grassland, especially for legumes and herbal leys pastures</w:t>
      </w:r>
      <w:r>
        <w:rPr>
          <w:rFonts w:ascii="Aptos" w:hAnsi="Aptos"/>
          <w:sz w:val="24"/>
          <w:szCs w:val="24"/>
        </w:rPr>
        <w:t xml:space="preserve"> in such practices.</w:t>
      </w:r>
    </w:p>
    <w:p w14:paraId="0DCA2588" w14:textId="77777777" w:rsidR="009A3B2F" w:rsidRPr="001D2FCB" w:rsidRDefault="009A3B2F" w:rsidP="009A3B2F">
      <w:pPr>
        <w:tabs>
          <w:tab w:val="left" w:pos="4253"/>
        </w:tabs>
        <w:spacing w:after="0" w:line="360" w:lineRule="auto"/>
        <w:jc w:val="both"/>
        <w:rPr>
          <w:rFonts w:ascii="Aptos" w:hAnsi="Aptos"/>
          <w:b/>
          <w:bCs/>
          <w:sz w:val="24"/>
          <w:szCs w:val="24"/>
        </w:rPr>
      </w:pPr>
      <w:r w:rsidRPr="001D2FCB">
        <w:rPr>
          <w:rFonts w:ascii="Aptos" w:hAnsi="Aptos"/>
          <w:b/>
          <w:bCs/>
          <w:sz w:val="24"/>
          <w:szCs w:val="24"/>
        </w:rPr>
        <w:t xml:space="preserve">Conclusion </w:t>
      </w:r>
    </w:p>
    <w:p w14:paraId="1F0E88E2" w14:textId="77777777" w:rsidR="009A3B2F" w:rsidRPr="001D2FCB" w:rsidRDefault="009A3B2F" w:rsidP="009A3B2F">
      <w:pPr>
        <w:spacing w:after="240" w:line="360" w:lineRule="auto"/>
        <w:jc w:val="both"/>
        <w:rPr>
          <w:rFonts w:ascii="Aptos" w:hAnsi="Aptos" w:cs="Arial"/>
          <w:sz w:val="24"/>
          <w:szCs w:val="24"/>
        </w:rPr>
      </w:pPr>
      <w:r w:rsidRPr="001D2FCB">
        <w:rPr>
          <w:rFonts w:ascii="Aptos" w:hAnsi="Aptos"/>
          <w:sz w:val="24"/>
          <w:szCs w:val="24"/>
        </w:rPr>
        <w:t xml:space="preserve">This study aimed to evaluate the effects of YNT, DS, and depths on the concentrations of TC, TN, and TP in soils, as well as the soil pH, in intensively managed grasslands in southwest England. The study found that long-term no-till farming </w:t>
      </w:r>
      <w:r>
        <w:rPr>
          <w:rFonts w:ascii="Aptos" w:hAnsi="Aptos"/>
          <w:sz w:val="24"/>
          <w:szCs w:val="24"/>
        </w:rPr>
        <w:t xml:space="preserve">in undrained soil conditions </w:t>
      </w:r>
      <w:r w:rsidRPr="001D2FCB">
        <w:rPr>
          <w:rFonts w:ascii="Aptos" w:hAnsi="Aptos"/>
          <w:sz w:val="24"/>
          <w:szCs w:val="24"/>
        </w:rPr>
        <w:t>c</w:t>
      </w:r>
      <w:r>
        <w:rPr>
          <w:rFonts w:ascii="Aptos" w:hAnsi="Aptos"/>
          <w:sz w:val="24"/>
          <w:szCs w:val="24"/>
        </w:rPr>
        <w:t>ould</w:t>
      </w:r>
      <w:r w:rsidRPr="001D2FCB">
        <w:rPr>
          <w:rFonts w:ascii="Aptos" w:hAnsi="Aptos"/>
          <w:sz w:val="24"/>
          <w:szCs w:val="24"/>
        </w:rPr>
        <w:t xml:space="preserve"> lead to higher nutrient concentrations </w:t>
      </w:r>
      <w:r>
        <w:rPr>
          <w:rFonts w:ascii="Aptos" w:hAnsi="Aptos"/>
          <w:sz w:val="24"/>
          <w:szCs w:val="24"/>
        </w:rPr>
        <w:t>in</w:t>
      </w:r>
      <w:r w:rsidRPr="001D2FCB">
        <w:rPr>
          <w:rFonts w:ascii="Aptos" w:hAnsi="Aptos"/>
          <w:sz w:val="24"/>
          <w:szCs w:val="24"/>
        </w:rPr>
        <w:t xml:space="preserve"> the topsoil and much of th</w:t>
      </w:r>
      <w:r>
        <w:rPr>
          <w:rFonts w:ascii="Aptos" w:hAnsi="Aptos"/>
          <w:sz w:val="24"/>
          <w:szCs w:val="24"/>
        </w:rPr>
        <w:t xml:space="preserve">ese </w:t>
      </w:r>
      <w:r w:rsidRPr="001D2FCB">
        <w:rPr>
          <w:rFonts w:ascii="Aptos" w:hAnsi="Aptos"/>
          <w:sz w:val="24"/>
          <w:szCs w:val="24"/>
        </w:rPr>
        <w:lastRenderedPageBreak/>
        <w:t>benefit</w:t>
      </w:r>
      <w:r>
        <w:rPr>
          <w:rFonts w:ascii="Aptos" w:hAnsi="Aptos"/>
          <w:sz w:val="24"/>
          <w:szCs w:val="24"/>
        </w:rPr>
        <w:t>s</w:t>
      </w:r>
      <w:r w:rsidRPr="001D2FCB">
        <w:rPr>
          <w:rFonts w:ascii="Aptos" w:hAnsi="Aptos"/>
          <w:sz w:val="24"/>
          <w:szCs w:val="24"/>
        </w:rPr>
        <w:t xml:space="preserve"> </w:t>
      </w:r>
      <w:r>
        <w:rPr>
          <w:rFonts w:ascii="Aptos" w:hAnsi="Aptos"/>
          <w:sz w:val="24"/>
          <w:szCs w:val="24"/>
        </w:rPr>
        <w:t>are</w:t>
      </w:r>
      <w:r w:rsidRPr="001D2FCB">
        <w:rPr>
          <w:rFonts w:ascii="Aptos" w:hAnsi="Aptos"/>
          <w:sz w:val="24"/>
          <w:szCs w:val="24"/>
        </w:rPr>
        <w:t xml:space="preserve"> lost following a single reseeding event. </w:t>
      </w:r>
      <w:r w:rsidRPr="001D2FCB">
        <w:rPr>
          <w:rFonts w:ascii="Aptos" w:hAnsi="Aptos" w:cs="Arial"/>
          <w:sz w:val="24"/>
          <w:szCs w:val="24"/>
        </w:rPr>
        <w:t>The undrained 30YNT at 0 – 10 cm had 69.</w:t>
      </w:r>
      <w:r>
        <w:rPr>
          <w:rFonts w:ascii="Aptos" w:hAnsi="Aptos" w:cs="Arial"/>
          <w:sz w:val="24"/>
          <w:szCs w:val="24"/>
        </w:rPr>
        <w:t>3</w:t>
      </w:r>
      <w:r w:rsidRPr="001D2FCB">
        <w:rPr>
          <w:rFonts w:ascii="Aptos" w:hAnsi="Aptos" w:cs="Arial"/>
          <w:sz w:val="24"/>
          <w:szCs w:val="24"/>
        </w:rPr>
        <w:t>%</w:t>
      </w:r>
      <w:r>
        <w:rPr>
          <w:rFonts w:ascii="Aptos" w:hAnsi="Aptos" w:cs="Arial"/>
          <w:sz w:val="24"/>
          <w:szCs w:val="24"/>
        </w:rPr>
        <w:t>, 62.8%,</w:t>
      </w:r>
      <w:r w:rsidRPr="001D2FCB">
        <w:rPr>
          <w:rFonts w:ascii="Aptos" w:hAnsi="Aptos" w:cs="Arial"/>
          <w:sz w:val="24"/>
          <w:szCs w:val="24"/>
        </w:rPr>
        <w:t xml:space="preserve"> </w:t>
      </w:r>
      <w:r>
        <w:rPr>
          <w:rFonts w:ascii="Aptos" w:hAnsi="Aptos" w:cs="Arial"/>
          <w:sz w:val="24"/>
          <w:szCs w:val="24"/>
        </w:rPr>
        <w:t xml:space="preserve">and </w:t>
      </w:r>
      <w:r w:rsidRPr="001D2FCB">
        <w:rPr>
          <w:rFonts w:ascii="Aptos" w:hAnsi="Aptos" w:cs="Arial"/>
          <w:sz w:val="24"/>
          <w:szCs w:val="24"/>
        </w:rPr>
        <w:t>66.9% greater TC</w:t>
      </w:r>
      <w:r>
        <w:rPr>
          <w:rFonts w:ascii="Aptos" w:hAnsi="Aptos" w:cs="Arial"/>
          <w:sz w:val="24"/>
          <w:szCs w:val="24"/>
        </w:rPr>
        <w:t>, TN,</w:t>
      </w:r>
      <w:r w:rsidRPr="001D2FCB">
        <w:rPr>
          <w:rFonts w:ascii="Aptos" w:hAnsi="Aptos" w:cs="Arial"/>
          <w:sz w:val="24"/>
          <w:szCs w:val="24"/>
        </w:rPr>
        <w:t xml:space="preserve"> </w:t>
      </w:r>
      <w:r>
        <w:rPr>
          <w:rFonts w:ascii="Aptos" w:hAnsi="Aptos" w:cs="Arial"/>
          <w:sz w:val="24"/>
          <w:szCs w:val="24"/>
        </w:rPr>
        <w:t xml:space="preserve">and TP </w:t>
      </w:r>
      <w:r w:rsidRPr="001D2FCB">
        <w:rPr>
          <w:rFonts w:ascii="Aptos" w:hAnsi="Aptos" w:cs="Arial"/>
          <w:sz w:val="24"/>
          <w:szCs w:val="24"/>
        </w:rPr>
        <w:t>concentration</w:t>
      </w:r>
      <w:r>
        <w:rPr>
          <w:rFonts w:ascii="Aptos" w:hAnsi="Aptos" w:cs="Arial"/>
          <w:sz w:val="24"/>
          <w:szCs w:val="24"/>
        </w:rPr>
        <w:t>s, respectively, compared to the average values of the other treatment combinations at 10 – 30 cm</w:t>
      </w:r>
      <w:r w:rsidRPr="001D2FCB">
        <w:rPr>
          <w:rFonts w:ascii="Aptos" w:hAnsi="Aptos"/>
          <w:sz w:val="24"/>
          <w:szCs w:val="24"/>
        </w:rPr>
        <w:t>. Additionally, a distinct difference was noted between the two depths, with the upper soil layers exhibiting higher concentrations of macronutrients than the lower layers.</w:t>
      </w:r>
      <w:r w:rsidRPr="001D2FCB">
        <w:rPr>
          <w:rFonts w:ascii="Aptos" w:hAnsi="Aptos" w:cs="Arial"/>
          <w:sz w:val="24"/>
          <w:szCs w:val="24"/>
        </w:rPr>
        <w:t xml:space="preserve"> </w:t>
      </w:r>
      <w:r w:rsidRPr="001D2FCB">
        <w:rPr>
          <w:rFonts w:ascii="Aptos" w:hAnsi="Aptos"/>
          <w:sz w:val="24"/>
          <w:szCs w:val="24"/>
        </w:rPr>
        <w:t>This underscores the importance and value of conservation tillage, especially long-term minimal soil disturbance, for sustainable nutrient management especially in undrained conditions. Baselining the current carbon and nutrient status of fields across a farm would identify fields that should be protected from future cultivation and those that may be more suitable for reseeding as part of subsidy schemes.</w:t>
      </w:r>
    </w:p>
    <w:p w14:paraId="0BA5FB9B" w14:textId="77777777" w:rsidR="009A3B2F" w:rsidRPr="001D2FCB" w:rsidRDefault="009A3B2F" w:rsidP="009A3B2F">
      <w:pPr>
        <w:spacing w:line="360" w:lineRule="auto"/>
        <w:jc w:val="both"/>
        <w:rPr>
          <w:rFonts w:ascii="Aptos" w:hAnsi="Aptos" w:cs="Arial"/>
          <w:sz w:val="24"/>
          <w:szCs w:val="24"/>
        </w:rPr>
      </w:pPr>
      <w:r w:rsidRPr="001D2FCB">
        <w:rPr>
          <w:rFonts w:ascii="Aptos" w:hAnsi="Aptos"/>
          <w:b/>
          <w:bCs/>
          <w:sz w:val="24"/>
          <w:szCs w:val="24"/>
        </w:rPr>
        <w:t>DISCLOSURE STATEMENT</w:t>
      </w:r>
      <w:r w:rsidRPr="001D2FCB">
        <w:rPr>
          <w:rFonts w:ascii="Aptos" w:hAnsi="Aptos"/>
          <w:sz w:val="24"/>
          <w:szCs w:val="24"/>
        </w:rPr>
        <w:t>:</w:t>
      </w:r>
      <w:r w:rsidRPr="001D2FCB">
        <w:rPr>
          <w:rFonts w:ascii="Aptos" w:hAnsi="Aptos" w:cs="Arial"/>
          <w:sz w:val="24"/>
          <w:szCs w:val="24"/>
        </w:rPr>
        <w:t xml:space="preserve"> </w:t>
      </w:r>
      <w:r w:rsidRPr="001D2FCB">
        <w:rPr>
          <w:rFonts w:ascii="Aptos" w:hAnsi="Aptos"/>
          <w:sz w:val="24"/>
          <w:szCs w:val="24"/>
        </w:rPr>
        <w:t>No potential conflict of interest was reported by the authors.</w:t>
      </w:r>
    </w:p>
    <w:p w14:paraId="79B210F1" w14:textId="77777777" w:rsidR="009A3B2F" w:rsidRPr="001D2FCB" w:rsidRDefault="009A3B2F" w:rsidP="009A3B2F">
      <w:pPr>
        <w:autoSpaceDE w:val="0"/>
        <w:autoSpaceDN w:val="0"/>
        <w:adjustRightInd w:val="0"/>
        <w:spacing w:after="0" w:line="240" w:lineRule="auto"/>
        <w:rPr>
          <w:rFonts w:ascii="Aptos" w:hAnsi="Aptos" w:cs="AdvOTc022ae45.B"/>
          <w:kern w:val="0"/>
          <w:sz w:val="20"/>
          <w:szCs w:val="20"/>
        </w:rPr>
      </w:pPr>
    </w:p>
    <w:p w14:paraId="3F40F120" w14:textId="77777777" w:rsidR="009A3B2F" w:rsidRPr="001D2FCB" w:rsidRDefault="009A3B2F" w:rsidP="009A3B2F">
      <w:pPr>
        <w:autoSpaceDE w:val="0"/>
        <w:autoSpaceDN w:val="0"/>
        <w:adjustRightInd w:val="0"/>
        <w:spacing w:after="0" w:line="240" w:lineRule="auto"/>
        <w:rPr>
          <w:rFonts w:ascii="Aptos" w:hAnsi="Aptos" w:cs="AdvOTc022ae45.B"/>
          <w:b/>
          <w:bCs/>
          <w:kern w:val="0"/>
          <w:sz w:val="24"/>
          <w:szCs w:val="24"/>
        </w:rPr>
      </w:pPr>
      <w:r w:rsidRPr="001D2FCB">
        <w:rPr>
          <w:rFonts w:ascii="Aptos" w:hAnsi="Aptos" w:cs="AdvOTc022ae45.B"/>
          <w:b/>
          <w:bCs/>
          <w:kern w:val="0"/>
          <w:sz w:val="24"/>
          <w:szCs w:val="24"/>
        </w:rPr>
        <w:t>AUTHOR CONTRIBUTIONS</w:t>
      </w:r>
    </w:p>
    <w:p w14:paraId="396F30F7" w14:textId="77777777" w:rsidR="009A3B2F" w:rsidRPr="001D2FCB" w:rsidRDefault="009A3B2F" w:rsidP="009A3B2F">
      <w:pPr>
        <w:autoSpaceDE w:val="0"/>
        <w:autoSpaceDN w:val="0"/>
        <w:adjustRightInd w:val="0"/>
        <w:spacing w:after="0" w:line="360" w:lineRule="auto"/>
        <w:jc w:val="both"/>
        <w:rPr>
          <w:rFonts w:ascii="Aptos" w:hAnsi="Aptos" w:cs="AdvOT569473da"/>
          <w:kern w:val="0"/>
          <w:sz w:val="24"/>
          <w:szCs w:val="24"/>
        </w:rPr>
      </w:pPr>
      <w:r w:rsidRPr="001D2FCB">
        <w:rPr>
          <w:rFonts w:ascii="Aptos" w:hAnsi="Aptos" w:cs="Times New Roman"/>
          <w:b/>
          <w:bCs/>
          <w:sz w:val="24"/>
          <w:szCs w:val="24"/>
        </w:rPr>
        <w:t>Tersur T. Akpensuen</w:t>
      </w:r>
      <w:r w:rsidRPr="001D2FCB">
        <w:rPr>
          <w:rFonts w:ascii="Aptos" w:hAnsi="Aptos" w:cs="AdvOTc022ae45.B"/>
          <w:kern w:val="0"/>
          <w:sz w:val="24"/>
          <w:szCs w:val="24"/>
        </w:rPr>
        <w:t xml:space="preserve">: </w:t>
      </w:r>
      <w:r w:rsidRPr="001D2FCB">
        <w:rPr>
          <w:rFonts w:ascii="Aptos" w:hAnsi="Aptos" w:cs="AdvOT569473da"/>
          <w:kern w:val="0"/>
          <w:sz w:val="24"/>
          <w:szCs w:val="24"/>
        </w:rPr>
        <w:t xml:space="preserve">Conceptualization; </w:t>
      </w:r>
      <w:r>
        <w:rPr>
          <w:rFonts w:ascii="Aptos" w:hAnsi="Aptos" w:cs="AdvOT569473da"/>
          <w:kern w:val="0"/>
          <w:sz w:val="24"/>
          <w:szCs w:val="24"/>
        </w:rPr>
        <w:t xml:space="preserve">methodology; data curation; </w:t>
      </w:r>
      <w:r w:rsidRPr="001D2FCB">
        <w:rPr>
          <w:rFonts w:ascii="Aptos" w:hAnsi="Aptos" w:cs="AdvOT569473da"/>
          <w:kern w:val="0"/>
          <w:sz w:val="24"/>
          <w:szCs w:val="24"/>
        </w:rPr>
        <w:t xml:space="preserve">investigation; </w:t>
      </w:r>
      <w:r>
        <w:rPr>
          <w:rFonts w:ascii="Aptos" w:hAnsi="Aptos" w:cs="AdvOT569473da"/>
          <w:kern w:val="0"/>
          <w:sz w:val="24"/>
          <w:szCs w:val="24"/>
        </w:rPr>
        <w:t xml:space="preserve">validation; </w:t>
      </w:r>
      <w:r w:rsidRPr="001D2FCB">
        <w:rPr>
          <w:rFonts w:ascii="Aptos" w:hAnsi="Aptos" w:cs="AdvOT569473da"/>
          <w:kern w:val="0"/>
          <w:sz w:val="24"/>
          <w:szCs w:val="24"/>
        </w:rPr>
        <w:t xml:space="preserve">formal analysis; writing </w:t>
      </w:r>
      <w:r w:rsidRPr="001D2FCB">
        <w:rPr>
          <w:rFonts w:ascii="Aptos" w:hAnsi="Aptos" w:cs="AdvOT569473da+20"/>
          <w:kern w:val="0"/>
          <w:sz w:val="24"/>
          <w:szCs w:val="24"/>
        </w:rPr>
        <w:t xml:space="preserve">– </w:t>
      </w:r>
      <w:r w:rsidRPr="001D2FCB">
        <w:rPr>
          <w:rFonts w:ascii="Aptos" w:hAnsi="Aptos" w:cs="AdvOT569473da"/>
          <w:kern w:val="0"/>
          <w:sz w:val="24"/>
          <w:szCs w:val="24"/>
        </w:rPr>
        <w:t>original draft</w:t>
      </w:r>
      <w:r>
        <w:rPr>
          <w:rFonts w:ascii="Aptos" w:hAnsi="Aptos" w:cs="AdvOT569473da"/>
          <w:kern w:val="0"/>
          <w:sz w:val="24"/>
          <w:szCs w:val="24"/>
        </w:rPr>
        <w:t>; visualization</w:t>
      </w:r>
      <w:r w:rsidRPr="001D2FCB">
        <w:rPr>
          <w:rFonts w:ascii="Aptos" w:hAnsi="Aptos" w:cs="AdvOT569473da"/>
          <w:kern w:val="0"/>
          <w:sz w:val="24"/>
          <w:szCs w:val="24"/>
        </w:rPr>
        <w:t xml:space="preserve">. </w:t>
      </w:r>
      <w:r w:rsidRPr="001D2FCB">
        <w:rPr>
          <w:rFonts w:ascii="Aptos" w:hAnsi="Aptos" w:cs="Times New Roman"/>
          <w:b/>
          <w:bCs/>
          <w:sz w:val="24"/>
          <w:szCs w:val="24"/>
        </w:rPr>
        <w:t>Charlie Morten</w:t>
      </w:r>
      <w:r w:rsidRPr="001D2FCB">
        <w:rPr>
          <w:rFonts w:ascii="Aptos" w:hAnsi="Aptos" w:cs="AdvOTc022ae45.B"/>
          <w:kern w:val="0"/>
          <w:sz w:val="24"/>
          <w:szCs w:val="24"/>
        </w:rPr>
        <w:t>:</w:t>
      </w:r>
      <w:r>
        <w:rPr>
          <w:rFonts w:ascii="Aptos" w:hAnsi="Aptos" w:cs="AdvOTc022ae45.B"/>
          <w:kern w:val="0"/>
          <w:sz w:val="24"/>
          <w:szCs w:val="24"/>
        </w:rPr>
        <w:t xml:space="preserve"> data curation; </w:t>
      </w:r>
      <w:r w:rsidRPr="001D2FCB">
        <w:rPr>
          <w:rFonts w:ascii="Aptos" w:hAnsi="Aptos" w:cs="AdvOTc022ae45.B"/>
          <w:kern w:val="0"/>
          <w:sz w:val="24"/>
          <w:szCs w:val="24"/>
        </w:rPr>
        <w:t>investigation; writing-review and editing.</w:t>
      </w:r>
      <w:r w:rsidRPr="001D2FCB">
        <w:rPr>
          <w:rFonts w:ascii="Aptos" w:hAnsi="Aptos" w:cs="Times New Roman"/>
          <w:b/>
          <w:bCs/>
          <w:sz w:val="24"/>
          <w:szCs w:val="24"/>
        </w:rPr>
        <w:t xml:space="preserve"> Andrew Mead: </w:t>
      </w:r>
      <w:r w:rsidRPr="001D2FCB">
        <w:rPr>
          <w:rFonts w:ascii="Aptos" w:hAnsi="Aptos" w:cs="Times New Roman"/>
          <w:sz w:val="24"/>
          <w:szCs w:val="24"/>
        </w:rPr>
        <w:t xml:space="preserve">Methodology; </w:t>
      </w:r>
      <w:r>
        <w:rPr>
          <w:rFonts w:ascii="Aptos" w:hAnsi="Aptos" w:cs="Times New Roman"/>
          <w:sz w:val="24"/>
          <w:szCs w:val="24"/>
        </w:rPr>
        <w:t xml:space="preserve">data curation; </w:t>
      </w:r>
      <w:r w:rsidRPr="001D2FCB">
        <w:rPr>
          <w:rFonts w:ascii="Aptos" w:hAnsi="Aptos" w:cs="Times New Roman"/>
          <w:sz w:val="24"/>
          <w:szCs w:val="24"/>
        </w:rPr>
        <w:t xml:space="preserve">formal analysis; writing-review and editing. </w:t>
      </w:r>
      <w:r w:rsidRPr="001D2FCB">
        <w:rPr>
          <w:rFonts w:ascii="Aptos" w:hAnsi="Aptos" w:cs="Times New Roman"/>
          <w:b/>
          <w:bCs/>
          <w:sz w:val="24"/>
          <w:szCs w:val="24"/>
        </w:rPr>
        <w:t xml:space="preserve">Martin S.A. Blackwell: </w:t>
      </w:r>
      <w:r w:rsidRPr="001D2FCB">
        <w:rPr>
          <w:rFonts w:ascii="Aptos" w:hAnsi="Aptos" w:cs="Times New Roman"/>
          <w:sz w:val="24"/>
          <w:szCs w:val="24"/>
        </w:rPr>
        <w:t>Methodology; writing-review and editing</w:t>
      </w:r>
      <w:r w:rsidRPr="001D2FCB">
        <w:rPr>
          <w:rFonts w:ascii="Aptos" w:hAnsi="Aptos" w:cs="AdvOT569473da"/>
          <w:kern w:val="0"/>
          <w:sz w:val="24"/>
          <w:szCs w:val="24"/>
        </w:rPr>
        <w:t xml:space="preserve">. </w:t>
      </w:r>
      <w:r w:rsidRPr="001D2FCB">
        <w:rPr>
          <w:rFonts w:ascii="Aptos" w:hAnsi="Aptos" w:cs="Times New Roman"/>
          <w:b/>
          <w:bCs/>
          <w:sz w:val="24"/>
          <w:szCs w:val="24"/>
        </w:rPr>
        <w:t xml:space="preserve">M. Jordana Rivero: </w:t>
      </w:r>
      <w:r w:rsidRPr="001D2FCB">
        <w:rPr>
          <w:rFonts w:ascii="Aptos" w:hAnsi="Aptos" w:cs="Times New Roman"/>
          <w:sz w:val="24"/>
          <w:szCs w:val="24"/>
        </w:rPr>
        <w:t>Methodology; writing-review and editing</w:t>
      </w:r>
      <w:r w:rsidRPr="001D2FCB">
        <w:rPr>
          <w:rFonts w:ascii="Aptos" w:hAnsi="Aptos" w:cs="AdvOT569473da"/>
          <w:kern w:val="0"/>
          <w:sz w:val="24"/>
          <w:szCs w:val="24"/>
        </w:rPr>
        <w:t xml:space="preserve">; </w:t>
      </w:r>
      <w:r>
        <w:rPr>
          <w:rFonts w:ascii="Aptos" w:hAnsi="Aptos" w:cs="AdvOT569473da"/>
          <w:kern w:val="0"/>
          <w:sz w:val="24"/>
          <w:szCs w:val="24"/>
        </w:rPr>
        <w:t xml:space="preserve">validation; </w:t>
      </w:r>
      <w:r w:rsidRPr="001D2FCB">
        <w:rPr>
          <w:rFonts w:ascii="Aptos" w:hAnsi="Aptos" w:cs="AdvOT569473da"/>
          <w:kern w:val="0"/>
          <w:sz w:val="24"/>
          <w:szCs w:val="24"/>
        </w:rPr>
        <w:t>supervision. J</w:t>
      </w:r>
      <w:r w:rsidRPr="001D2FCB">
        <w:rPr>
          <w:rFonts w:ascii="Aptos" w:hAnsi="Aptos" w:cs="AdvOT569473da"/>
          <w:b/>
          <w:bCs/>
          <w:kern w:val="0"/>
          <w:sz w:val="24"/>
          <w:szCs w:val="24"/>
        </w:rPr>
        <w:t>onathan Storkey</w:t>
      </w:r>
      <w:r w:rsidRPr="001D2FCB">
        <w:rPr>
          <w:rFonts w:ascii="Aptos" w:hAnsi="Aptos" w:cs="AdvOT569473da"/>
          <w:kern w:val="0"/>
          <w:sz w:val="24"/>
          <w:szCs w:val="24"/>
        </w:rPr>
        <w:t xml:space="preserve">: Methodology; project administration; </w:t>
      </w:r>
      <w:r>
        <w:rPr>
          <w:rFonts w:ascii="Aptos" w:hAnsi="Aptos" w:cs="AdvOT569473da"/>
          <w:kern w:val="0"/>
          <w:sz w:val="24"/>
          <w:szCs w:val="24"/>
        </w:rPr>
        <w:t xml:space="preserve">resources; </w:t>
      </w:r>
      <w:r w:rsidRPr="001D2FCB">
        <w:rPr>
          <w:rFonts w:ascii="Aptos" w:hAnsi="Aptos" w:cs="AdvOT569473da"/>
          <w:kern w:val="0"/>
          <w:sz w:val="24"/>
          <w:szCs w:val="24"/>
        </w:rPr>
        <w:t>funding acquisition; writing-review and editing.</w:t>
      </w:r>
    </w:p>
    <w:p w14:paraId="62ADC17E" w14:textId="77777777" w:rsidR="009A3B2F" w:rsidRPr="001D2FCB" w:rsidRDefault="009A3B2F" w:rsidP="009A3B2F">
      <w:pPr>
        <w:autoSpaceDE w:val="0"/>
        <w:autoSpaceDN w:val="0"/>
        <w:adjustRightInd w:val="0"/>
        <w:spacing w:after="0" w:line="240" w:lineRule="auto"/>
        <w:jc w:val="both"/>
        <w:rPr>
          <w:rFonts w:ascii="Aptos" w:hAnsi="Aptos" w:cs="AdvOT569473da"/>
          <w:kern w:val="0"/>
          <w:sz w:val="24"/>
          <w:szCs w:val="24"/>
        </w:rPr>
      </w:pPr>
    </w:p>
    <w:p w14:paraId="69C93713" w14:textId="77777777" w:rsidR="00660455" w:rsidRDefault="00660455" w:rsidP="009A3B2F">
      <w:pPr>
        <w:spacing w:after="0" w:line="360" w:lineRule="auto"/>
        <w:jc w:val="both"/>
        <w:rPr>
          <w:rFonts w:ascii="Aptos" w:hAnsi="Aptos" w:cs="Times New Roman"/>
          <w:sz w:val="24"/>
          <w:szCs w:val="24"/>
        </w:rPr>
      </w:pPr>
      <w:r>
        <w:rPr>
          <w:rFonts w:ascii="Aptos" w:hAnsi="Aptos"/>
          <w:b/>
          <w:bCs/>
          <w:sz w:val="24"/>
          <w:szCs w:val="24"/>
        </w:rPr>
        <w:t>Funding</w:t>
      </w:r>
      <w:r w:rsidR="009A3B2F" w:rsidRPr="001D2FCB">
        <w:rPr>
          <w:rFonts w:ascii="Aptos" w:hAnsi="Aptos"/>
          <w:b/>
          <w:bCs/>
          <w:sz w:val="24"/>
          <w:szCs w:val="24"/>
        </w:rPr>
        <w:t>:</w:t>
      </w:r>
      <w:r w:rsidR="009A3B2F" w:rsidRPr="001D2FCB">
        <w:rPr>
          <w:rFonts w:ascii="Aptos" w:hAnsi="Aptos"/>
          <w:sz w:val="24"/>
          <w:szCs w:val="24"/>
        </w:rPr>
        <w:t xml:space="preserve"> This research was funded by the </w:t>
      </w:r>
      <w:r w:rsidR="009A3B2F" w:rsidRPr="001D2FCB">
        <w:rPr>
          <w:rFonts w:ascii="Aptos" w:hAnsi="Aptos" w:cs="Times New Roman"/>
          <w:sz w:val="24"/>
          <w:szCs w:val="24"/>
        </w:rPr>
        <w:t>Natural Environment Research Council (NERC) and the Biotechnology and Biological Sciences Research Council (BBSRC)</w:t>
      </w:r>
      <w:r w:rsidR="009A3B2F" w:rsidRPr="001D2FCB">
        <w:rPr>
          <w:rFonts w:ascii="Aptos" w:hAnsi="Aptos"/>
          <w:sz w:val="24"/>
          <w:szCs w:val="24"/>
        </w:rPr>
        <w:t xml:space="preserve"> through the strategic programmes Achieving Sustainable Agricultural Systems (ASSIST; BBS/E/C/000I0130 and NE/N018125/1) and </w:t>
      </w:r>
      <w:r w:rsidR="009A3B2F" w:rsidRPr="001D2FCB">
        <w:rPr>
          <w:rFonts w:ascii="Aptos" w:hAnsi="Aptos" w:cs="Times New Roman"/>
          <w:sz w:val="24"/>
          <w:szCs w:val="24"/>
        </w:rPr>
        <w:t xml:space="preserve">AgZero+: Towards sustainable, climate-neutral farming (NE/W005050/1). ASSIST and AgZero+ are an initiative jointly supported by NERC and BBSRC.  </w:t>
      </w:r>
    </w:p>
    <w:p w14:paraId="3EE4EBF2" w14:textId="6B045F0C" w:rsidR="009A3B2F" w:rsidRPr="001D2FCB" w:rsidRDefault="006D6237" w:rsidP="009A3B2F">
      <w:pPr>
        <w:spacing w:after="0" w:line="360" w:lineRule="auto"/>
        <w:jc w:val="both"/>
        <w:rPr>
          <w:rFonts w:ascii="Aptos" w:hAnsi="Aptos"/>
          <w:b/>
          <w:bCs/>
          <w:sz w:val="24"/>
          <w:szCs w:val="24"/>
        </w:rPr>
      </w:pPr>
      <w:r w:rsidRPr="006D6237">
        <w:rPr>
          <w:rFonts w:ascii="Aptos" w:hAnsi="Aptos" w:cs="Times New Roman"/>
          <w:b/>
          <w:bCs/>
          <w:sz w:val="24"/>
          <w:szCs w:val="24"/>
        </w:rPr>
        <w:t>Acknowledgements:</w:t>
      </w:r>
      <w:r>
        <w:rPr>
          <w:rFonts w:ascii="Aptos" w:hAnsi="Aptos" w:cs="Times New Roman"/>
          <w:sz w:val="24"/>
          <w:szCs w:val="24"/>
        </w:rPr>
        <w:t xml:space="preserve"> </w:t>
      </w:r>
      <w:r w:rsidR="009A3B2F" w:rsidRPr="001D2FCB">
        <w:rPr>
          <w:rFonts w:ascii="Aptos" w:hAnsi="Aptos"/>
          <w:sz w:val="24"/>
          <w:szCs w:val="24"/>
        </w:rPr>
        <w:t>We are grateful to Suzanne Clark for her valuable advice on statistical analysis.</w:t>
      </w:r>
    </w:p>
    <w:p w14:paraId="7C8840EE" w14:textId="739C3224" w:rsidR="009A3B2F" w:rsidRPr="001D2FCB" w:rsidRDefault="009A3B2F" w:rsidP="00500126">
      <w:pPr>
        <w:spacing w:line="360" w:lineRule="auto"/>
        <w:jc w:val="both"/>
        <w:rPr>
          <w:rFonts w:ascii="Aptos" w:hAnsi="Aptos" w:cs="Arial"/>
          <w:b/>
          <w:bCs/>
          <w:sz w:val="24"/>
          <w:szCs w:val="24"/>
        </w:rPr>
      </w:pPr>
      <w:r w:rsidRPr="001D2FCB">
        <w:rPr>
          <w:rFonts w:ascii="Aptos" w:hAnsi="Aptos"/>
          <w:b/>
          <w:bCs/>
          <w:sz w:val="24"/>
          <w:szCs w:val="24"/>
        </w:rPr>
        <w:t>Data Availability</w:t>
      </w:r>
      <w:r w:rsidR="00B51C3D">
        <w:rPr>
          <w:rFonts w:ascii="Aptos" w:hAnsi="Aptos"/>
          <w:b/>
          <w:bCs/>
          <w:sz w:val="24"/>
          <w:szCs w:val="24"/>
        </w:rPr>
        <w:t>:</w:t>
      </w:r>
      <w:r w:rsidR="00500126" w:rsidRPr="00500126">
        <w:t xml:space="preserve"> </w:t>
      </w:r>
      <w:r w:rsidR="00823E92" w:rsidRPr="00AC09B4">
        <w:t xml:space="preserve">Data can be obtained from the Rothamsted Research repository at: </w:t>
      </w:r>
      <w:hyperlink r:id="rId11" w:history="1">
        <w:r w:rsidR="00B51C3D" w:rsidRPr="007C7105">
          <w:rPr>
            <w:rStyle w:val="Hyperlink"/>
            <w:rFonts w:ascii="Aptos" w:hAnsi="Aptos"/>
            <w:sz w:val="24"/>
            <w:szCs w:val="24"/>
          </w:rPr>
          <w:t>https://doi.org/10.23637/mx8uwhme</w:t>
        </w:r>
      </w:hyperlink>
      <w:r w:rsidR="00CB60FC">
        <w:t>.</w:t>
      </w:r>
      <w:r w:rsidR="00B51C3D">
        <w:rPr>
          <w:rFonts w:ascii="Aptos" w:hAnsi="Aptos"/>
          <w:sz w:val="24"/>
          <w:szCs w:val="24"/>
        </w:rPr>
        <w:t xml:space="preserve"> </w:t>
      </w:r>
      <w:r w:rsidR="00500126" w:rsidRPr="00B51C3D">
        <w:rPr>
          <w:rFonts w:ascii="Aptos" w:hAnsi="Aptos"/>
          <w:sz w:val="24"/>
          <w:szCs w:val="24"/>
        </w:rPr>
        <w:t xml:space="preserve"> </w:t>
      </w:r>
    </w:p>
    <w:p w14:paraId="2514BE2D" w14:textId="77777777" w:rsidR="002C4BC7" w:rsidRDefault="002C4BC7" w:rsidP="009A3B2F">
      <w:pPr>
        <w:spacing w:after="120" w:line="360" w:lineRule="auto"/>
        <w:rPr>
          <w:rFonts w:ascii="Aptos" w:hAnsi="Aptos" w:cs="Arial"/>
          <w:b/>
          <w:bCs/>
          <w:sz w:val="24"/>
          <w:szCs w:val="24"/>
        </w:rPr>
      </w:pPr>
    </w:p>
    <w:p w14:paraId="122FF30F" w14:textId="478DC6E9" w:rsidR="009A3B2F" w:rsidRPr="00A02701" w:rsidRDefault="009A3B2F" w:rsidP="009A3B2F">
      <w:pPr>
        <w:spacing w:after="120" w:line="360" w:lineRule="auto"/>
        <w:rPr>
          <w:rFonts w:ascii="Aptos" w:hAnsi="Aptos" w:cs="Arial"/>
          <w:b/>
          <w:bCs/>
          <w:sz w:val="24"/>
          <w:szCs w:val="24"/>
        </w:rPr>
      </w:pPr>
      <w:r w:rsidRPr="00A02701">
        <w:rPr>
          <w:rFonts w:ascii="Aptos" w:hAnsi="Aptos" w:cs="Arial"/>
          <w:b/>
          <w:bCs/>
          <w:sz w:val="24"/>
          <w:szCs w:val="24"/>
        </w:rPr>
        <w:t>REFERENCES</w:t>
      </w:r>
    </w:p>
    <w:p w14:paraId="548C3F05" w14:textId="2E83943F" w:rsidR="009A3B2F" w:rsidRPr="00A02701" w:rsidRDefault="009A3B2F" w:rsidP="00302FBD">
      <w:pPr>
        <w:spacing w:after="120" w:line="360" w:lineRule="auto"/>
        <w:ind w:left="284" w:hanging="284"/>
        <w:rPr>
          <w:rFonts w:ascii="Aptos" w:hAnsi="Aptos" w:cs="Arial"/>
          <w:bCs/>
          <w:color w:val="000000" w:themeColor="text1"/>
          <w:sz w:val="24"/>
          <w:szCs w:val="24"/>
        </w:rPr>
      </w:pPr>
      <w:r w:rsidRPr="00A02701">
        <w:rPr>
          <w:rFonts w:ascii="Aptos" w:hAnsi="Aptos" w:cs="Arial"/>
          <w:bCs/>
          <w:color w:val="000000" w:themeColor="text1"/>
          <w:sz w:val="24"/>
          <w:szCs w:val="24"/>
        </w:rPr>
        <w:t xml:space="preserve">Abid, M., &amp; Lal, R. (2008). Tillage and drainage impact on soil quality: I. Aggregate stability, carbon and nitrogen pools. </w:t>
      </w:r>
      <w:r w:rsidRPr="00A02701">
        <w:rPr>
          <w:rFonts w:ascii="Aptos" w:hAnsi="Aptos" w:cs="Arial"/>
          <w:bCs/>
          <w:i/>
          <w:iCs/>
          <w:color w:val="000000" w:themeColor="text1"/>
          <w:sz w:val="24"/>
          <w:szCs w:val="24"/>
        </w:rPr>
        <w:t>Soil and Tillage Research,100</w:t>
      </w:r>
      <w:r w:rsidRPr="00A02701">
        <w:rPr>
          <w:rFonts w:ascii="Aptos" w:hAnsi="Aptos" w:cs="Arial"/>
          <w:bCs/>
          <w:color w:val="000000" w:themeColor="text1"/>
          <w:sz w:val="24"/>
          <w:szCs w:val="24"/>
        </w:rPr>
        <w:t xml:space="preserve">(1–2), </w:t>
      </w:r>
      <w:r w:rsidR="00302FBD" w:rsidRPr="00A02701">
        <w:rPr>
          <w:rFonts w:ascii="Aptos" w:hAnsi="Aptos" w:cs="Arial"/>
          <w:bCs/>
          <w:color w:val="000000" w:themeColor="text1"/>
          <w:sz w:val="24"/>
          <w:szCs w:val="24"/>
        </w:rPr>
        <w:t>89 – 98</w:t>
      </w:r>
      <w:r w:rsidRPr="00A02701">
        <w:rPr>
          <w:rFonts w:ascii="Aptos" w:hAnsi="Aptos" w:cs="Arial"/>
          <w:bCs/>
          <w:color w:val="000000" w:themeColor="text1"/>
          <w:sz w:val="24"/>
          <w:szCs w:val="24"/>
        </w:rPr>
        <w:t xml:space="preserve">. </w:t>
      </w:r>
      <w:hyperlink r:id="rId12" w:history="1">
        <w:r w:rsidRPr="00A02701">
          <w:rPr>
            <w:rStyle w:val="Hyperlink"/>
            <w:rFonts w:ascii="Aptos" w:hAnsi="Aptos" w:cs="Arial"/>
            <w:bCs/>
            <w:color w:val="000000" w:themeColor="text1"/>
            <w:sz w:val="24"/>
            <w:szCs w:val="24"/>
          </w:rPr>
          <w:t>https://doi.org/10.1016/j.still.2008.04.012</w:t>
        </w:r>
      </w:hyperlink>
    </w:p>
    <w:p w14:paraId="235A81FA" w14:textId="2FD97601" w:rsidR="009A3B2F" w:rsidRPr="00A02701" w:rsidRDefault="009A3B2F" w:rsidP="00B14675">
      <w:pPr>
        <w:spacing w:after="120" w:line="360" w:lineRule="auto"/>
        <w:ind w:left="284" w:hanging="284"/>
        <w:rPr>
          <w:rFonts w:ascii="Aptos" w:hAnsi="Aptos"/>
          <w:sz w:val="24"/>
          <w:szCs w:val="24"/>
          <w:lang w:val="pt-BR"/>
        </w:rPr>
      </w:pPr>
      <w:r w:rsidRPr="00A02701">
        <w:rPr>
          <w:rFonts w:ascii="Aptos" w:hAnsi="Aptos" w:cs="Arial"/>
          <w:color w:val="000000" w:themeColor="text1"/>
          <w:sz w:val="24"/>
          <w:szCs w:val="24"/>
        </w:rPr>
        <w:t xml:space="preserve">Aguilera, E., Lassaletta, L., Gattinger, A., &amp; Gimeno, B. S. (2013). Managing soil carbon for climate change mitigation and adaptation in Mediterranean cropping systems: A meta-analysis. </w:t>
      </w:r>
      <w:r w:rsidRPr="00A02701">
        <w:rPr>
          <w:rFonts w:ascii="Aptos" w:hAnsi="Aptos" w:cs="Arial"/>
          <w:i/>
          <w:iCs/>
          <w:color w:val="000000" w:themeColor="text1"/>
          <w:sz w:val="24"/>
          <w:szCs w:val="24"/>
          <w:lang w:val="pt-BR"/>
        </w:rPr>
        <w:t>Agriculture, Ecosystems &amp; Environment, 168,</w:t>
      </w:r>
      <w:r w:rsidRPr="00A02701">
        <w:rPr>
          <w:rFonts w:ascii="Aptos" w:hAnsi="Aptos" w:cs="Arial"/>
          <w:color w:val="000000" w:themeColor="text1"/>
          <w:sz w:val="24"/>
          <w:szCs w:val="24"/>
          <w:lang w:val="pt-BR"/>
        </w:rPr>
        <w:t xml:space="preserve"> </w:t>
      </w:r>
      <w:r w:rsidR="00B14675" w:rsidRPr="00A02701">
        <w:rPr>
          <w:rFonts w:ascii="Aptos" w:hAnsi="Aptos" w:cs="Arial"/>
          <w:color w:val="000000" w:themeColor="text1"/>
          <w:sz w:val="24"/>
          <w:szCs w:val="24"/>
          <w:lang w:val="pt-BR"/>
        </w:rPr>
        <w:t>25 – 36.</w:t>
      </w:r>
      <w:r w:rsidRPr="00A02701">
        <w:rPr>
          <w:rFonts w:ascii="Aptos" w:hAnsi="Aptos" w:cs="Arial"/>
          <w:color w:val="000000" w:themeColor="text1"/>
          <w:sz w:val="24"/>
          <w:szCs w:val="24"/>
          <w:lang w:val="pt-BR"/>
        </w:rPr>
        <w:t xml:space="preserve"> </w:t>
      </w:r>
      <w:hyperlink r:id="rId13" w:tgtFrame="_blank" w:tooltip="Persistent link using digital object identifier" w:history="1">
        <w:r w:rsidRPr="00A02701">
          <w:rPr>
            <w:rStyle w:val="anchor-text"/>
            <w:rFonts w:ascii="Aptos" w:hAnsi="Aptos" w:cs="Arial"/>
            <w:color w:val="0000FF"/>
            <w:sz w:val="24"/>
            <w:szCs w:val="24"/>
            <w:lang w:val="pt-BR"/>
          </w:rPr>
          <w:t>https://doi.org/10.1016/j.agee.2013.02.003</w:t>
        </w:r>
      </w:hyperlink>
    </w:p>
    <w:p w14:paraId="44C7D304" w14:textId="44BC9C92" w:rsidR="009A3B2F" w:rsidRPr="00A02701" w:rsidRDefault="009A3B2F" w:rsidP="008B224F">
      <w:pPr>
        <w:autoSpaceDE w:val="0"/>
        <w:autoSpaceDN w:val="0"/>
        <w:adjustRightInd w:val="0"/>
        <w:spacing w:after="120" w:line="360" w:lineRule="auto"/>
        <w:ind w:left="284" w:hanging="284"/>
        <w:rPr>
          <w:rFonts w:ascii="Aptos" w:hAnsi="Aptos" w:cs="AdvOT569473da"/>
          <w:color w:val="000000" w:themeColor="text1"/>
          <w:kern w:val="0"/>
          <w:sz w:val="24"/>
          <w:szCs w:val="24"/>
        </w:rPr>
      </w:pPr>
      <w:r w:rsidRPr="00A02701">
        <w:rPr>
          <w:rFonts w:ascii="Aptos" w:hAnsi="Aptos" w:cs="AdvOT569473da"/>
          <w:color w:val="000000" w:themeColor="text1"/>
          <w:kern w:val="0"/>
          <w:sz w:val="24"/>
          <w:szCs w:val="24"/>
          <w:lang w:val="es-ES"/>
        </w:rPr>
        <w:t xml:space="preserve">Beare, M. H., Hendrix, P. F., Cabrera, M. L., &amp; Coleman, D. C. (1994). </w:t>
      </w:r>
      <w:r w:rsidRPr="00A02701">
        <w:rPr>
          <w:rFonts w:ascii="Aptos" w:hAnsi="Aptos" w:cs="AdvOT569473da"/>
          <w:color w:val="000000" w:themeColor="text1"/>
          <w:kern w:val="0"/>
          <w:sz w:val="24"/>
          <w:szCs w:val="24"/>
        </w:rPr>
        <w:t xml:space="preserve">Aggregate-protected and unprotected organic matter pools in conventional- and no-tillage soils. </w:t>
      </w:r>
      <w:r w:rsidRPr="00A02701">
        <w:rPr>
          <w:rFonts w:ascii="Aptos" w:hAnsi="Aptos" w:cs="AdvOTf2679e53.I"/>
          <w:i/>
          <w:iCs/>
          <w:color w:val="000000" w:themeColor="text1"/>
          <w:kern w:val="0"/>
          <w:sz w:val="24"/>
          <w:szCs w:val="24"/>
        </w:rPr>
        <w:t>Soil Science Society America Journal</w:t>
      </w:r>
      <w:r w:rsidRPr="00A02701">
        <w:rPr>
          <w:rFonts w:ascii="Aptos" w:hAnsi="Aptos" w:cs="AdvOT569473da"/>
          <w:i/>
          <w:iCs/>
          <w:color w:val="000000" w:themeColor="text1"/>
          <w:kern w:val="0"/>
          <w:sz w:val="24"/>
          <w:szCs w:val="24"/>
        </w:rPr>
        <w:t xml:space="preserve">, </w:t>
      </w:r>
      <w:r w:rsidRPr="00A02701">
        <w:rPr>
          <w:rFonts w:ascii="Aptos" w:hAnsi="Aptos" w:cs="AdvOTf2679e53.I"/>
          <w:i/>
          <w:iCs/>
          <w:color w:val="000000" w:themeColor="text1"/>
          <w:kern w:val="0"/>
          <w:sz w:val="24"/>
          <w:szCs w:val="24"/>
        </w:rPr>
        <w:t>58</w:t>
      </w:r>
      <w:r w:rsidRPr="00A02701">
        <w:rPr>
          <w:rFonts w:ascii="Aptos" w:hAnsi="Aptos" w:cs="AdvOT569473da"/>
          <w:i/>
          <w:iCs/>
          <w:color w:val="000000" w:themeColor="text1"/>
          <w:kern w:val="0"/>
          <w:sz w:val="24"/>
          <w:szCs w:val="24"/>
        </w:rPr>
        <w:t>,</w:t>
      </w:r>
      <w:r w:rsidRPr="00A02701">
        <w:rPr>
          <w:rFonts w:ascii="Aptos" w:hAnsi="Aptos" w:cs="AdvOT569473da"/>
          <w:color w:val="000000" w:themeColor="text1"/>
          <w:kern w:val="0"/>
          <w:sz w:val="24"/>
          <w:szCs w:val="24"/>
        </w:rPr>
        <w:t xml:space="preserve"> </w:t>
      </w:r>
      <w:r w:rsidR="00F33852" w:rsidRPr="00A02701">
        <w:rPr>
          <w:rFonts w:ascii="Aptos" w:hAnsi="Aptos" w:cs="AdvOT569473da"/>
          <w:color w:val="000000" w:themeColor="text1"/>
          <w:kern w:val="0"/>
          <w:sz w:val="24"/>
          <w:szCs w:val="24"/>
        </w:rPr>
        <w:t xml:space="preserve">787 </w:t>
      </w:r>
      <w:r w:rsidR="005C17AB" w:rsidRPr="00A02701">
        <w:rPr>
          <w:rFonts w:ascii="Aptos" w:hAnsi="Aptos" w:cs="AdvOT569473da"/>
          <w:color w:val="000000" w:themeColor="text1"/>
          <w:kern w:val="0"/>
          <w:sz w:val="24"/>
          <w:szCs w:val="24"/>
        </w:rPr>
        <w:t>–</w:t>
      </w:r>
      <w:r w:rsidR="00F33852" w:rsidRPr="00A02701">
        <w:rPr>
          <w:rFonts w:ascii="Aptos" w:hAnsi="Aptos" w:cs="AdvOT569473da"/>
          <w:color w:val="000000" w:themeColor="text1"/>
          <w:kern w:val="0"/>
          <w:sz w:val="24"/>
          <w:szCs w:val="24"/>
        </w:rPr>
        <w:t xml:space="preserve"> 7</w:t>
      </w:r>
      <w:r w:rsidR="00464B0D" w:rsidRPr="00A02701">
        <w:rPr>
          <w:rFonts w:ascii="Aptos" w:hAnsi="Aptos" w:cs="AdvOT569473da"/>
          <w:color w:val="000000" w:themeColor="text1"/>
          <w:kern w:val="0"/>
          <w:sz w:val="24"/>
          <w:szCs w:val="24"/>
        </w:rPr>
        <w:t>95</w:t>
      </w:r>
      <w:r w:rsidR="005C17AB" w:rsidRPr="00A02701">
        <w:rPr>
          <w:rFonts w:ascii="Aptos" w:hAnsi="Aptos" w:cs="AdvOT569473da"/>
          <w:color w:val="000000" w:themeColor="text1"/>
          <w:kern w:val="0"/>
          <w:sz w:val="24"/>
          <w:szCs w:val="24"/>
        </w:rPr>
        <w:t xml:space="preserve">. </w:t>
      </w:r>
      <w:r w:rsidRPr="00A02701">
        <w:rPr>
          <w:rFonts w:ascii="Aptos" w:hAnsi="Aptos" w:cs="AdvOT569473da"/>
          <w:color w:val="000000" w:themeColor="text1"/>
          <w:kern w:val="0"/>
          <w:sz w:val="24"/>
          <w:szCs w:val="24"/>
        </w:rPr>
        <w:t xml:space="preserve"> </w:t>
      </w:r>
      <w:hyperlink r:id="rId14" w:history="1">
        <w:r w:rsidRPr="00A02701">
          <w:rPr>
            <w:rStyle w:val="Hyperlink"/>
            <w:rFonts w:ascii="Aptos" w:hAnsi="Aptos"/>
            <w:sz w:val="24"/>
            <w:szCs w:val="24"/>
            <w:bdr w:val="none" w:sz="0" w:space="0" w:color="auto" w:frame="1"/>
            <w:shd w:val="clear" w:color="auto" w:fill="FFFFFF"/>
          </w:rPr>
          <w:t>https://doi.org/10.2136/sssaj1994.03615995005800030021x</w:t>
        </w:r>
      </w:hyperlink>
    </w:p>
    <w:p w14:paraId="40F72947" w14:textId="7460B9AD" w:rsidR="009A3B2F" w:rsidRPr="00A02701" w:rsidRDefault="009A3B2F" w:rsidP="008B224F">
      <w:pPr>
        <w:spacing w:after="120" w:line="360" w:lineRule="auto"/>
        <w:ind w:left="284" w:hanging="284"/>
        <w:rPr>
          <w:rFonts w:ascii="Aptos" w:hAnsi="Aptos" w:cs="Open Sans"/>
          <w:color w:val="333333"/>
          <w:sz w:val="24"/>
          <w:szCs w:val="24"/>
          <w:shd w:val="clear" w:color="auto" w:fill="FFFFFF"/>
        </w:rPr>
      </w:pPr>
      <w:r w:rsidRPr="00A02701">
        <w:rPr>
          <w:rFonts w:ascii="Aptos" w:hAnsi="Aptos" w:cs="Open Sans"/>
          <w:color w:val="333333"/>
          <w:sz w:val="24"/>
          <w:szCs w:val="24"/>
          <w:shd w:val="clear" w:color="auto" w:fill="FFFFFF"/>
        </w:rPr>
        <w:t>Ballantine, D., &amp; Tanner, C. (2013). Controlled drainage systems to reduce contaminant losses and optimize productivity from New Zealand pastoral systems. </w:t>
      </w:r>
      <w:r w:rsidRPr="00A02701">
        <w:rPr>
          <w:rFonts w:ascii="Aptos" w:hAnsi="Aptos" w:cs="Open Sans"/>
          <w:i/>
          <w:iCs/>
          <w:color w:val="333333"/>
          <w:sz w:val="24"/>
          <w:szCs w:val="24"/>
          <w:shd w:val="clear" w:color="auto" w:fill="FFFFFF"/>
        </w:rPr>
        <w:t>New Zealand Journal of Agricultural Research</w:t>
      </w:r>
      <w:r w:rsidRPr="00A02701">
        <w:rPr>
          <w:rFonts w:ascii="Aptos" w:hAnsi="Aptos" w:cs="Open Sans"/>
          <w:color w:val="333333"/>
          <w:sz w:val="24"/>
          <w:szCs w:val="24"/>
          <w:shd w:val="clear" w:color="auto" w:fill="FFFFFF"/>
        </w:rPr>
        <w:t>, </w:t>
      </w:r>
      <w:r w:rsidRPr="00A02701">
        <w:rPr>
          <w:rFonts w:ascii="Aptos" w:hAnsi="Aptos" w:cs="Open Sans"/>
          <w:i/>
          <w:iCs/>
          <w:color w:val="333333"/>
          <w:sz w:val="24"/>
          <w:szCs w:val="24"/>
          <w:shd w:val="clear" w:color="auto" w:fill="FFFFFF"/>
        </w:rPr>
        <w:t>56</w:t>
      </w:r>
      <w:r w:rsidRPr="00A02701">
        <w:rPr>
          <w:rFonts w:ascii="Aptos" w:hAnsi="Aptos" w:cs="Open Sans"/>
          <w:color w:val="333333"/>
          <w:sz w:val="24"/>
          <w:szCs w:val="24"/>
          <w:shd w:val="clear" w:color="auto" w:fill="FFFFFF"/>
        </w:rPr>
        <w:t xml:space="preserve">(2), </w:t>
      </w:r>
      <w:r w:rsidR="005C17AB" w:rsidRPr="00A02701">
        <w:rPr>
          <w:rFonts w:ascii="Aptos" w:hAnsi="Aptos" w:cs="Open Sans"/>
          <w:color w:val="333333"/>
          <w:sz w:val="24"/>
          <w:szCs w:val="24"/>
          <w:shd w:val="clear" w:color="auto" w:fill="FFFFFF"/>
        </w:rPr>
        <w:t xml:space="preserve">171 – 185. </w:t>
      </w:r>
      <w:r w:rsidRPr="00A02701">
        <w:rPr>
          <w:rFonts w:ascii="Aptos" w:hAnsi="Aptos" w:cs="Open Sans"/>
          <w:color w:val="333333"/>
          <w:sz w:val="24"/>
          <w:szCs w:val="24"/>
          <w:shd w:val="clear" w:color="auto" w:fill="FFFFFF"/>
        </w:rPr>
        <w:t xml:space="preserve"> </w:t>
      </w:r>
      <w:hyperlink r:id="rId15" w:history="1">
        <w:r w:rsidRPr="00A02701">
          <w:rPr>
            <w:rStyle w:val="Hyperlink"/>
            <w:rFonts w:ascii="Aptos" w:hAnsi="Aptos" w:cs="Open Sans"/>
            <w:sz w:val="24"/>
            <w:szCs w:val="24"/>
            <w:shd w:val="clear" w:color="auto" w:fill="FFFFFF"/>
          </w:rPr>
          <w:t>https://doi.org/10.1080/00288233.2013.781509</w:t>
        </w:r>
      </w:hyperlink>
    </w:p>
    <w:p w14:paraId="64F7670D" w14:textId="0DC5A134" w:rsidR="009A3B2F" w:rsidRPr="00A02701" w:rsidRDefault="009A3B2F" w:rsidP="009A3B2F">
      <w:pPr>
        <w:spacing w:after="120" w:line="360" w:lineRule="auto"/>
        <w:ind w:left="284" w:hanging="284"/>
        <w:rPr>
          <w:rFonts w:ascii="Aptos" w:hAnsi="Aptos"/>
          <w:color w:val="000000" w:themeColor="text1"/>
          <w:sz w:val="24"/>
          <w:szCs w:val="24"/>
        </w:rPr>
      </w:pPr>
      <w:r w:rsidRPr="00A02701">
        <w:rPr>
          <w:rFonts w:ascii="Aptos" w:hAnsi="Aptos"/>
          <w:sz w:val="24"/>
          <w:szCs w:val="24"/>
        </w:rPr>
        <w:t>Blair, J., Olave, R., Smyth, B., Sherry, E.,</w:t>
      </w:r>
      <w:r w:rsidR="005C17AB" w:rsidRPr="00A02701">
        <w:rPr>
          <w:rFonts w:ascii="Aptos" w:hAnsi="Aptos"/>
          <w:sz w:val="24"/>
          <w:szCs w:val="24"/>
        </w:rPr>
        <w:t xml:space="preserve"> </w:t>
      </w:r>
      <w:r w:rsidR="00464B0D" w:rsidRPr="00A02701">
        <w:rPr>
          <w:rFonts w:ascii="Aptos" w:hAnsi="Aptos"/>
          <w:sz w:val="24"/>
          <w:szCs w:val="24"/>
        </w:rPr>
        <w:t>&amp; Reid</w:t>
      </w:r>
      <w:r w:rsidRPr="00A02701">
        <w:rPr>
          <w:rFonts w:ascii="Aptos" w:hAnsi="Aptos"/>
          <w:sz w:val="24"/>
          <w:szCs w:val="24"/>
        </w:rPr>
        <w:t xml:space="preserve">, N. (2018). The effect of ploughing intensity on the carbon flux of temperate agricultural grasslands. </w:t>
      </w:r>
      <w:r w:rsidRPr="00A02701">
        <w:rPr>
          <w:rFonts w:ascii="Aptos" w:hAnsi="Aptos"/>
          <w:i/>
          <w:iCs/>
          <w:sz w:val="24"/>
          <w:szCs w:val="24"/>
        </w:rPr>
        <w:t>Aspect of Applied Biology, 139</w:t>
      </w:r>
      <w:r w:rsidRPr="00A02701">
        <w:rPr>
          <w:rFonts w:ascii="Aptos" w:hAnsi="Aptos"/>
          <w:sz w:val="24"/>
          <w:szCs w:val="24"/>
        </w:rPr>
        <w:t xml:space="preserve">, </w:t>
      </w:r>
      <w:r w:rsidR="00464B0D" w:rsidRPr="00A02701">
        <w:rPr>
          <w:rFonts w:ascii="Aptos" w:hAnsi="Aptos"/>
          <w:sz w:val="24"/>
          <w:szCs w:val="24"/>
        </w:rPr>
        <w:t xml:space="preserve">115 – 124. </w:t>
      </w:r>
      <w:r w:rsidRPr="00A02701">
        <w:rPr>
          <w:rFonts w:ascii="Aptos" w:hAnsi="Aptos"/>
          <w:sz w:val="24"/>
          <w:szCs w:val="24"/>
        </w:rPr>
        <w:t xml:space="preserve"> http://www.aab.org.uk/images/aspects%20139%20contents.pdf</w:t>
      </w:r>
    </w:p>
    <w:p w14:paraId="02394AE6" w14:textId="67FF2B4C" w:rsidR="009A3B2F" w:rsidRPr="00A02701" w:rsidRDefault="009A3B2F" w:rsidP="008B224F">
      <w:pPr>
        <w:spacing w:after="120" w:line="360" w:lineRule="auto"/>
        <w:ind w:left="284" w:hanging="284"/>
        <w:rPr>
          <w:rFonts w:ascii="Aptos" w:hAnsi="Aptos"/>
          <w:sz w:val="24"/>
          <w:szCs w:val="24"/>
        </w:rPr>
      </w:pPr>
      <w:r w:rsidRPr="00A02701">
        <w:rPr>
          <w:rFonts w:ascii="Aptos" w:hAnsi="Aptos"/>
          <w:color w:val="000000" w:themeColor="text1"/>
          <w:sz w:val="24"/>
          <w:szCs w:val="24"/>
        </w:rPr>
        <w:t>Chen, H., Rahmati, R., Montzka, C., Gao, H., &amp; Vereecken, H. (2024).</w:t>
      </w:r>
      <w:r w:rsidRPr="00A02701">
        <w:rPr>
          <w:rFonts w:ascii="Aptos" w:hAnsi="Aptos"/>
          <w:b/>
          <w:bCs/>
          <w:color w:val="000000" w:themeColor="text1"/>
          <w:sz w:val="24"/>
          <w:szCs w:val="24"/>
        </w:rPr>
        <w:t xml:space="preserve"> </w:t>
      </w:r>
      <w:r w:rsidRPr="00A02701">
        <w:rPr>
          <w:rFonts w:ascii="Aptos" w:hAnsi="Aptos"/>
          <w:color w:val="000000" w:themeColor="text1"/>
          <w:sz w:val="24"/>
          <w:szCs w:val="24"/>
        </w:rPr>
        <w:t>Soil physicochemical properties explain land use/cover histories in the last sixty years in China</w:t>
      </w:r>
      <w:r w:rsidRPr="00A02701">
        <w:rPr>
          <w:rFonts w:ascii="Aptos" w:hAnsi="Aptos"/>
          <w:b/>
          <w:bCs/>
          <w:color w:val="000000" w:themeColor="text1"/>
          <w:sz w:val="24"/>
          <w:szCs w:val="24"/>
        </w:rPr>
        <w:t xml:space="preserve">. </w:t>
      </w:r>
      <w:r w:rsidRPr="00A02701">
        <w:rPr>
          <w:rFonts w:ascii="Aptos" w:hAnsi="Aptos"/>
          <w:i/>
          <w:iCs/>
          <w:color w:val="000000" w:themeColor="text1"/>
          <w:sz w:val="24"/>
          <w:szCs w:val="24"/>
        </w:rPr>
        <w:t>Geoderma,446</w:t>
      </w:r>
      <w:r w:rsidRPr="00A02701">
        <w:rPr>
          <w:rFonts w:ascii="Aptos" w:hAnsi="Aptos"/>
          <w:color w:val="000000" w:themeColor="text1"/>
          <w:sz w:val="24"/>
          <w:szCs w:val="24"/>
        </w:rPr>
        <w:t>,116908</w:t>
      </w:r>
      <w:r w:rsidRPr="00A02701">
        <w:rPr>
          <w:rFonts w:ascii="Aptos" w:hAnsi="Aptos"/>
          <w:b/>
          <w:bCs/>
          <w:color w:val="000000" w:themeColor="text1"/>
          <w:sz w:val="24"/>
          <w:szCs w:val="24"/>
        </w:rPr>
        <w:t xml:space="preserve">. </w:t>
      </w:r>
      <w:hyperlink r:id="rId16" w:history="1">
        <w:r w:rsidRPr="00A02701">
          <w:rPr>
            <w:rStyle w:val="Hyperlink"/>
            <w:rFonts w:ascii="Aptos" w:hAnsi="Aptos"/>
            <w:sz w:val="24"/>
            <w:szCs w:val="24"/>
          </w:rPr>
          <w:t>https://doi.org/10.1016/j.geoderma.2024.116908</w:t>
        </w:r>
      </w:hyperlink>
    </w:p>
    <w:p w14:paraId="6AFAFF9E" w14:textId="6F843574" w:rsidR="009A3B2F" w:rsidRPr="00A02701" w:rsidRDefault="009A3B2F" w:rsidP="00BB021D">
      <w:pPr>
        <w:autoSpaceDE w:val="0"/>
        <w:autoSpaceDN w:val="0"/>
        <w:adjustRightInd w:val="0"/>
        <w:spacing w:after="120" w:line="360" w:lineRule="auto"/>
        <w:ind w:left="284" w:hanging="284"/>
        <w:rPr>
          <w:rStyle w:val="Hyperlink"/>
          <w:rFonts w:ascii="Aptos" w:hAnsi="Aptos" w:cs="AdvOT569473da"/>
          <w:color w:val="000000" w:themeColor="text1"/>
          <w:kern w:val="0"/>
          <w:sz w:val="24"/>
          <w:szCs w:val="24"/>
        </w:rPr>
      </w:pPr>
      <w:r w:rsidRPr="00A02701">
        <w:rPr>
          <w:rFonts w:ascii="Aptos" w:hAnsi="Aptos" w:cs="AdvOT569473da"/>
          <w:color w:val="000000" w:themeColor="text1"/>
          <w:kern w:val="0"/>
          <w:sz w:val="24"/>
          <w:szCs w:val="24"/>
        </w:rPr>
        <w:t>Cooper, H.V., Sjögersten, S., Lark, R.M, Girkin, N.T., Vane, C.H.</w:t>
      </w:r>
      <w:r w:rsidR="00721BE1" w:rsidRPr="00A02701">
        <w:rPr>
          <w:rFonts w:ascii="Aptos" w:hAnsi="Aptos" w:cs="AdvOT569473da"/>
          <w:color w:val="000000" w:themeColor="text1"/>
          <w:kern w:val="0"/>
          <w:sz w:val="24"/>
          <w:szCs w:val="24"/>
        </w:rPr>
        <w:t>, Calonego</w:t>
      </w:r>
      <w:r w:rsidRPr="00A02701">
        <w:rPr>
          <w:rFonts w:ascii="Aptos" w:hAnsi="Aptos" w:cs="AdvOT569473da"/>
          <w:color w:val="000000" w:themeColor="text1"/>
          <w:kern w:val="0"/>
          <w:sz w:val="24"/>
          <w:szCs w:val="24"/>
        </w:rPr>
        <w:t xml:space="preserve">, J.C., Rosolem, C., &amp; Mooney, S.J. (2021). Long-term zero-tillage enhances the protection of soil carbon in tropical agriculture. </w:t>
      </w:r>
      <w:r w:rsidRPr="00A02701">
        <w:rPr>
          <w:rFonts w:ascii="Aptos" w:hAnsi="Aptos" w:cs="AdvOTf2679e53.I"/>
          <w:i/>
          <w:iCs/>
          <w:color w:val="000000" w:themeColor="text1"/>
          <w:kern w:val="0"/>
          <w:sz w:val="24"/>
          <w:szCs w:val="24"/>
        </w:rPr>
        <w:t>European Journal of Soil Science</w:t>
      </w:r>
      <w:r w:rsidRPr="00A02701">
        <w:rPr>
          <w:rFonts w:ascii="Aptos" w:hAnsi="Aptos" w:cs="AdvOT569473da"/>
          <w:i/>
          <w:iCs/>
          <w:color w:val="000000" w:themeColor="text1"/>
          <w:kern w:val="0"/>
          <w:sz w:val="24"/>
          <w:szCs w:val="24"/>
        </w:rPr>
        <w:t>,</w:t>
      </w:r>
      <w:r w:rsidR="00BB021D" w:rsidRPr="00A02701">
        <w:rPr>
          <w:rFonts w:ascii="Aptos" w:hAnsi="Aptos" w:cs="AdvOT569473da"/>
          <w:i/>
          <w:iCs/>
          <w:color w:val="000000" w:themeColor="text1"/>
          <w:kern w:val="0"/>
          <w:sz w:val="24"/>
          <w:szCs w:val="24"/>
        </w:rPr>
        <w:t xml:space="preserve"> </w:t>
      </w:r>
      <w:r w:rsidRPr="00A02701">
        <w:rPr>
          <w:rFonts w:ascii="Aptos" w:hAnsi="Aptos" w:cs="AdvOT569473da"/>
          <w:i/>
          <w:iCs/>
          <w:color w:val="000000" w:themeColor="text1"/>
          <w:kern w:val="0"/>
          <w:sz w:val="24"/>
          <w:szCs w:val="24"/>
        </w:rPr>
        <w:t>72,</w:t>
      </w:r>
      <w:r w:rsidRPr="00A02701">
        <w:rPr>
          <w:rFonts w:ascii="Aptos" w:hAnsi="Aptos" w:cs="AdvOT569473da"/>
          <w:color w:val="000000" w:themeColor="text1"/>
          <w:kern w:val="0"/>
          <w:sz w:val="24"/>
          <w:szCs w:val="24"/>
        </w:rPr>
        <w:t xml:space="preserve"> 2477</w:t>
      </w:r>
      <w:r w:rsidRPr="00A02701">
        <w:rPr>
          <w:rFonts w:ascii="Aptos" w:hAnsi="Aptos" w:cs="AdvOT569473da+20"/>
          <w:color w:val="000000" w:themeColor="text1"/>
          <w:kern w:val="0"/>
          <w:sz w:val="24"/>
          <w:szCs w:val="24"/>
        </w:rPr>
        <w:t>–</w:t>
      </w:r>
      <w:r w:rsidRPr="00A02701">
        <w:rPr>
          <w:rFonts w:ascii="Aptos" w:hAnsi="Aptos" w:cs="AdvOT569473da"/>
          <w:color w:val="000000" w:themeColor="text1"/>
          <w:kern w:val="0"/>
          <w:sz w:val="24"/>
          <w:szCs w:val="24"/>
        </w:rPr>
        <w:t xml:space="preserve">2492. </w:t>
      </w:r>
      <w:hyperlink r:id="rId17" w:history="1">
        <w:r w:rsidRPr="00A02701">
          <w:rPr>
            <w:rStyle w:val="Hyperlink"/>
            <w:rFonts w:ascii="Aptos" w:hAnsi="Aptos" w:cs="AdvOT569473da"/>
            <w:color w:val="000000" w:themeColor="text1"/>
            <w:kern w:val="0"/>
            <w:sz w:val="24"/>
            <w:szCs w:val="24"/>
          </w:rPr>
          <w:t>https://doi.org/10.1111/ejss.13111</w:t>
        </w:r>
      </w:hyperlink>
    </w:p>
    <w:p w14:paraId="734CBCBA" w14:textId="4FF53D12" w:rsidR="009A3B2F" w:rsidRPr="00A02701" w:rsidRDefault="009A3B2F" w:rsidP="006A6DAC">
      <w:pPr>
        <w:autoSpaceDE w:val="0"/>
        <w:autoSpaceDN w:val="0"/>
        <w:adjustRightInd w:val="0"/>
        <w:spacing w:after="120" w:line="360" w:lineRule="auto"/>
        <w:ind w:left="284" w:hanging="284"/>
        <w:rPr>
          <w:rFonts w:ascii="Aptos" w:hAnsi="Aptos" w:cs="AdvOT569473da"/>
          <w:color w:val="000000" w:themeColor="text1"/>
          <w:kern w:val="0"/>
          <w:sz w:val="24"/>
          <w:szCs w:val="24"/>
          <w:u w:val="single"/>
        </w:rPr>
      </w:pPr>
      <w:r w:rsidRPr="00A02701">
        <w:rPr>
          <w:rFonts w:ascii="Aptos" w:hAnsi="Aptos" w:cs="AdvOT569473da"/>
          <w:color w:val="000000" w:themeColor="text1"/>
          <w:kern w:val="0"/>
          <w:sz w:val="24"/>
          <w:szCs w:val="24"/>
        </w:rPr>
        <w:lastRenderedPageBreak/>
        <w:t xml:space="preserve">Defra. </w:t>
      </w:r>
      <w:r w:rsidRPr="003C578B">
        <w:rPr>
          <w:rStyle w:val="Hyperlink"/>
          <w:rFonts w:ascii="Aptos" w:hAnsi="Aptos" w:cs="AdvOT569473da"/>
          <w:color w:val="000000" w:themeColor="text1"/>
          <w:kern w:val="0"/>
          <w:sz w:val="24"/>
          <w:szCs w:val="24"/>
          <w:u w:val="none"/>
        </w:rPr>
        <w:t>(2010). The Fertiliser Manual (RB209). TSO, London.</w:t>
      </w:r>
      <w:r w:rsidRPr="00A02701">
        <w:rPr>
          <w:rStyle w:val="Hyperlink"/>
          <w:rFonts w:ascii="Aptos" w:hAnsi="Aptos" w:cs="AdvOT569473da"/>
          <w:color w:val="000000" w:themeColor="text1"/>
          <w:kern w:val="0"/>
          <w:sz w:val="24"/>
          <w:szCs w:val="24"/>
        </w:rPr>
        <w:t xml:space="preserve"> https://www.gov.uk/government/publications/fertiliser-manual-rb209--2</w:t>
      </w:r>
    </w:p>
    <w:p w14:paraId="7A828F9C" w14:textId="13AAE5A9" w:rsidR="009A3B2F" w:rsidRPr="00A02701" w:rsidRDefault="009A3B2F" w:rsidP="008B224F">
      <w:pPr>
        <w:autoSpaceDE w:val="0"/>
        <w:autoSpaceDN w:val="0"/>
        <w:adjustRightInd w:val="0"/>
        <w:spacing w:after="0" w:line="360" w:lineRule="auto"/>
        <w:ind w:left="284" w:hanging="284"/>
        <w:rPr>
          <w:rStyle w:val="Hyperlink"/>
          <w:rFonts w:ascii="Aptos" w:hAnsi="Aptos" w:cs="AdvOT569473da"/>
          <w:kern w:val="0"/>
          <w:sz w:val="24"/>
          <w:szCs w:val="24"/>
        </w:rPr>
      </w:pPr>
      <w:r w:rsidRPr="00A02701">
        <w:rPr>
          <w:rFonts w:ascii="Aptos" w:hAnsi="Aptos" w:cs="AdvOT569473da"/>
          <w:color w:val="000000" w:themeColor="text1"/>
          <w:kern w:val="0"/>
          <w:sz w:val="24"/>
          <w:szCs w:val="24"/>
        </w:rPr>
        <w:t xml:space="preserve">De Schepper, G., Therrien, R., Refsgaard, J.C., &amp; Hansen, A.L. (2015). Simulating coupled surface and subsurface water flow in a tile-drained agricultural catchment. </w:t>
      </w:r>
      <w:r w:rsidRPr="00A02701">
        <w:rPr>
          <w:rFonts w:ascii="Aptos" w:hAnsi="Aptos" w:cs="AdvOT569473da"/>
          <w:i/>
          <w:iCs/>
          <w:color w:val="000000" w:themeColor="text1"/>
          <w:kern w:val="0"/>
          <w:sz w:val="24"/>
          <w:szCs w:val="24"/>
        </w:rPr>
        <w:t>Journal of Hydrology,</w:t>
      </w:r>
      <w:r w:rsidRPr="00A02701">
        <w:rPr>
          <w:rFonts w:ascii="Aptos" w:hAnsi="Aptos" w:cs="AdvOT569473da"/>
          <w:color w:val="000000" w:themeColor="text1"/>
          <w:kern w:val="0"/>
          <w:sz w:val="24"/>
          <w:szCs w:val="24"/>
        </w:rPr>
        <w:t xml:space="preserve"> </w:t>
      </w:r>
      <w:r w:rsidRPr="00A02701">
        <w:rPr>
          <w:rFonts w:ascii="Aptos" w:hAnsi="Aptos" w:cs="AdvOT569473da"/>
          <w:i/>
          <w:iCs/>
          <w:color w:val="000000" w:themeColor="text1"/>
          <w:kern w:val="0"/>
          <w:sz w:val="24"/>
          <w:szCs w:val="24"/>
        </w:rPr>
        <w:t>521,</w:t>
      </w:r>
      <w:r w:rsidR="00E96582" w:rsidRPr="00A02701">
        <w:rPr>
          <w:rFonts w:ascii="Aptos" w:hAnsi="Aptos" w:cs="AdvOT569473da"/>
          <w:color w:val="000000" w:themeColor="text1"/>
          <w:kern w:val="0"/>
          <w:sz w:val="24"/>
          <w:szCs w:val="24"/>
        </w:rPr>
        <w:t xml:space="preserve"> 374 – 388. </w:t>
      </w:r>
      <w:r w:rsidRPr="00A02701">
        <w:rPr>
          <w:rFonts w:ascii="Aptos" w:hAnsi="Aptos" w:cs="AdvOT569473da"/>
          <w:color w:val="000000" w:themeColor="text1"/>
          <w:kern w:val="0"/>
          <w:sz w:val="24"/>
          <w:szCs w:val="24"/>
        </w:rPr>
        <w:t xml:space="preserve"> </w:t>
      </w:r>
      <w:hyperlink r:id="rId18" w:history="1">
        <w:r w:rsidRPr="00A02701">
          <w:rPr>
            <w:rStyle w:val="Hyperlink"/>
            <w:rFonts w:ascii="Aptos" w:hAnsi="Aptos" w:cs="AdvOT569473da"/>
            <w:kern w:val="0"/>
            <w:sz w:val="24"/>
            <w:szCs w:val="24"/>
          </w:rPr>
          <w:t>https://doi.org/10.1016/j.jhydrol.2014.12.035</w:t>
        </w:r>
      </w:hyperlink>
    </w:p>
    <w:p w14:paraId="2CBD3AE3" w14:textId="77777777" w:rsidR="00721BE1" w:rsidRPr="00721BE1" w:rsidRDefault="00721BE1" w:rsidP="008B224F">
      <w:pPr>
        <w:autoSpaceDE w:val="0"/>
        <w:autoSpaceDN w:val="0"/>
        <w:adjustRightInd w:val="0"/>
        <w:spacing w:after="0" w:line="360" w:lineRule="auto"/>
        <w:ind w:left="284" w:hanging="284"/>
        <w:rPr>
          <w:rFonts w:ascii="Aptos" w:hAnsi="Aptos" w:cs="AdvOT569473da"/>
          <w:color w:val="467886" w:themeColor="hyperlink"/>
          <w:kern w:val="0"/>
          <w:u w:val="single"/>
        </w:rPr>
      </w:pPr>
    </w:p>
    <w:p w14:paraId="7DCC4B67" w14:textId="68857054" w:rsidR="009A3B2F" w:rsidRPr="001D2FCB" w:rsidRDefault="009A3B2F" w:rsidP="008B224F">
      <w:pPr>
        <w:spacing w:after="120" w:line="360" w:lineRule="auto"/>
        <w:ind w:left="284" w:hanging="284"/>
        <w:rPr>
          <w:rFonts w:ascii="Aptos" w:hAnsi="Aptos"/>
          <w:sz w:val="24"/>
          <w:szCs w:val="24"/>
        </w:rPr>
      </w:pPr>
      <w:r w:rsidRPr="001D2FCB">
        <w:rPr>
          <w:rFonts w:ascii="Aptos" w:hAnsi="Aptos"/>
          <w:sz w:val="24"/>
          <w:szCs w:val="24"/>
        </w:rPr>
        <w:t xml:space="preserve">Dodd, R.J., McDowell, R.W., </w:t>
      </w:r>
      <w:r w:rsidR="00721BE1">
        <w:rPr>
          <w:rFonts w:ascii="Aptos" w:hAnsi="Aptos"/>
          <w:sz w:val="24"/>
          <w:szCs w:val="24"/>
        </w:rPr>
        <w:t>&amp;</w:t>
      </w:r>
      <w:r w:rsidRPr="001D2FCB">
        <w:rPr>
          <w:rFonts w:ascii="Aptos" w:hAnsi="Aptos"/>
          <w:sz w:val="24"/>
          <w:szCs w:val="24"/>
        </w:rPr>
        <w:t xml:space="preserve"> Condron. L.M.  (2014). Is tillage an effective method to decrease phosphorus loss from phosphorus enriched pastoral </w:t>
      </w:r>
      <w:r w:rsidR="00721BE1" w:rsidRPr="001D2FCB">
        <w:rPr>
          <w:rFonts w:ascii="Aptos" w:hAnsi="Aptos"/>
          <w:sz w:val="24"/>
          <w:szCs w:val="24"/>
        </w:rPr>
        <w:t>soils?</w:t>
      </w:r>
      <w:r w:rsidRPr="001D2FCB">
        <w:rPr>
          <w:rFonts w:ascii="Aptos" w:hAnsi="Aptos"/>
          <w:sz w:val="24"/>
          <w:szCs w:val="24"/>
        </w:rPr>
        <w:t xml:space="preserve"> </w:t>
      </w:r>
      <w:r w:rsidRPr="001D2FCB">
        <w:rPr>
          <w:rFonts w:ascii="Aptos" w:hAnsi="Aptos"/>
          <w:i/>
          <w:iCs/>
          <w:sz w:val="24"/>
          <w:szCs w:val="24"/>
        </w:rPr>
        <w:t>Soil and Tillage Research, 135</w:t>
      </w:r>
      <w:r w:rsidRPr="001D2FCB">
        <w:rPr>
          <w:rFonts w:ascii="Aptos" w:hAnsi="Aptos"/>
          <w:sz w:val="24"/>
          <w:szCs w:val="24"/>
        </w:rPr>
        <w:t xml:space="preserve">, </w:t>
      </w:r>
      <w:r w:rsidR="00721BE1">
        <w:rPr>
          <w:rFonts w:ascii="Aptos" w:hAnsi="Aptos"/>
          <w:sz w:val="24"/>
          <w:szCs w:val="24"/>
        </w:rPr>
        <w:t>1 – 8.</w:t>
      </w:r>
      <w:r w:rsidRPr="001D2FCB">
        <w:rPr>
          <w:rFonts w:ascii="Aptos" w:hAnsi="Aptos"/>
          <w:sz w:val="24"/>
          <w:szCs w:val="24"/>
        </w:rPr>
        <w:t xml:space="preserve"> </w:t>
      </w:r>
      <w:hyperlink r:id="rId19" w:history="1">
        <w:r w:rsidR="00E31C8B" w:rsidRPr="001532E6">
          <w:rPr>
            <w:rStyle w:val="Hyperlink"/>
            <w:rFonts w:ascii="Aptos" w:hAnsi="Aptos"/>
            <w:sz w:val="24"/>
            <w:szCs w:val="24"/>
          </w:rPr>
          <w:t>https://doi.org/10.1016/j.still.2013.08.015</w:t>
        </w:r>
      </w:hyperlink>
      <w:r w:rsidR="00E31C8B">
        <w:rPr>
          <w:rFonts w:ascii="Aptos" w:hAnsi="Aptos"/>
          <w:sz w:val="24"/>
          <w:szCs w:val="24"/>
        </w:rPr>
        <w:t xml:space="preserve"> </w:t>
      </w:r>
      <w:r w:rsidR="00721BE1">
        <w:rPr>
          <w:rFonts w:ascii="Aptos" w:hAnsi="Aptos"/>
          <w:sz w:val="24"/>
          <w:szCs w:val="24"/>
        </w:rPr>
        <w:t xml:space="preserve"> </w:t>
      </w:r>
    </w:p>
    <w:p w14:paraId="2175B8D0" w14:textId="35F08929" w:rsidR="009A3B2F" w:rsidRPr="001D2FCB" w:rsidRDefault="009A3B2F" w:rsidP="000E6F34">
      <w:pPr>
        <w:spacing w:after="120" w:line="360" w:lineRule="auto"/>
        <w:ind w:left="284" w:hanging="284"/>
        <w:rPr>
          <w:rFonts w:ascii="Aptos" w:hAnsi="Aptos"/>
          <w:sz w:val="24"/>
          <w:szCs w:val="24"/>
        </w:rPr>
      </w:pPr>
      <w:r w:rsidRPr="001D2FCB">
        <w:rPr>
          <w:rFonts w:ascii="Aptos" w:hAnsi="Aptos"/>
          <w:sz w:val="24"/>
          <w:szCs w:val="24"/>
        </w:rPr>
        <w:t xml:space="preserve">Elias, D.M.O., Mason, K.E., Howell,K.,  Mitschunas,N., Hulmes, L.,  Hulmes, S.,  Lebron, I., Pywell, R.F., </w:t>
      </w:r>
      <w:r w:rsidR="00691F4E">
        <w:rPr>
          <w:rFonts w:ascii="Aptos" w:hAnsi="Aptos"/>
          <w:sz w:val="24"/>
          <w:szCs w:val="24"/>
        </w:rPr>
        <w:t xml:space="preserve">&amp; </w:t>
      </w:r>
      <w:r w:rsidRPr="001D2FCB">
        <w:rPr>
          <w:rFonts w:ascii="Aptos" w:hAnsi="Aptos"/>
          <w:sz w:val="24"/>
          <w:szCs w:val="24"/>
        </w:rPr>
        <w:t xml:space="preserve">McNamara, N.P. (2023). The potential to increase grassland soil C stocks by extending reseeding intervals is dependent on soil texture and depth, </w:t>
      </w:r>
      <w:r w:rsidRPr="001D2FCB">
        <w:rPr>
          <w:rFonts w:ascii="Aptos" w:hAnsi="Aptos"/>
          <w:i/>
          <w:iCs/>
          <w:sz w:val="24"/>
          <w:szCs w:val="24"/>
        </w:rPr>
        <w:t>Journal of Environmental Management, 334</w:t>
      </w:r>
      <w:r w:rsidRPr="001D2FCB">
        <w:rPr>
          <w:rFonts w:ascii="Aptos" w:hAnsi="Aptos"/>
          <w:sz w:val="24"/>
          <w:szCs w:val="24"/>
        </w:rPr>
        <w:t>, 117465</w:t>
      </w:r>
      <w:r w:rsidR="00691F4E">
        <w:rPr>
          <w:rFonts w:ascii="Aptos" w:hAnsi="Aptos"/>
          <w:sz w:val="24"/>
          <w:szCs w:val="24"/>
        </w:rPr>
        <w:t>.</w:t>
      </w:r>
      <w:r w:rsidRPr="001D2FCB">
        <w:rPr>
          <w:rFonts w:ascii="Aptos" w:hAnsi="Aptos"/>
          <w:sz w:val="24"/>
          <w:szCs w:val="24"/>
        </w:rPr>
        <w:t xml:space="preserve"> </w:t>
      </w:r>
      <w:hyperlink r:id="rId20" w:history="1">
        <w:r w:rsidR="00691F4E" w:rsidRPr="00AB14D8">
          <w:rPr>
            <w:rStyle w:val="Hyperlink"/>
            <w:rFonts w:ascii="Aptos" w:hAnsi="Aptos"/>
            <w:sz w:val="24"/>
            <w:szCs w:val="24"/>
          </w:rPr>
          <w:t>https://doi.org/10.1016/j.jenvman.2023.117465</w:t>
        </w:r>
      </w:hyperlink>
      <w:r w:rsidR="00691F4E">
        <w:rPr>
          <w:rFonts w:ascii="Aptos" w:hAnsi="Aptos"/>
          <w:sz w:val="24"/>
          <w:szCs w:val="24"/>
        </w:rPr>
        <w:t xml:space="preserve"> </w:t>
      </w:r>
    </w:p>
    <w:p w14:paraId="3C3FC9EC" w14:textId="77777777" w:rsidR="009A3B2F" w:rsidRPr="001D2FCB" w:rsidRDefault="009A3B2F" w:rsidP="008B224F">
      <w:pPr>
        <w:spacing w:after="120" w:line="360" w:lineRule="auto"/>
        <w:ind w:left="284" w:hanging="284"/>
        <w:rPr>
          <w:rFonts w:ascii="Aptos" w:hAnsi="Aptos"/>
          <w:sz w:val="24"/>
          <w:szCs w:val="24"/>
        </w:rPr>
      </w:pPr>
      <w:r w:rsidRPr="001D2FCB">
        <w:rPr>
          <w:rFonts w:ascii="Aptos" w:hAnsi="Aptos"/>
          <w:sz w:val="24"/>
          <w:szCs w:val="24"/>
        </w:rPr>
        <w:t xml:space="preserve">FAO. (2021). Standard operating procedure for soil pH determination. Rome. </w:t>
      </w:r>
      <w:hyperlink r:id="rId21" w:history="1">
        <w:r w:rsidRPr="001D2FCB">
          <w:rPr>
            <w:rStyle w:val="Hyperlink"/>
            <w:rFonts w:ascii="Aptos" w:hAnsi="Aptos"/>
            <w:sz w:val="24"/>
            <w:szCs w:val="24"/>
          </w:rPr>
          <w:t>https://openknowledge.fao.org/server/api/core/bitstreams/6ad6862a-eadc-437c-b359-ef14cb687222/content</w:t>
        </w:r>
      </w:hyperlink>
    </w:p>
    <w:p w14:paraId="76322BB6" w14:textId="77777777" w:rsidR="009A3B2F" w:rsidRPr="001D2FCB" w:rsidRDefault="009A3B2F" w:rsidP="008B224F">
      <w:pPr>
        <w:autoSpaceDE w:val="0"/>
        <w:autoSpaceDN w:val="0"/>
        <w:adjustRightInd w:val="0"/>
        <w:spacing w:after="0" w:line="240" w:lineRule="auto"/>
        <w:rPr>
          <w:rFonts w:ascii="Aptos" w:hAnsi="Aptos" w:cs="AdvOT569473da"/>
          <w:color w:val="000000" w:themeColor="text1"/>
          <w:kern w:val="0"/>
        </w:rPr>
      </w:pPr>
    </w:p>
    <w:p w14:paraId="31A49B56" w14:textId="3180B3CA" w:rsidR="00FC6283" w:rsidRDefault="009A3B2F" w:rsidP="008B224F">
      <w:pPr>
        <w:spacing w:after="120" w:line="360" w:lineRule="auto"/>
        <w:ind w:left="284" w:hanging="284"/>
        <w:rPr>
          <w:rStyle w:val="accordion-tabbedtab-mobile"/>
          <w:rFonts w:ascii="Aptos" w:hAnsi="Aptos" w:cs="Open Sans"/>
          <w:color w:val="1C1D1E"/>
          <w:sz w:val="24"/>
          <w:szCs w:val="24"/>
          <w:bdr w:val="none" w:sz="0" w:space="0" w:color="auto" w:frame="1"/>
        </w:rPr>
      </w:pPr>
      <w:r w:rsidRPr="00691F4E">
        <w:rPr>
          <w:rFonts w:ascii="Aptos" w:hAnsi="Aptos" w:cs="Arial"/>
          <w:color w:val="000000" w:themeColor="text1"/>
          <w:sz w:val="24"/>
          <w:szCs w:val="24"/>
        </w:rPr>
        <w:t>Ferreira, A.O., Moraes Sa</w:t>
      </w:r>
      <w:r w:rsidR="00736C90">
        <w:rPr>
          <w:rFonts w:ascii="Aptos" w:hAnsi="Aptos" w:cs="Arial"/>
          <w:color w:val="000000" w:themeColor="text1"/>
          <w:sz w:val="24"/>
          <w:szCs w:val="24"/>
        </w:rPr>
        <w:t>’</w:t>
      </w:r>
      <w:r w:rsidRPr="00691F4E">
        <w:rPr>
          <w:rFonts w:ascii="Aptos" w:hAnsi="Aptos" w:cs="Arial"/>
          <w:color w:val="000000" w:themeColor="text1"/>
          <w:sz w:val="24"/>
          <w:szCs w:val="24"/>
        </w:rPr>
        <w:t xml:space="preserve">, J.C., Lal, R., Barth, B.M.,  Inagaki, T.N.,  Gonçalves, D.G., Briedisf, C., Tomaz, A.R., &amp; da Silva, W.R. (2024). Why no-till system </w:t>
      </w:r>
      <w:r w:rsidR="00134697" w:rsidRPr="00691F4E">
        <w:rPr>
          <w:rFonts w:ascii="Aptos" w:hAnsi="Aptos" w:cs="Arial"/>
          <w:color w:val="000000" w:themeColor="text1"/>
          <w:sz w:val="24"/>
          <w:szCs w:val="24"/>
        </w:rPr>
        <w:t>sequesters</w:t>
      </w:r>
      <w:r w:rsidRPr="00691F4E">
        <w:rPr>
          <w:rFonts w:ascii="Aptos" w:hAnsi="Aptos" w:cs="Arial"/>
          <w:color w:val="000000" w:themeColor="text1"/>
          <w:sz w:val="24"/>
          <w:szCs w:val="24"/>
        </w:rPr>
        <w:t xml:space="preserve"> more carbon and is more resilient and productive with contrasting fertilization regimes in highly weathered soil? </w:t>
      </w:r>
      <w:r w:rsidRPr="00691F4E">
        <w:rPr>
          <w:rFonts w:ascii="Aptos" w:hAnsi="Aptos" w:cs="Arial"/>
          <w:i/>
          <w:iCs/>
          <w:color w:val="000000" w:themeColor="text1"/>
          <w:sz w:val="24"/>
          <w:szCs w:val="24"/>
        </w:rPr>
        <w:t>Soil &amp; Tillage Research</w:t>
      </w:r>
      <w:r w:rsidR="00395F50">
        <w:rPr>
          <w:rFonts w:ascii="Aptos" w:hAnsi="Aptos" w:cs="Arial"/>
          <w:color w:val="000000" w:themeColor="text1"/>
          <w:sz w:val="24"/>
          <w:szCs w:val="24"/>
        </w:rPr>
        <w:t>,</w:t>
      </w:r>
      <w:r w:rsidRPr="00691F4E">
        <w:rPr>
          <w:rFonts w:ascii="Aptos" w:hAnsi="Aptos" w:cs="Arial"/>
          <w:i/>
          <w:iCs/>
          <w:color w:val="000000" w:themeColor="text1"/>
          <w:sz w:val="24"/>
          <w:szCs w:val="24"/>
        </w:rPr>
        <w:t xml:space="preserve"> 244,</w:t>
      </w:r>
      <w:r w:rsidRPr="00691F4E">
        <w:rPr>
          <w:rFonts w:ascii="Aptos" w:hAnsi="Aptos" w:cs="Arial"/>
          <w:color w:val="000000" w:themeColor="text1"/>
          <w:sz w:val="24"/>
          <w:szCs w:val="24"/>
        </w:rPr>
        <w:t xml:space="preserve"> 106179. </w:t>
      </w:r>
      <w:hyperlink r:id="rId22" w:history="1">
        <w:r w:rsidRPr="00691F4E">
          <w:rPr>
            <w:rStyle w:val="Hyperlink"/>
            <w:rFonts w:ascii="Aptos" w:hAnsi="Aptos" w:cs="Arial"/>
            <w:sz w:val="24"/>
            <w:szCs w:val="24"/>
          </w:rPr>
          <w:t>https://doi.org/10.1016/j.still.2024.106179</w:t>
        </w:r>
      </w:hyperlink>
      <w:r w:rsidRPr="00691F4E">
        <w:rPr>
          <w:rStyle w:val="accordion-tabbedtab-mobile"/>
          <w:rFonts w:ascii="Aptos" w:hAnsi="Aptos" w:cs="Open Sans"/>
          <w:color w:val="1C1D1E"/>
          <w:sz w:val="24"/>
          <w:szCs w:val="24"/>
          <w:bdr w:val="none" w:sz="0" w:space="0" w:color="auto" w:frame="1"/>
        </w:rPr>
        <w:t xml:space="preserve"> </w:t>
      </w:r>
    </w:p>
    <w:p w14:paraId="7DC3E22B" w14:textId="045F6BB0" w:rsidR="009A3B2F" w:rsidRPr="00691F4E" w:rsidRDefault="00FC6283" w:rsidP="008B224F">
      <w:pPr>
        <w:spacing w:after="120" w:line="360" w:lineRule="auto"/>
        <w:ind w:left="284" w:hanging="284"/>
        <w:rPr>
          <w:rFonts w:ascii="Aptos" w:hAnsi="Aptos" w:cs="Open Sans"/>
          <w:color w:val="767676"/>
          <w:sz w:val="24"/>
          <w:szCs w:val="24"/>
        </w:rPr>
      </w:pPr>
      <w:r>
        <w:rPr>
          <w:rStyle w:val="accordion-tabbedtab-mobile"/>
          <w:rFonts w:ascii="Aptos" w:hAnsi="Aptos" w:cs="Open Sans"/>
          <w:color w:val="1C1D1E"/>
          <w:sz w:val="24"/>
          <w:szCs w:val="24"/>
          <w:bdr w:val="none" w:sz="0" w:space="0" w:color="auto" w:frame="1"/>
        </w:rPr>
        <w:t>G</w:t>
      </w:r>
      <w:r w:rsidR="00D141FA">
        <w:rPr>
          <w:rStyle w:val="accordion-tabbedtab-mobile"/>
          <w:rFonts w:ascii="Aptos" w:hAnsi="Aptos" w:cs="Open Sans"/>
          <w:color w:val="1C1D1E"/>
          <w:sz w:val="24"/>
          <w:szCs w:val="24"/>
          <w:bdr w:val="none" w:sz="0" w:space="0" w:color="auto" w:frame="1"/>
        </w:rPr>
        <w:t xml:space="preserve">oulding, </w:t>
      </w:r>
      <w:r w:rsidR="009A3B2F" w:rsidRPr="00691F4E">
        <w:rPr>
          <w:rStyle w:val="accordion-tabbedtab-mobile"/>
          <w:rFonts w:ascii="Aptos" w:hAnsi="Aptos" w:cs="Open Sans"/>
          <w:color w:val="1C1D1E"/>
          <w:sz w:val="24"/>
          <w:szCs w:val="24"/>
          <w:bdr w:val="none" w:sz="0" w:space="0" w:color="auto" w:frame="1"/>
        </w:rPr>
        <w:t xml:space="preserve">K. W. T. (2016). </w:t>
      </w:r>
      <w:r w:rsidR="009A3B2F" w:rsidRPr="00691F4E">
        <w:rPr>
          <w:rFonts w:ascii="Aptos" w:hAnsi="Aptos" w:cs="Open Sans"/>
          <w:color w:val="1C1D1E"/>
          <w:sz w:val="24"/>
          <w:szCs w:val="24"/>
        </w:rPr>
        <w:t xml:space="preserve">Soil acidification and the importance of liming agricultural soils with particular reference to the United Kingdom. </w:t>
      </w:r>
      <w:r w:rsidR="009A3B2F" w:rsidRPr="00691F4E">
        <w:rPr>
          <w:rFonts w:ascii="Aptos" w:hAnsi="Aptos" w:cs="Open Sans"/>
          <w:i/>
          <w:iCs/>
          <w:color w:val="1C1D1E"/>
          <w:sz w:val="24"/>
          <w:szCs w:val="24"/>
        </w:rPr>
        <w:t>Soil Use and Management, 32</w:t>
      </w:r>
      <w:r w:rsidR="009A3B2F" w:rsidRPr="00691F4E">
        <w:rPr>
          <w:rFonts w:ascii="Aptos" w:hAnsi="Aptos" w:cs="Open Sans"/>
          <w:color w:val="1C1D1E"/>
          <w:sz w:val="24"/>
          <w:szCs w:val="24"/>
        </w:rPr>
        <w:t xml:space="preserve">, </w:t>
      </w:r>
      <w:r w:rsidR="00EE066E">
        <w:rPr>
          <w:rFonts w:ascii="Aptos" w:hAnsi="Aptos" w:cs="Open Sans"/>
          <w:color w:val="1C1D1E"/>
          <w:sz w:val="24"/>
          <w:szCs w:val="24"/>
        </w:rPr>
        <w:t xml:space="preserve">390 </w:t>
      </w:r>
      <w:r w:rsidR="005E44CD">
        <w:rPr>
          <w:rFonts w:ascii="Aptos" w:hAnsi="Aptos" w:cs="Open Sans"/>
          <w:color w:val="1C1D1E"/>
          <w:sz w:val="24"/>
          <w:szCs w:val="24"/>
        </w:rPr>
        <w:t>–</w:t>
      </w:r>
      <w:r w:rsidR="00EE066E">
        <w:rPr>
          <w:rFonts w:ascii="Aptos" w:hAnsi="Aptos" w:cs="Open Sans"/>
          <w:color w:val="1C1D1E"/>
          <w:sz w:val="24"/>
          <w:szCs w:val="24"/>
        </w:rPr>
        <w:t xml:space="preserve"> 399</w:t>
      </w:r>
      <w:r w:rsidR="005E44CD">
        <w:rPr>
          <w:rFonts w:ascii="Aptos" w:hAnsi="Aptos" w:cs="Open Sans"/>
          <w:color w:val="1C1D1E"/>
          <w:sz w:val="24"/>
          <w:szCs w:val="24"/>
        </w:rPr>
        <w:t>.</w:t>
      </w:r>
      <w:r w:rsidR="009A3B2F" w:rsidRPr="00691F4E">
        <w:rPr>
          <w:rFonts w:ascii="Aptos" w:hAnsi="Aptos" w:cs="Open Sans"/>
          <w:color w:val="1C1D1E"/>
          <w:sz w:val="24"/>
          <w:szCs w:val="24"/>
        </w:rPr>
        <w:t xml:space="preserve"> </w:t>
      </w:r>
      <w:hyperlink r:id="rId23" w:history="1">
        <w:r w:rsidR="009A3B2F" w:rsidRPr="00691F4E">
          <w:rPr>
            <w:rStyle w:val="Hyperlink"/>
            <w:rFonts w:ascii="Aptos" w:hAnsi="Aptos" w:cs="Open Sans"/>
            <w:b/>
            <w:bCs/>
            <w:sz w:val="24"/>
            <w:szCs w:val="24"/>
          </w:rPr>
          <w:t>https://doi.org/10.1111/sum.12270</w:t>
        </w:r>
      </w:hyperlink>
    </w:p>
    <w:p w14:paraId="5EC891F7" w14:textId="6CFA818F" w:rsidR="009A3B2F" w:rsidRPr="00691F4E" w:rsidRDefault="009A3B2F" w:rsidP="008B224F">
      <w:pPr>
        <w:spacing w:after="120" w:line="360" w:lineRule="auto"/>
        <w:ind w:left="284" w:hanging="284"/>
        <w:rPr>
          <w:rFonts w:ascii="Aptos" w:hAnsi="Aptos" w:cs="Open Sans"/>
          <w:color w:val="767676"/>
          <w:sz w:val="24"/>
          <w:szCs w:val="24"/>
        </w:rPr>
      </w:pPr>
      <w:r w:rsidRPr="00691F4E">
        <w:rPr>
          <w:rFonts w:ascii="Aptos" w:hAnsi="Aptos" w:cs="Arial"/>
          <w:color w:val="000000" w:themeColor="text1"/>
          <w:kern w:val="0"/>
          <w:sz w:val="24"/>
          <w:szCs w:val="24"/>
        </w:rPr>
        <w:t xml:space="preserve">Hassan, W., Li, Y., Saba, T, Jabbi, F., Wang, B., Cai, A., &amp; Wu, J. (2022). Improved and Sustainable Agroecosystem, Food Security and Environmental Resilience through Zero Tillage with Emphasis on Soils of Temperate and Subtropical Climate Regions: </w:t>
      </w:r>
      <w:r w:rsidRPr="00691F4E">
        <w:rPr>
          <w:rFonts w:ascii="Aptos" w:hAnsi="Aptos" w:cs="Arial"/>
          <w:color w:val="000000" w:themeColor="text1"/>
          <w:kern w:val="0"/>
          <w:sz w:val="24"/>
          <w:szCs w:val="24"/>
        </w:rPr>
        <w:lastRenderedPageBreak/>
        <w:t>A Review. Int</w:t>
      </w:r>
      <w:r w:rsidR="005E44CD">
        <w:rPr>
          <w:rFonts w:ascii="Aptos" w:hAnsi="Aptos" w:cs="Arial"/>
          <w:color w:val="000000" w:themeColor="text1"/>
          <w:kern w:val="0"/>
          <w:sz w:val="24"/>
          <w:szCs w:val="24"/>
        </w:rPr>
        <w:t>ernational</w:t>
      </w:r>
      <w:r w:rsidRPr="00691F4E">
        <w:rPr>
          <w:rFonts w:ascii="Aptos" w:hAnsi="Aptos" w:cs="Arial"/>
          <w:color w:val="000000" w:themeColor="text1"/>
          <w:kern w:val="0"/>
          <w:sz w:val="24"/>
          <w:szCs w:val="24"/>
        </w:rPr>
        <w:t xml:space="preserve"> </w:t>
      </w:r>
      <w:r w:rsidRPr="00691F4E">
        <w:rPr>
          <w:rFonts w:ascii="Aptos" w:hAnsi="Aptos" w:cs="Arial"/>
          <w:i/>
          <w:iCs/>
          <w:color w:val="000000" w:themeColor="text1"/>
          <w:kern w:val="0"/>
          <w:sz w:val="24"/>
          <w:szCs w:val="24"/>
        </w:rPr>
        <w:t xml:space="preserve">Soil </w:t>
      </w:r>
      <w:r w:rsidR="006F0C3F">
        <w:rPr>
          <w:rFonts w:ascii="Aptos" w:hAnsi="Aptos" w:cs="Arial"/>
          <w:i/>
          <w:iCs/>
          <w:color w:val="000000" w:themeColor="text1"/>
          <w:kern w:val="0"/>
          <w:sz w:val="24"/>
          <w:szCs w:val="24"/>
        </w:rPr>
        <w:t xml:space="preserve">and </w:t>
      </w:r>
      <w:r w:rsidRPr="00691F4E">
        <w:rPr>
          <w:rFonts w:ascii="Aptos" w:hAnsi="Aptos" w:cs="Arial"/>
          <w:i/>
          <w:iCs/>
          <w:color w:val="000000" w:themeColor="text1"/>
          <w:kern w:val="0"/>
          <w:sz w:val="24"/>
          <w:szCs w:val="24"/>
        </w:rPr>
        <w:t>Water</w:t>
      </w:r>
      <w:r w:rsidR="006F0C3F">
        <w:rPr>
          <w:rFonts w:ascii="Aptos" w:hAnsi="Aptos" w:cs="Arial"/>
          <w:i/>
          <w:iCs/>
          <w:color w:val="000000" w:themeColor="text1"/>
          <w:kern w:val="0"/>
          <w:sz w:val="24"/>
          <w:szCs w:val="24"/>
        </w:rPr>
        <w:t xml:space="preserve"> </w:t>
      </w:r>
      <w:r w:rsidRPr="00691F4E">
        <w:rPr>
          <w:rFonts w:ascii="Aptos" w:hAnsi="Aptos" w:cs="Arial"/>
          <w:i/>
          <w:iCs/>
          <w:color w:val="000000" w:themeColor="text1"/>
          <w:kern w:val="0"/>
          <w:sz w:val="24"/>
          <w:szCs w:val="24"/>
        </w:rPr>
        <w:t>Conservation Research,10,</w:t>
      </w:r>
      <w:r w:rsidRPr="00691F4E">
        <w:rPr>
          <w:rFonts w:ascii="Aptos" w:hAnsi="Aptos" w:cs="Arial"/>
          <w:color w:val="000000" w:themeColor="text1"/>
          <w:kern w:val="0"/>
          <w:sz w:val="24"/>
          <w:szCs w:val="24"/>
        </w:rPr>
        <w:t xml:space="preserve"> </w:t>
      </w:r>
      <w:r w:rsidR="006F0C3F">
        <w:rPr>
          <w:rFonts w:ascii="Aptos" w:hAnsi="Aptos" w:cs="Arial"/>
          <w:color w:val="000000" w:themeColor="text1"/>
          <w:kern w:val="0"/>
          <w:sz w:val="24"/>
          <w:szCs w:val="24"/>
        </w:rPr>
        <w:t xml:space="preserve">530 </w:t>
      </w:r>
      <w:r w:rsidR="00BC5EE6">
        <w:rPr>
          <w:rFonts w:ascii="Aptos" w:hAnsi="Aptos" w:cs="Arial"/>
          <w:color w:val="000000" w:themeColor="text1"/>
          <w:kern w:val="0"/>
          <w:sz w:val="24"/>
          <w:szCs w:val="24"/>
        </w:rPr>
        <w:t>–</w:t>
      </w:r>
      <w:r w:rsidR="006F0C3F">
        <w:rPr>
          <w:rFonts w:ascii="Aptos" w:hAnsi="Aptos" w:cs="Arial"/>
          <w:color w:val="000000" w:themeColor="text1"/>
          <w:kern w:val="0"/>
          <w:sz w:val="24"/>
          <w:szCs w:val="24"/>
        </w:rPr>
        <w:t xml:space="preserve"> 545</w:t>
      </w:r>
      <w:r w:rsidR="00BC5EE6">
        <w:rPr>
          <w:rFonts w:ascii="Aptos" w:hAnsi="Aptos" w:cs="Arial"/>
          <w:color w:val="000000" w:themeColor="text1"/>
          <w:kern w:val="0"/>
          <w:sz w:val="24"/>
          <w:szCs w:val="24"/>
        </w:rPr>
        <w:t>.</w:t>
      </w:r>
      <w:r w:rsidRPr="00691F4E">
        <w:rPr>
          <w:rFonts w:ascii="Aptos" w:hAnsi="Aptos" w:cs="Arial"/>
          <w:color w:val="000000" w:themeColor="text1"/>
          <w:kern w:val="0"/>
          <w:sz w:val="24"/>
          <w:szCs w:val="24"/>
        </w:rPr>
        <w:t xml:space="preserve"> </w:t>
      </w:r>
      <w:hyperlink r:id="rId24" w:tgtFrame="_blank" w:tooltip="Persistent link using digital object identifier" w:history="1">
        <w:r w:rsidRPr="00691F4E">
          <w:rPr>
            <w:rStyle w:val="anchor-text"/>
            <w:rFonts w:ascii="Aptos" w:hAnsi="Aptos" w:cs="Arial"/>
            <w:color w:val="0000FF"/>
            <w:sz w:val="24"/>
            <w:szCs w:val="24"/>
          </w:rPr>
          <w:t>https://doi.org/10.1016/j.iswcr.2022.01.005</w:t>
        </w:r>
      </w:hyperlink>
    </w:p>
    <w:p w14:paraId="4F94A4CB" w14:textId="64E6CBAF" w:rsidR="009A3B2F" w:rsidRPr="000E6F34" w:rsidRDefault="009A3B2F" w:rsidP="008B224F">
      <w:pPr>
        <w:spacing w:after="120" w:line="360" w:lineRule="auto"/>
        <w:ind w:left="284" w:hanging="284"/>
        <w:rPr>
          <w:rFonts w:ascii="Aptos" w:hAnsi="Aptos" w:cs="Arial"/>
          <w:color w:val="000000" w:themeColor="text1"/>
          <w:sz w:val="24"/>
          <w:szCs w:val="24"/>
        </w:rPr>
      </w:pPr>
      <w:r w:rsidRPr="000E6F34">
        <w:rPr>
          <w:rFonts w:ascii="Aptos" w:hAnsi="Aptos" w:cs="Arial"/>
          <w:color w:val="000000" w:themeColor="text1"/>
          <w:sz w:val="24"/>
          <w:szCs w:val="24"/>
        </w:rPr>
        <w:t>Harris, P., Bol, R.</w:t>
      </w:r>
      <w:r w:rsidR="00BC5EE6" w:rsidRPr="000E6F34">
        <w:rPr>
          <w:rFonts w:ascii="Aptos" w:hAnsi="Aptos" w:cs="Arial"/>
          <w:color w:val="000000" w:themeColor="text1"/>
          <w:sz w:val="24"/>
          <w:szCs w:val="24"/>
        </w:rPr>
        <w:t>, Evans</w:t>
      </w:r>
      <w:r w:rsidRPr="000E6F34">
        <w:rPr>
          <w:rFonts w:ascii="Aptos" w:hAnsi="Aptos" w:cs="Arial"/>
          <w:color w:val="000000" w:themeColor="text1"/>
          <w:sz w:val="24"/>
          <w:szCs w:val="24"/>
        </w:rPr>
        <w:t>, J.,</w:t>
      </w:r>
      <w:r w:rsidR="00BC5EE6" w:rsidRPr="000E6F34">
        <w:rPr>
          <w:rFonts w:ascii="Aptos" w:hAnsi="Aptos" w:cs="Arial"/>
          <w:color w:val="000000" w:themeColor="text1"/>
          <w:sz w:val="24"/>
          <w:szCs w:val="24"/>
        </w:rPr>
        <w:t xml:space="preserve"> </w:t>
      </w:r>
      <w:r w:rsidRPr="000E6F34">
        <w:rPr>
          <w:rFonts w:ascii="Aptos" w:hAnsi="Aptos" w:cs="Arial"/>
          <w:color w:val="000000" w:themeColor="text1"/>
          <w:sz w:val="24"/>
          <w:szCs w:val="24"/>
        </w:rPr>
        <w:t>Hawkins, J.M.B., Dixona, E.R., Wolf, K., Dungait, J.A.J.</w:t>
      </w:r>
      <w:r w:rsidR="00BC5EE6" w:rsidRPr="000E6F34">
        <w:rPr>
          <w:rFonts w:ascii="Aptos" w:hAnsi="Aptos" w:cs="Arial"/>
          <w:color w:val="000000" w:themeColor="text1"/>
          <w:sz w:val="24"/>
          <w:szCs w:val="24"/>
        </w:rPr>
        <w:t>, Griffith</w:t>
      </w:r>
      <w:r w:rsidRPr="000E6F34">
        <w:rPr>
          <w:rFonts w:ascii="Aptos" w:hAnsi="Aptos" w:cs="Arial"/>
          <w:color w:val="000000" w:themeColor="text1"/>
          <w:sz w:val="24"/>
          <w:szCs w:val="24"/>
        </w:rPr>
        <w:t>, B., Herbst, M.</w:t>
      </w:r>
      <w:r w:rsidR="008B3487" w:rsidRPr="000E6F34">
        <w:rPr>
          <w:rFonts w:ascii="Aptos" w:hAnsi="Aptos" w:cs="Arial"/>
          <w:color w:val="000000" w:themeColor="text1"/>
          <w:sz w:val="24"/>
          <w:szCs w:val="24"/>
        </w:rPr>
        <w:t>, Dhanoa</w:t>
      </w:r>
      <w:r w:rsidRPr="000E6F34">
        <w:rPr>
          <w:rFonts w:ascii="Aptos" w:hAnsi="Aptos" w:cs="Arial"/>
          <w:color w:val="000000" w:themeColor="text1"/>
          <w:sz w:val="24"/>
          <w:szCs w:val="24"/>
        </w:rPr>
        <w:t>, M.S., Beaumont, D.B., Dunna, R.M., &amp; Wiesenberg, G.L.B. (2018). Effect of long-term drainage on plant community, soil carbon and nitrogen contents and stable isotopic (</w:t>
      </w:r>
      <w:r w:rsidRPr="000E6F34">
        <w:rPr>
          <w:rFonts w:ascii="Cambria Math" w:hAnsi="Cambria Math" w:cs="Cambria Math"/>
          <w:color w:val="000000" w:themeColor="text1"/>
          <w:sz w:val="24"/>
          <w:szCs w:val="24"/>
        </w:rPr>
        <w:t>𝜹</w:t>
      </w:r>
      <w:r w:rsidRPr="000E6F34">
        <w:rPr>
          <w:rFonts w:ascii="Aptos" w:hAnsi="Aptos" w:cs="Arial"/>
          <w:color w:val="000000" w:themeColor="text1"/>
          <w:sz w:val="24"/>
          <w:szCs w:val="24"/>
        </w:rPr>
        <w:t xml:space="preserve">13C, </w:t>
      </w:r>
      <w:r w:rsidRPr="000E6F34">
        <w:rPr>
          <w:rFonts w:ascii="Cambria Math" w:hAnsi="Cambria Math" w:cs="Cambria Math"/>
          <w:color w:val="000000" w:themeColor="text1"/>
          <w:sz w:val="24"/>
          <w:szCs w:val="24"/>
        </w:rPr>
        <w:t>𝜹</w:t>
      </w:r>
      <w:r w:rsidRPr="000E6F34">
        <w:rPr>
          <w:rFonts w:ascii="Aptos" w:hAnsi="Aptos" w:cs="Arial"/>
          <w:color w:val="000000" w:themeColor="text1"/>
          <w:sz w:val="24"/>
          <w:szCs w:val="24"/>
        </w:rPr>
        <w:t xml:space="preserve">15N) composition of a permanent grassland. </w:t>
      </w:r>
      <w:r w:rsidRPr="000E6F34">
        <w:rPr>
          <w:rFonts w:ascii="Aptos" w:hAnsi="Aptos" w:cs="Arial"/>
          <w:i/>
          <w:iCs/>
          <w:color w:val="000000" w:themeColor="text1"/>
          <w:sz w:val="24"/>
          <w:szCs w:val="24"/>
        </w:rPr>
        <w:t>European Journal of Soil Science, 69,</w:t>
      </w:r>
      <w:r w:rsidRPr="000E6F34">
        <w:rPr>
          <w:rFonts w:ascii="Aptos" w:hAnsi="Aptos" w:cs="Arial"/>
          <w:color w:val="000000" w:themeColor="text1"/>
          <w:sz w:val="24"/>
          <w:szCs w:val="24"/>
        </w:rPr>
        <w:t xml:space="preserve"> 4</w:t>
      </w:r>
      <w:r w:rsidR="00B57B0D" w:rsidRPr="000E6F34">
        <w:rPr>
          <w:rFonts w:ascii="Aptos" w:hAnsi="Aptos" w:cs="Arial"/>
          <w:color w:val="000000" w:themeColor="text1"/>
          <w:sz w:val="24"/>
          <w:szCs w:val="24"/>
        </w:rPr>
        <w:t>8 – 68.</w:t>
      </w:r>
      <w:r w:rsidRPr="000E6F34">
        <w:rPr>
          <w:rFonts w:ascii="Aptos" w:hAnsi="Aptos" w:cs="Arial"/>
          <w:color w:val="000000" w:themeColor="text1"/>
          <w:sz w:val="24"/>
          <w:szCs w:val="24"/>
        </w:rPr>
        <w:t xml:space="preserve">  </w:t>
      </w:r>
      <w:hyperlink r:id="rId25" w:history="1">
        <w:r w:rsidRPr="000E6F34">
          <w:rPr>
            <w:rStyle w:val="Hyperlink"/>
            <w:rFonts w:ascii="Aptos" w:hAnsi="Aptos" w:cs="Arial"/>
            <w:color w:val="000000" w:themeColor="text1"/>
            <w:sz w:val="24"/>
            <w:szCs w:val="24"/>
          </w:rPr>
          <w:t>https://doi.org/10.1111/ejss.12504</w:t>
        </w:r>
      </w:hyperlink>
    </w:p>
    <w:p w14:paraId="1482E773" w14:textId="51F3C824" w:rsidR="009A3B2F" w:rsidRPr="009F4958" w:rsidRDefault="009A3B2F" w:rsidP="008B224F">
      <w:pPr>
        <w:spacing w:after="120" w:line="360" w:lineRule="auto"/>
        <w:ind w:left="284" w:hanging="284"/>
        <w:rPr>
          <w:rStyle w:val="Hyperlink"/>
          <w:rFonts w:ascii="Aptos" w:hAnsi="Aptos" w:cs="Arial"/>
          <w:color w:val="000000" w:themeColor="text1"/>
          <w:sz w:val="24"/>
          <w:szCs w:val="24"/>
        </w:rPr>
      </w:pPr>
      <w:r w:rsidRPr="009F4958">
        <w:rPr>
          <w:rFonts w:ascii="Aptos" w:hAnsi="Aptos" w:cs="Arial"/>
          <w:sz w:val="24"/>
          <w:szCs w:val="24"/>
        </w:rPr>
        <w:t xml:space="preserve">Harrod, T. R. and Hogan, D. V. 2008. The soils of North Wyke and Rowden. Soil Survey of England and Wales. pp. 1-54.  </w:t>
      </w:r>
      <w:hyperlink r:id="rId26" w:history="1">
        <w:r w:rsidR="0044540D" w:rsidRPr="00AB14D8">
          <w:rPr>
            <w:rStyle w:val="Hyperlink"/>
          </w:rPr>
          <w:t>https://repository.rothamsted.ac.uk/item/96xqw/the-soilsof-north-wyke-and-rowden</w:t>
        </w:r>
      </w:hyperlink>
      <w:r w:rsidR="0044540D">
        <w:t xml:space="preserve"> </w:t>
      </w:r>
    </w:p>
    <w:p w14:paraId="7CF5E93C" w14:textId="37D7929A" w:rsidR="009A3B2F" w:rsidRPr="009F4958" w:rsidRDefault="009A3B2F" w:rsidP="008B224F">
      <w:pPr>
        <w:spacing w:after="120" w:line="360" w:lineRule="auto"/>
        <w:ind w:left="284" w:hanging="284"/>
        <w:rPr>
          <w:rFonts w:ascii="Aptos" w:hAnsi="Aptos" w:cs="Arial"/>
          <w:color w:val="000000" w:themeColor="text1"/>
          <w:sz w:val="24"/>
          <w:szCs w:val="24"/>
        </w:rPr>
      </w:pPr>
      <w:r w:rsidRPr="009F4958">
        <w:rPr>
          <w:rFonts w:ascii="Aptos" w:hAnsi="Aptos" w:cs="Arial"/>
          <w:color w:val="000000" w:themeColor="text1"/>
          <w:sz w:val="24"/>
          <w:szCs w:val="24"/>
        </w:rPr>
        <w:t xml:space="preserve">Hawkins, J. M. B. (2023). High-resolution flow datasets for surface runoff, surface lateral runoff and drainage pathways from 1 ha sized hydrologically isolated plots. Rothamsted Research. </w:t>
      </w:r>
      <w:hyperlink r:id="rId27" w:history="1">
        <w:r w:rsidRPr="009F4958">
          <w:rPr>
            <w:rFonts w:ascii="Aptos" w:hAnsi="Aptos"/>
            <w:color w:val="000000" w:themeColor="text1"/>
            <w:sz w:val="24"/>
            <w:szCs w:val="24"/>
          </w:rPr>
          <w:t>https://doi.org/10.23637/rothamsted.98y67</w:t>
        </w:r>
      </w:hyperlink>
      <w:r w:rsidR="0044540D">
        <w:t xml:space="preserve"> </w:t>
      </w:r>
      <w:r w:rsidRPr="009F4958">
        <w:rPr>
          <w:rFonts w:ascii="Aptos" w:hAnsi="Aptos"/>
          <w:color w:val="000000" w:themeColor="text1"/>
          <w:sz w:val="24"/>
          <w:szCs w:val="24"/>
        </w:rPr>
        <w:t xml:space="preserve"> </w:t>
      </w:r>
    </w:p>
    <w:p w14:paraId="6D16A165" w14:textId="510D2B82" w:rsidR="0084453E" w:rsidRPr="0044540D" w:rsidRDefault="0084453E" w:rsidP="008B224F">
      <w:pPr>
        <w:spacing w:after="120" w:line="360" w:lineRule="auto"/>
        <w:ind w:left="284" w:hanging="284"/>
        <w:rPr>
          <w:rFonts w:ascii="Aptos" w:hAnsi="Aptos" w:cs="Arial"/>
          <w:sz w:val="24"/>
          <w:szCs w:val="24"/>
          <w:shd w:val="clear" w:color="auto" w:fill="FFFFFF"/>
        </w:rPr>
      </w:pPr>
      <w:r w:rsidRPr="0044540D">
        <w:rPr>
          <w:rFonts w:ascii="Aptos" w:hAnsi="Aptos" w:cs="Arial"/>
          <w:sz w:val="24"/>
          <w:szCs w:val="24"/>
          <w:shd w:val="clear" w:color="auto" w:fill="FFFFFF"/>
        </w:rPr>
        <w:t xml:space="preserve">Hayes, E., Higgins, S., Geris, J., and Mullan, D. (2022). </w:t>
      </w:r>
      <w:r w:rsidR="00447AFD" w:rsidRPr="0044540D">
        <w:rPr>
          <w:rFonts w:ascii="Aptos" w:hAnsi="Aptos" w:cs="Arial"/>
          <w:sz w:val="24"/>
          <w:szCs w:val="24"/>
          <w:shd w:val="clear" w:color="auto" w:fill="FFFFFF"/>
        </w:rPr>
        <w:t>Grassland Reseeding</w:t>
      </w:r>
      <w:r w:rsidRPr="0044540D">
        <w:rPr>
          <w:rFonts w:ascii="Aptos" w:hAnsi="Aptos" w:cs="Arial"/>
          <w:sz w:val="24"/>
          <w:szCs w:val="24"/>
          <w:shd w:val="clear" w:color="auto" w:fill="FFFFFF"/>
        </w:rPr>
        <w:t xml:space="preserve">: Impact on Soil Surface Nutrient Accumulation and Using LiDAR-Based Image Differencing to Infer Implications for Water Quality. </w:t>
      </w:r>
      <w:r w:rsidRPr="0044540D">
        <w:rPr>
          <w:rFonts w:ascii="Aptos" w:hAnsi="Aptos" w:cs="Arial"/>
          <w:i/>
          <w:iCs/>
          <w:sz w:val="24"/>
          <w:szCs w:val="24"/>
          <w:shd w:val="clear" w:color="auto" w:fill="FFFFFF"/>
        </w:rPr>
        <w:t>Agriculture</w:t>
      </w:r>
      <w:r w:rsidRPr="0044540D">
        <w:rPr>
          <w:rFonts w:ascii="Aptos" w:hAnsi="Aptos" w:cs="Arial"/>
          <w:sz w:val="24"/>
          <w:szCs w:val="24"/>
          <w:shd w:val="clear" w:color="auto" w:fill="FFFFFF"/>
        </w:rPr>
        <w:t xml:space="preserve">, </w:t>
      </w:r>
      <w:r w:rsidRPr="0066418C">
        <w:rPr>
          <w:rFonts w:ascii="Aptos" w:hAnsi="Aptos" w:cs="Arial"/>
          <w:i/>
          <w:iCs/>
          <w:sz w:val="24"/>
          <w:szCs w:val="24"/>
          <w:shd w:val="clear" w:color="auto" w:fill="FFFFFF"/>
        </w:rPr>
        <w:t>12</w:t>
      </w:r>
      <w:r w:rsidRPr="0044540D">
        <w:rPr>
          <w:rFonts w:ascii="Aptos" w:hAnsi="Aptos" w:cs="Arial"/>
          <w:sz w:val="24"/>
          <w:szCs w:val="24"/>
          <w:shd w:val="clear" w:color="auto" w:fill="FFFFFF"/>
        </w:rPr>
        <w:t xml:space="preserve">, 1854. </w:t>
      </w:r>
      <w:hyperlink r:id="rId28" w:history="1">
        <w:r w:rsidRPr="0044540D">
          <w:rPr>
            <w:rStyle w:val="Hyperlink"/>
            <w:rFonts w:ascii="Aptos" w:hAnsi="Aptos" w:cs="Arial"/>
            <w:sz w:val="24"/>
            <w:szCs w:val="24"/>
            <w:shd w:val="clear" w:color="auto" w:fill="FFFFFF"/>
          </w:rPr>
          <w:t>https://doi.org/10.3390/agriculture12111854</w:t>
        </w:r>
      </w:hyperlink>
      <w:r w:rsidRPr="0044540D">
        <w:rPr>
          <w:rFonts w:ascii="Aptos" w:hAnsi="Aptos" w:cs="Arial"/>
          <w:sz w:val="24"/>
          <w:szCs w:val="24"/>
          <w:shd w:val="clear" w:color="auto" w:fill="FFFFFF"/>
        </w:rPr>
        <w:t xml:space="preserve"> </w:t>
      </w:r>
    </w:p>
    <w:p w14:paraId="0101A76D" w14:textId="51DB59B0" w:rsidR="009A3B2F" w:rsidRPr="0044540D" w:rsidRDefault="009A3B2F" w:rsidP="0044540D">
      <w:pPr>
        <w:spacing w:after="120" w:line="360" w:lineRule="auto"/>
        <w:ind w:left="284" w:hanging="284"/>
        <w:rPr>
          <w:rFonts w:ascii="Aptos" w:hAnsi="Aptos" w:cs="Arial"/>
          <w:sz w:val="24"/>
          <w:szCs w:val="24"/>
          <w:shd w:val="clear" w:color="auto" w:fill="FFFFFF"/>
        </w:rPr>
      </w:pPr>
      <w:r w:rsidRPr="0044540D">
        <w:rPr>
          <w:rFonts w:ascii="Aptos" w:hAnsi="Aptos" w:cs="Arial"/>
          <w:sz w:val="24"/>
          <w:szCs w:val="24"/>
          <w:shd w:val="clear" w:color="auto" w:fill="FFFFFF"/>
        </w:rPr>
        <w:t>Jacobs, A. A., Evans, R. S., Allison, J. K., Garner, E. R., Kingery, W. L., &amp; McCulley, R. L. (2022). Cover crops and no-tillage reduce crop production costs and soil loss, compensating for lack of short-term soil quality improvement in a maize and soybean production system</w:t>
      </w:r>
      <w:r w:rsidR="00395FDB">
        <w:rPr>
          <w:rFonts w:ascii="Aptos" w:hAnsi="Aptos" w:cs="Arial"/>
          <w:sz w:val="24"/>
          <w:szCs w:val="24"/>
          <w:shd w:val="clear" w:color="auto" w:fill="FFFFFF"/>
        </w:rPr>
        <w:t>,</w:t>
      </w:r>
      <w:r w:rsidRPr="0044540D">
        <w:rPr>
          <w:rFonts w:ascii="Aptos" w:hAnsi="Aptos" w:cs="Arial"/>
          <w:sz w:val="24"/>
          <w:szCs w:val="24"/>
          <w:shd w:val="clear" w:color="auto" w:fill="FFFFFF"/>
        </w:rPr>
        <w:t> </w:t>
      </w:r>
      <w:r w:rsidRPr="0044540D">
        <w:rPr>
          <w:rStyle w:val="Emphasis"/>
          <w:rFonts w:ascii="Aptos" w:hAnsi="Aptos" w:cs="Arial"/>
          <w:sz w:val="24"/>
          <w:szCs w:val="24"/>
          <w:shd w:val="clear" w:color="auto" w:fill="FFFFFF"/>
        </w:rPr>
        <w:t>Soil and Tillage Research</w:t>
      </w:r>
      <w:r w:rsidRPr="0044540D">
        <w:rPr>
          <w:rFonts w:ascii="Aptos" w:hAnsi="Aptos" w:cs="Arial"/>
          <w:sz w:val="24"/>
          <w:szCs w:val="24"/>
          <w:shd w:val="clear" w:color="auto" w:fill="FFFFFF"/>
        </w:rPr>
        <w:t>, </w:t>
      </w:r>
      <w:r w:rsidRPr="0044540D">
        <w:rPr>
          <w:rStyle w:val="Emphasis"/>
          <w:rFonts w:ascii="Aptos" w:hAnsi="Aptos" w:cs="Arial"/>
          <w:sz w:val="24"/>
          <w:szCs w:val="24"/>
          <w:shd w:val="clear" w:color="auto" w:fill="FFFFFF"/>
        </w:rPr>
        <w:t>218</w:t>
      </w:r>
      <w:r w:rsidRPr="0044540D">
        <w:rPr>
          <w:rFonts w:ascii="Aptos" w:hAnsi="Aptos" w:cs="Arial"/>
          <w:sz w:val="24"/>
          <w:szCs w:val="24"/>
          <w:shd w:val="clear" w:color="auto" w:fill="FFFFFF"/>
        </w:rPr>
        <w:t>, 105310. </w:t>
      </w:r>
      <w:hyperlink r:id="rId29" w:history="1">
        <w:r w:rsidRPr="0044540D">
          <w:rPr>
            <w:rStyle w:val="Hyperlink"/>
            <w:rFonts w:ascii="Aptos" w:hAnsi="Aptos" w:cs="Arial"/>
            <w:sz w:val="24"/>
            <w:szCs w:val="24"/>
            <w:shd w:val="clear" w:color="auto" w:fill="FFFFFF"/>
          </w:rPr>
          <w:t>https://doi.org/10.1016/j.still.2021.105310</w:t>
        </w:r>
      </w:hyperlink>
    </w:p>
    <w:p w14:paraId="3780A131" w14:textId="0A179876" w:rsidR="009A3B2F" w:rsidRPr="0044540D" w:rsidRDefault="009A3B2F" w:rsidP="008B224F">
      <w:pPr>
        <w:spacing w:after="120" w:line="360" w:lineRule="auto"/>
        <w:ind w:left="284" w:hanging="284"/>
        <w:rPr>
          <w:rStyle w:val="anchor-text"/>
          <w:rFonts w:ascii="Aptos" w:hAnsi="Aptos" w:cs="Arial"/>
          <w:color w:val="0000FF"/>
          <w:sz w:val="24"/>
          <w:szCs w:val="24"/>
        </w:rPr>
      </w:pPr>
      <w:r w:rsidRPr="0044540D">
        <w:rPr>
          <w:rFonts w:ascii="Aptos" w:hAnsi="Aptos"/>
          <w:color w:val="000000" w:themeColor="text1"/>
          <w:sz w:val="24"/>
          <w:szCs w:val="24"/>
        </w:rPr>
        <w:t>Jakab, G.  Madarasz, B.</w:t>
      </w:r>
      <w:r w:rsidR="0044540D" w:rsidRPr="0044540D">
        <w:rPr>
          <w:rFonts w:ascii="Aptos" w:hAnsi="Aptos"/>
          <w:color w:val="000000" w:themeColor="text1"/>
          <w:sz w:val="24"/>
          <w:szCs w:val="24"/>
        </w:rPr>
        <w:t>, Masoudi</w:t>
      </w:r>
      <w:r w:rsidRPr="0044540D">
        <w:rPr>
          <w:rFonts w:ascii="Aptos" w:hAnsi="Aptos"/>
          <w:color w:val="000000" w:themeColor="text1"/>
          <w:sz w:val="24"/>
          <w:szCs w:val="24"/>
        </w:rPr>
        <w:t xml:space="preserve">, M., Karlik, M., Kiraly, C., Zachary, D., Filep, T., Dekemati, I., Centeri, C., Al-Graiti, T., </w:t>
      </w:r>
      <w:r w:rsidR="00D63001">
        <w:rPr>
          <w:rFonts w:ascii="Aptos" w:hAnsi="Aptos"/>
          <w:color w:val="000000" w:themeColor="text1"/>
          <w:sz w:val="24"/>
          <w:szCs w:val="24"/>
        </w:rPr>
        <w:t>&amp;</w:t>
      </w:r>
      <w:r w:rsidRPr="0044540D">
        <w:rPr>
          <w:rFonts w:ascii="Aptos" w:hAnsi="Aptos"/>
          <w:color w:val="000000" w:themeColor="text1"/>
          <w:sz w:val="24"/>
          <w:szCs w:val="24"/>
        </w:rPr>
        <w:t xml:space="preserve"> Szalai, Z. (2023). Soil organic matter gain by reduced tillage intensity: Storage, pools, and chemical composition. </w:t>
      </w:r>
      <w:r w:rsidRPr="0044540D">
        <w:rPr>
          <w:rFonts w:ascii="Aptos" w:hAnsi="Aptos"/>
          <w:i/>
          <w:iCs/>
          <w:color w:val="000000" w:themeColor="text1"/>
          <w:sz w:val="24"/>
          <w:szCs w:val="24"/>
        </w:rPr>
        <w:t>Soil &amp; Tillage Research, 226,</w:t>
      </w:r>
      <w:r w:rsidRPr="0044540D">
        <w:rPr>
          <w:rFonts w:ascii="Aptos" w:hAnsi="Aptos"/>
          <w:color w:val="000000" w:themeColor="text1"/>
          <w:sz w:val="24"/>
          <w:szCs w:val="24"/>
        </w:rPr>
        <w:t xml:space="preserve"> 105584. </w:t>
      </w:r>
      <w:hyperlink r:id="rId30" w:tgtFrame="_blank" w:tooltip="Persistent link using digital object identifier" w:history="1">
        <w:r w:rsidRPr="0044540D">
          <w:rPr>
            <w:rStyle w:val="anchor-text"/>
            <w:rFonts w:ascii="Aptos" w:hAnsi="Aptos" w:cs="Arial"/>
            <w:color w:val="0000FF"/>
            <w:sz w:val="24"/>
            <w:szCs w:val="24"/>
          </w:rPr>
          <w:t>https://doi.org/10.1016/j.still.2022.105584</w:t>
        </w:r>
      </w:hyperlink>
    </w:p>
    <w:p w14:paraId="5CB4AF2A" w14:textId="4166E85E" w:rsidR="009A3B2F" w:rsidRPr="0044540D" w:rsidRDefault="009A3B2F" w:rsidP="000D3279">
      <w:pPr>
        <w:autoSpaceDE w:val="0"/>
        <w:autoSpaceDN w:val="0"/>
        <w:adjustRightInd w:val="0"/>
        <w:spacing w:after="120" w:line="360" w:lineRule="auto"/>
        <w:ind w:left="284" w:hanging="284"/>
        <w:rPr>
          <w:rFonts w:ascii="Aptos" w:hAnsi="Aptos" w:cs="Arial"/>
          <w:color w:val="000000" w:themeColor="text1"/>
          <w:kern w:val="0"/>
          <w:sz w:val="24"/>
          <w:szCs w:val="24"/>
        </w:rPr>
      </w:pPr>
      <w:r w:rsidRPr="0044540D">
        <w:rPr>
          <w:rFonts w:ascii="Aptos" w:hAnsi="Aptos" w:cs="Arial"/>
          <w:color w:val="000000" w:themeColor="text1"/>
          <w:kern w:val="0"/>
          <w:sz w:val="24"/>
          <w:szCs w:val="24"/>
        </w:rPr>
        <w:t xml:space="preserve">Kumara, K.T.M., Kandpal, A., </w:t>
      </w:r>
      <w:r w:rsidR="00296DD0">
        <w:rPr>
          <w:rFonts w:ascii="Aptos" w:hAnsi="Aptos" w:cs="Arial"/>
          <w:color w:val="000000" w:themeColor="text1"/>
          <w:kern w:val="0"/>
          <w:sz w:val="24"/>
          <w:szCs w:val="24"/>
        </w:rPr>
        <w:t xml:space="preserve">&amp; </w:t>
      </w:r>
      <w:r w:rsidRPr="0044540D">
        <w:rPr>
          <w:rFonts w:ascii="Aptos" w:hAnsi="Aptos" w:cs="Arial"/>
          <w:color w:val="000000" w:themeColor="text1"/>
          <w:kern w:val="0"/>
          <w:sz w:val="24"/>
          <w:szCs w:val="24"/>
        </w:rPr>
        <w:t>Pal, S. A</w:t>
      </w:r>
      <w:r w:rsidR="00C91619">
        <w:rPr>
          <w:rFonts w:ascii="Aptos" w:hAnsi="Aptos" w:cs="Arial"/>
          <w:color w:val="000000" w:themeColor="text1"/>
          <w:kern w:val="0"/>
          <w:sz w:val="24"/>
          <w:szCs w:val="24"/>
        </w:rPr>
        <w:t>.</w:t>
      </w:r>
      <w:r w:rsidRPr="0044540D">
        <w:rPr>
          <w:rFonts w:ascii="Aptos" w:hAnsi="Aptos" w:cs="Arial"/>
          <w:color w:val="000000" w:themeColor="text1"/>
          <w:kern w:val="0"/>
          <w:sz w:val="24"/>
          <w:szCs w:val="24"/>
        </w:rPr>
        <w:t xml:space="preserve"> (2020). Meta-Analysis of Economic and Environmental Benefits of Conservation Agriculture in South Asia. </w:t>
      </w:r>
      <w:r w:rsidRPr="0044540D">
        <w:rPr>
          <w:rFonts w:ascii="Aptos" w:hAnsi="Aptos" w:cs="Arial"/>
          <w:i/>
          <w:iCs/>
          <w:color w:val="000000" w:themeColor="text1"/>
          <w:kern w:val="0"/>
          <w:sz w:val="24"/>
          <w:szCs w:val="24"/>
        </w:rPr>
        <w:t xml:space="preserve">Journal of </w:t>
      </w:r>
      <w:r w:rsidRPr="0044540D">
        <w:rPr>
          <w:rFonts w:ascii="Aptos" w:hAnsi="Aptos" w:cs="Arial"/>
          <w:i/>
          <w:iCs/>
          <w:color w:val="000000" w:themeColor="text1"/>
          <w:kern w:val="0"/>
          <w:sz w:val="24"/>
          <w:szCs w:val="24"/>
        </w:rPr>
        <w:lastRenderedPageBreak/>
        <w:t>Environmental Management</w:t>
      </w:r>
      <w:r w:rsidR="00FE7E29">
        <w:rPr>
          <w:rFonts w:ascii="Aptos" w:hAnsi="Aptos" w:cs="Arial"/>
          <w:color w:val="000000" w:themeColor="text1"/>
          <w:kern w:val="0"/>
          <w:sz w:val="24"/>
          <w:szCs w:val="24"/>
        </w:rPr>
        <w:t>,</w:t>
      </w:r>
      <w:r w:rsidRPr="0044540D">
        <w:rPr>
          <w:rFonts w:ascii="Aptos" w:hAnsi="Aptos" w:cs="Arial"/>
          <w:color w:val="000000" w:themeColor="text1"/>
          <w:kern w:val="0"/>
          <w:sz w:val="24"/>
          <w:szCs w:val="24"/>
        </w:rPr>
        <w:t xml:space="preserve"> </w:t>
      </w:r>
      <w:r w:rsidRPr="0044540D">
        <w:rPr>
          <w:rFonts w:ascii="Aptos" w:hAnsi="Aptos" w:cs="Arial"/>
          <w:i/>
          <w:iCs/>
          <w:color w:val="000000" w:themeColor="text1"/>
          <w:kern w:val="0"/>
          <w:sz w:val="24"/>
          <w:szCs w:val="24"/>
        </w:rPr>
        <w:t>269,</w:t>
      </w:r>
      <w:r w:rsidRPr="0044540D">
        <w:rPr>
          <w:rFonts w:ascii="Aptos" w:hAnsi="Aptos" w:cs="Arial"/>
          <w:color w:val="000000" w:themeColor="text1"/>
          <w:kern w:val="0"/>
          <w:sz w:val="24"/>
          <w:szCs w:val="24"/>
        </w:rPr>
        <w:t xml:space="preserve"> 110773.</w:t>
      </w:r>
      <w:r w:rsidR="000D3279">
        <w:rPr>
          <w:rFonts w:ascii="Aptos" w:hAnsi="Aptos" w:cs="Arial"/>
          <w:color w:val="000000" w:themeColor="text1"/>
          <w:kern w:val="0"/>
          <w:sz w:val="24"/>
          <w:szCs w:val="24"/>
        </w:rPr>
        <w:t xml:space="preserve"> </w:t>
      </w:r>
      <w:hyperlink r:id="rId31" w:tgtFrame="_blank" w:tooltip="Persistent link using digital object identifier" w:history="1">
        <w:r w:rsidR="000D3279" w:rsidRPr="000D3279">
          <w:rPr>
            <w:rStyle w:val="Hyperlink"/>
            <w:rFonts w:ascii="Aptos" w:hAnsi="Aptos" w:cs="Arial"/>
            <w:kern w:val="0"/>
            <w:sz w:val="24"/>
            <w:szCs w:val="24"/>
          </w:rPr>
          <w:t>https://doi.org/10.1016/j.jenvman.2020.110773</w:t>
        </w:r>
      </w:hyperlink>
    </w:p>
    <w:p w14:paraId="1AB0C5D0" w14:textId="2A80F805" w:rsidR="009A3B2F" w:rsidRPr="00FE7E29" w:rsidRDefault="009A3B2F" w:rsidP="00855571">
      <w:pPr>
        <w:autoSpaceDE w:val="0"/>
        <w:autoSpaceDN w:val="0"/>
        <w:adjustRightInd w:val="0"/>
        <w:spacing w:after="120" w:line="360" w:lineRule="auto"/>
        <w:ind w:left="284" w:hanging="284"/>
        <w:rPr>
          <w:rFonts w:ascii="Aptos" w:hAnsi="Aptos"/>
          <w:color w:val="000000" w:themeColor="text1"/>
          <w:sz w:val="24"/>
          <w:szCs w:val="24"/>
        </w:rPr>
      </w:pPr>
      <w:r w:rsidRPr="0044540D">
        <w:rPr>
          <w:rFonts w:ascii="Aptos" w:hAnsi="Aptos"/>
          <w:color w:val="000000" w:themeColor="text1"/>
          <w:sz w:val="24"/>
          <w:szCs w:val="24"/>
          <w:lang w:val="pt-BR"/>
        </w:rPr>
        <w:t>Linsler, D., Geisseler, D., Loges, R.,</w:t>
      </w:r>
      <w:r w:rsidRPr="00FE7E29">
        <w:rPr>
          <w:rFonts w:ascii="Aptos" w:hAnsi="Aptos"/>
          <w:color w:val="000000" w:themeColor="text1"/>
          <w:sz w:val="24"/>
          <w:szCs w:val="24"/>
          <w:lang w:val="pt-BR"/>
        </w:rPr>
        <w:t xml:space="preserve"> Taube, F., &amp; Ludwig, B. (2013). </w:t>
      </w:r>
      <w:r w:rsidRPr="00FE7E29">
        <w:rPr>
          <w:rFonts w:ascii="Aptos" w:hAnsi="Aptos"/>
          <w:color w:val="000000" w:themeColor="text1"/>
          <w:sz w:val="24"/>
          <w:szCs w:val="24"/>
        </w:rPr>
        <w:t xml:space="preserve">Temporal dynamics of soil organic matter composition and aggregate distribution in permanent grassland after a single tillage event in a temperate climate. </w:t>
      </w:r>
      <w:r w:rsidRPr="00FE7E29">
        <w:rPr>
          <w:rFonts w:ascii="Aptos" w:hAnsi="Aptos"/>
          <w:i/>
          <w:color w:val="000000" w:themeColor="text1"/>
          <w:sz w:val="24"/>
          <w:szCs w:val="24"/>
        </w:rPr>
        <w:t>Soil and Tillage Research</w:t>
      </w:r>
      <w:r w:rsidRPr="00FE7E29">
        <w:rPr>
          <w:rFonts w:ascii="Aptos" w:hAnsi="Aptos"/>
          <w:color w:val="000000" w:themeColor="text1"/>
          <w:sz w:val="24"/>
          <w:szCs w:val="24"/>
        </w:rPr>
        <w:t xml:space="preserve">, </w:t>
      </w:r>
      <w:r w:rsidRPr="00FE7E29">
        <w:rPr>
          <w:rFonts w:ascii="Aptos" w:hAnsi="Aptos"/>
          <w:i/>
          <w:color w:val="000000" w:themeColor="text1"/>
          <w:sz w:val="24"/>
          <w:szCs w:val="24"/>
        </w:rPr>
        <w:t>126</w:t>
      </w:r>
      <w:r w:rsidRPr="00FE7E29">
        <w:rPr>
          <w:rFonts w:ascii="Aptos" w:hAnsi="Aptos"/>
          <w:color w:val="000000" w:themeColor="text1"/>
          <w:sz w:val="24"/>
          <w:szCs w:val="24"/>
        </w:rPr>
        <w:t>, 90</w:t>
      </w:r>
      <w:r w:rsidR="00D63001" w:rsidRPr="00FE7E29">
        <w:rPr>
          <w:rFonts w:ascii="Aptos" w:hAnsi="Aptos"/>
          <w:color w:val="000000" w:themeColor="text1"/>
          <w:sz w:val="24"/>
          <w:szCs w:val="24"/>
        </w:rPr>
        <w:t xml:space="preserve"> – 99.</w:t>
      </w:r>
      <w:r w:rsidRPr="00FE7E29">
        <w:rPr>
          <w:rFonts w:ascii="Aptos" w:hAnsi="Aptos"/>
          <w:color w:val="000000" w:themeColor="text1"/>
          <w:sz w:val="24"/>
          <w:szCs w:val="24"/>
        </w:rPr>
        <w:t xml:space="preserve"> </w:t>
      </w:r>
      <w:hyperlink r:id="rId32" w:history="1">
        <w:r w:rsidRPr="00FE7E29">
          <w:rPr>
            <w:rStyle w:val="Hyperlink"/>
            <w:rFonts w:ascii="Aptos" w:hAnsi="Aptos"/>
            <w:sz w:val="24"/>
            <w:szCs w:val="24"/>
          </w:rPr>
          <w:t>http://dx.doi.org/10.1016/j.still.2012.07.017</w:t>
        </w:r>
      </w:hyperlink>
    </w:p>
    <w:p w14:paraId="0AA17117" w14:textId="77D9F758" w:rsidR="009A3B2F" w:rsidRPr="00FE7E29"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FE7E29">
        <w:rPr>
          <w:rFonts w:ascii="Aptos" w:hAnsi="Aptos" w:cs="Arial"/>
          <w:color w:val="000000" w:themeColor="text1"/>
          <w:sz w:val="24"/>
          <w:szCs w:val="24"/>
          <w:lang w:val="es-ES"/>
        </w:rPr>
        <w:t>López-Bellido, L., LópezBellido, R., Fernández-García, P., Muñoz-Romero, V., Lopez-Bellido, F</w:t>
      </w:r>
      <w:r w:rsidR="00FE7E29" w:rsidRPr="00FE7E29">
        <w:rPr>
          <w:rFonts w:ascii="Aptos" w:hAnsi="Aptos" w:cs="Arial"/>
          <w:color w:val="000000" w:themeColor="text1"/>
          <w:sz w:val="24"/>
          <w:szCs w:val="24"/>
          <w:lang w:val="es-ES"/>
        </w:rPr>
        <w:t>., &amp;</w:t>
      </w:r>
      <w:r w:rsidRPr="00FE7E29">
        <w:rPr>
          <w:rFonts w:ascii="Aptos" w:hAnsi="Aptos" w:cs="Arial"/>
          <w:color w:val="000000" w:themeColor="text1"/>
          <w:sz w:val="24"/>
          <w:szCs w:val="24"/>
          <w:lang w:val="es-ES"/>
        </w:rPr>
        <w:t xml:space="preserve"> J. (2019). </w:t>
      </w:r>
      <w:r w:rsidRPr="00FE7E29">
        <w:rPr>
          <w:rFonts w:ascii="Aptos" w:hAnsi="Aptos" w:cs="Arial"/>
          <w:color w:val="000000" w:themeColor="text1"/>
          <w:sz w:val="24"/>
          <w:szCs w:val="24"/>
        </w:rPr>
        <w:t xml:space="preserve">Carbon storage in a rainfed Mediterranean vertisol: Effects of tillage and crop rotation in a long-term experiment. </w:t>
      </w:r>
      <w:r w:rsidRPr="00FE7E29">
        <w:rPr>
          <w:rFonts w:ascii="Aptos" w:hAnsi="Aptos" w:cs="Arial"/>
          <w:i/>
          <w:color w:val="000000" w:themeColor="text1"/>
          <w:sz w:val="24"/>
          <w:szCs w:val="24"/>
        </w:rPr>
        <w:t>European Journal of Soil Science</w:t>
      </w:r>
      <w:r w:rsidRPr="00FE7E29">
        <w:rPr>
          <w:rFonts w:ascii="Aptos" w:hAnsi="Aptos" w:cs="Arial"/>
          <w:color w:val="000000" w:themeColor="text1"/>
          <w:sz w:val="24"/>
          <w:szCs w:val="24"/>
        </w:rPr>
        <w:t xml:space="preserve">, </w:t>
      </w:r>
      <w:r w:rsidRPr="00437EFE">
        <w:rPr>
          <w:rFonts w:ascii="Aptos" w:hAnsi="Aptos" w:cs="Arial"/>
          <w:i/>
          <w:color w:val="000000" w:themeColor="text1"/>
          <w:sz w:val="24"/>
          <w:szCs w:val="24"/>
        </w:rPr>
        <w:t>71</w:t>
      </w:r>
      <w:r w:rsidRPr="00FE7E29">
        <w:rPr>
          <w:rFonts w:ascii="Aptos" w:hAnsi="Aptos" w:cs="Arial"/>
          <w:color w:val="000000" w:themeColor="text1"/>
          <w:sz w:val="24"/>
          <w:szCs w:val="24"/>
        </w:rPr>
        <w:t>, 472</w:t>
      </w:r>
      <w:r w:rsidR="00855571" w:rsidRPr="00FE7E29">
        <w:rPr>
          <w:rFonts w:ascii="Aptos" w:hAnsi="Aptos" w:cs="Arial"/>
          <w:color w:val="000000" w:themeColor="text1"/>
          <w:sz w:val="24"/>
          <w:szCs w:val="24"/>
        </w:rPr>
        <w:t xml:space="preserve"> – 483. </w:t>
      </w:r>
      <w:r w:rsidRPr="00FE7E29">
        <w:rPr>
          <w:rFonts w:ascii="Aptos" w:hAnsi="Aptos" w:cs="Arial"/>
          <w:color w:val="000000" w:themeColor="text1"/>
          <w:sz w:val="24"/>
          <w:szCs w:val="24"/>
        </w:rPr>
        <w:t xml:space="preserve"> </w:t>
      </w:r>
      <w:hyperlink r:id="rId33" w:history="1">
        <w:r w:rsidRPr="00FE7E29">
          <w:rPr>
            <w:rStyle w:val="Hyperlink"/>
            <w:rFonts w:ascii="Aptos" w:hAnsi="Aptos" w:cs="Arial"/>
            <w:color w:val="000000" w:themeColor="text1"/>
            <w:sz w:val="24"/>
            <w:szCs w:val="24"/>
          </w:rPr>
          <w:t>https://doi.org/10.1111/ejss.12883</w:t>
        </w:r>
      </w:hyperlink>
    </w:p>
    <w:p w14:paraId="6E7C3F7E" w14:textId="5F09FFB2" w:rsidR="009A3B2F" w:rsidRPr="00FE7E29" w:rsidRDefault="009A3B2F" w:rsidP="008B224F">
      <w:pPr>
        <w:autoSpaceDE w:val="0"/>
        <w:autoSpaceDN w:val="0"/>
        <w:adjustRightInd w:val="0"/>
        <w:spacing w:after="120" w:line="360" w:lineRule="auto"/>
        <w:ind w:left="284" w:hanging="284"/>
        <w:rPr>
          <w:rFonts w:ascii="Aptos" w:hAnsi="Aptos" w:cs="Arial"/>
          <w:color w:val="000000" w:themeColor="text1"/>
          <w:sz w:val="24"/>
          <w:szCs w:val="24"/>
        </w:rPr>
      </w:pPr>
      <w:r w:rsidRPr="00FE7E29">
        <w:rPr>
          <w:rFonts w:ascii="Aptos" w:hAnsi="Aptos" w:cs="Arial"/>
          <w:color w:val="000000" w:themeColor="text1"/>
          <w:sz w:val="24"/>
          <w:szCs w:val="24"/>
        </w:rPr>
        <w:t>Lv, L., Gao, Z., Liao, K., Zhu, Q., &amp; Zhu, J. (2023</w:t>
      </w:r>
      <w:r w:rsidR="004955F7" w:rsidRPr="00FE7E29">
        <w:rPr>
          <w:rFonts w:ascii="Aptos" w:hAnsi="Aptos" w:cs="Arial"/>
          <w:color w:val="000000" w:themeColor="text1"/>
          <w:sz w:val="24"/>
          <w:szCs w:val="24"/>
        </w:rPr>
        <w:t>). Impact</w:t>
      </w:r>
      <w:r w:rsidRPr="00FE7E29">
        <w:rPr>
          <w:rFonts w:ascii="Aptos" w:hAnsi="Aptos" w:cs="Arial"/>
          <w:color w:val="000000" w:themeColor="text1"/>
          <w:sz w:val="24"/>
          <w:szCs w:val="24"/>
        </w:rPr>
        <w:t xml:space="preserve"> of conservation tillage on the distribution of soil nutrients with depth, </w:t>
      </w:r>
      <w:r w:rsidRPr="00FE7E29">
        <w:rPr>
          <w:rFonts w:ascii="Aptos" w:hAnsi="Aptos" w:cs="Arial"/>
          <w:i/>
          <w:color w:val="000000" w:themeColor="text1"/>
          <w:sz w:val="24"/>
          <w:szCs w:val="24"/>
        </w:rPr>
        <w:t>Soil and Tillage Research,</w:t>
      </w:r>
      <w:r w:rsidR="00855571" w:rsidRPr="00FE7E29">
        <w:rPr>
          <w:rFonts w:ascii="Aptos" w:hAnsi="Aptos" w:cs="Arial"/>
          <w:i/>
          <w:color w:val="000000" w:themeColor="text1"/>
          <w:sz w:val="24"/>
          <w:szCs w:val="24"/>
        </w:rPr>
        <w:t xml:space="preserve"> </w:t>
      </w:r>
      <w:r w:rsidRPr="00FE7E29">
        <w:rPr>
          <w:rFonts w:ascii="Aptos" w:hAnsi="Aptos" w:cs="Arial"/>
          <w:i/>
          <w:color w:val="000000" w:themeColor="text1"/>
          <w:sz w:val="24"/>
          <w:szCs w:val="24"/>
        </w:rPr>
        <w:t>225</w:t>
      </w:r>
      <w:r w:rsidRPr="00FE7E29">
        <w:rPr>
          <w:rFonts w:ascii="Aptos" w:hAnsi="Aptos" w:cs="Arial"/>
          <w:color w:val="000000" w:themeColor="text1"/>
          <w:sz w:val="24"/>
          <w:szCs w:val="24"/>
        </w:rPr>
        <w:t>, 105527</w:t>
      </w:r>
      <w:r w:rsidR="00855571" w:rsidRPr="00FE7E29">
        <w:rPr>
          <w:rFonts w:ascii="Aptos" w:hAnsi="Aptos" w:cs="Arial"/>
          <w:color w:val="000000" w:themeColor="text1"/>
          <w:sz w:val="24"/>
          <w:szCs w:val="24"/>
        </w:rPr>
        <w:t>.</w:t>
      </w:r>
      <w:r w:rsidRPr="00FE7E29">
        <w:rPr>
          <w:rFonts w:ascii="Aptos" w:hAnsi="Aptos" w:cs="Arial"/>
          <w:color w:val="000000" w:themeColor="text1"/>
          <w:sz w:val="24"/>
          <w:szCs w:val="24"/>
        </w:rPr>
        <w:t xml:space="preserve"> </w:t>
      </w:r>
      <w:hyperlink r:id="rId34" w:history="1">
        <w:r w:rsidRPr="00FE7E29">
          <w:rPr>
            <w:rStyle w:val="Hyperlink"/>
            <w:rFonts w:ascii="Aptos" w:hAnsi="Aptos" w:cs="Arial"/>
            <w:color w:val="000000" w:themeColor="text1"/>
            <w:sz w:val="24"/>
            <w:szCs w:val="24"/>
          </w:rPr>
          <w:t>https://doi.org/10.1016/j.still.2022.105527</w:t>
        </w:r>
      </w:hyperlink>
    </w:p>
    <w:p w14:paraId="2F9CB132" w14:textId="77777777" w:rsidR="009A3B2F" w:rsidRPr="00C505FF"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C505FF">
        <w:rPr>
          <w:rFonts w:ascii="Aptos" w:hAnsi="Aptos"/>
          <w:color w:val="000000" w:themeColor="text1"/>
          <w:sz w:val="24"/>
          <w:szCs w:val="24"/>
        </w:rPr>
        <w:t xml:space="preserve">Man, M., Tosi, M., Dunfield, K.E., Hooker, D.C., &amp; Simpson, M.J. (2022). Tillage management exerts stronger controls on soil microbial community structure and organic matter molecular composition than N fertilization. </w:t>
      </w:r>
      <w:r w:rsidRPr="00C505FF">
        <w:rPr>
          <w:rFonts w:ascii="Aptos" w:hAnsi="Aptos"/>
          <w:i/>
          <w:iCs/>
          <w:color w:val="000000" w:themeColor="text1"/>
          <w:sz w:val="24"/>
          <w:szCs w:val="24"/>
        </w:rPr>
        <w:t>Agriculture, Ecosystems &amp; Environment, 336,</w:t>
      </w:r>
      <w:r w:rsidRPr="00C505FF">
        <w:rPr>
          <w:rFonts w:ascii="Aptos" w:hAnsi="Aptos"/>
          <w:color w:val="000000" w:themeColor="text1"/>
          <w:sz w:val="24"/>
          <w:szCs w:val="24"/>
        </w:rPr>
        <w:t xml:space="preserve"> 108028. </w:t>
      </w:r>
      <w:hyperlink r:id="rId35" w:history="1">
        <w:r w:rsidRPr="00C505FF">
          <w:rPr>
            <w:rStyle w:val="Hyperlink"/>
            <w:rFonts w:ascii="Aptos" w:hAnsi="Aptos"/>
            <w:sz w:val="24"/>
            <w:szCs w:val="24"/>
          </w:rPr>
          <w:t>https://doi.org/10.1016/j.agee.2022.108028</w:t>
        </w:r>
      </w:hyperlink>
    </w:p>
    <w:p w14:paraId="29469EB6" w14:textId="2AA4919D" w:rsidR="009A3B2F" w:rsidRPr="00C505FF" w:rsidRDefault="009A3B2F" w:rsidP="008B224F">
      <w:pPr>
        <w:autoSpaceDE w:val="0"/>
        <w:autoSpaceDN w:val="0"/>
        <w:adjustRightInd w:val="0"/>
        <w:spacing w:after="120" w:line="360" w:lineRule="auto"/>
        <w:ind w:left="426" w:hanging="284"/>
        <w:rPr>
          <w:rFonts w:ascii="Aptos" w:hAnsi="Aptos"/>
          <w:color w:val="000000" w:themeColor="text1"/>
          <w:sz w:val="24"/>
          <w:szCs w:val="24"/>
        </w:rPr>
      </w:pPr>
      <w:r w:rsidRPr="00C505FF">
        <w:rPr>
          <w:rFonts w:ascii="Aptos" w:hAnsi="Aptos"/>
          <w:color w:val="000000" w:themeColor="text1"/>
          <w:sz w:val="24"/>
          <w:szCs w:val="24"/>
        </w:rPr>
        <w:t>Blackwell, M.S.A.  Jarvis, S.C., Wilkins, R.J., Beaumont, D.A.</w:t>
      </w:r>
      <w:r w:rsidR="00B87128" w:rsidRPr="00C505FF">
        <w:rPr>
          <w:rFonts w:ascii="Aptos" w:hAnsi="Aptos"/>
          <w:color w:val="000000" w:themeColor="text1"/>
          <w:sz w:val="24"/>
          <w:szCs w:val="24"/>
        </w:rPr>
        <w:t>, Cardenas</w:t>
      </w:r>
      <w:r w:rsidRPr="00C505FF">
        <w:rPr>
          <w:rFonts w:ascii="Aptos" w:hAnsi="Aptos"/>
          <w:color w:val="000000" w:themeColor="text1"/>
          <w:sz w:val="24"/>
          <w:szCs w:val="24"/>
        </w:rPr>
        <w:t>, L.M., Chadwick, D.R.,   Collins, A.L., Dungait, J.A.J.,   Gibb, M.J., Hopkins, A., Lee, M.R.F., Misselbrook, T.H.,   Murray, P.J.</w:t>
      </w:r>
      <w:r w:rsidR="00855571" w:rsidRPr="00C505FF">
        <w:rPr>
          <w:rFonts w:ascii="Aptos" w:hAnsi="Aptos"/>
          <w:color w:val="000000" w:themeColor="text1"/>
          <w:sz w:val="24"/>
          <w:szCs w:val="24"/>
        </w:rPr>
        <w:t>,</w:t>
      </w:r>
      <w:r w:rsidRPr="00C505FF">
        <w:rPr>
          <w:rFonts w:ascii="Aptos" w:hAnsi="Aptos"/>
          <w:color w:val="000000" w:themeColor="text1"/>
          <w:sz w:val="24"/>
          <w:szCs w:val="24"/>
        </w:rPr>
        <w:t xml:space="preserve"> </w:t>
      </w:r>
      <w:r w:rsidR="00855571" w:rsidRPr="00C505FF">
        <w:rPr>
          <w:rFonts w:ascii="Aptos" w:hAnsi="Aptos"/>
          <w:color w:val="000000" w:themeColor="text1"/>
          <w:sz w:val="24"/>
          <w:szCs w:val="24"/>
        </w:rPr>
        <w:t>&amp;</w:t>
      </w:r>
      <w:r w:rsidRPr="00C505FF">
        <w:rPr>
          <w:rFonts w:ascii="Aptos" w:hAnsi="Aptos"/>
          <w:color w:val="000000" w:themeColor="text1"/>
          <w:sz w:val="24"/>
          <w:szCs w:val="24"/>
        </w:rPr>
        <w:t xml:space="preserve"> Tallowin, J.R.B. (2018). The Importance of Sustained Grassland and Environmental Research: A Case Study from North Wyke Research Station, UK, 1982</w:t>
      </w:r>
      <w:r w:rsidR="00B87128">
        <w:rPr>
          <w:rFonts w:ascii="Aptos" w:hAnsi="Aptos"/>
          <w:color w:val="000000" w:themeColor="text1"/>
          <w:sz w:val="24"/>
          <w:szCs w:val="24"/>
        </w:rPr>
        <w:t xml:space="preserve"> – 2017.</w:t>
      </w:r>
      <w:r w:rsidRPr="00C505FF">
        <w:rPr>
          <w:rFonts w:ascii="Aptos" w:hAnsi="Aptos"/>
          <w:color w:val="000000" w:themeColor="text1"/>
          <w:sz w:val="24"/>
          <w:szCs w:val="24"/>
        </w:rPr>
        <w:t xml:space="preserve"> </w:t>
      </w:r>
      <w:r w:rsidRPr="00B87128">
        <w:rPr>
          <w:rFonts w:ascii="Aptos" w:hAnsi="Aptos"/>
          <w:i/>
          <w:iCs/>
          <w:color w:val="000000" w:themeColor="text1"/>
          <w:sz w:val="24"/>
          <w:szCs w:val="24"/>
        </w:rPr>
        <w:t>Advances in Agronomy</w:t>
      </w:r>
      <w:r w:rsidRPr="00C505FF">
        <w:rPr>
          <w:rFonts w:ascii="Aptos" w:hAnsi="Aptos"/>
          <w:color w:val="000000" w:themeColor="text1"/>
          <w:sz w:val="24"/>
          <w:szCs w:val="24"/>
        </w:rPr>
        <w:t xml:space="preserve">, </w:t>
      </w:r>
      <w:r w:rsidRPr="00B87128">
        <w:rPr>
          <w:rFonts w:ascii="Aptos" w:hAnsi="Aptos"/>
          <w:i/>
          <w:iCs/>
          <w:color w:val="000000" w:themeColor="text1"/>
          <w:sz w:val="24"/>
          <w:szCs w:val="24"/>
        </w:rPr>
        <w:t>149</w:t>
      </w:r>
      <w:r w:rsidR="00B87128">
        <w:rPr>
          <w:rFonts w:ascii="Aptos" w:hAnsi="Aptos"/>
          <w:color w:val="000000" w:themeColor="text1"/>
          <w:sz w:val="24"/>
          <w:szCs w:val="24"/>
        </w:rPr>
        <w:t>,</w:t>
      </w:r>
      <w:r w:rsidRPr="00C505FF">
        <w:rPr>
          <w:rFonts w:ascii="Aptos" w:hAnsi="Aptos"/>
          <w:color w:val="000000" w:themeColor="text1"/>
          <w:sz w:val="24"/>
          <w:szCs w:val="24"/>
        </w:rPr>
        <w:t xml:space="preserve"> 161 – 235. </w:t>
      </w:r>
      <w:hyperlink r:id="rId36" w:tgtFrame="_blank" w:tooltip="Persistent link using digital object identifier" w:history="1">
        <w:r w:rsidRPr="00C505FF">
          <w:rPr>
            <w:rStyle w:val="Hyperlink"/>
            <w:rFonts w:ascii="Aptos" w:hAnsi="Aptos"/>
            <w:sz w:val="24"/>
            <w:szCs w:val="24"/>
          </w:rPr>
          <w:t>https://doi.org/10.1016/bs.agron.2018.01.004</w:t>
        </w:r>
      </w:hyperlink>
    </w:p>
    <w:p w14:paraId="154373E7" w14:textId="2CD30D97" w:rsidR="009A3B2F" w:rsidRPr="00C505FF"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C505FF">
        <w:rPr>
          <w:rFonts w:ascii="Aptos" w:hAnsi="Aptos"/>
          <w:color w:val="000000" w:themeColor="text1"/>
          <w:sz w:val="24"/>
          <w:szCs w:val="24"/>
        </w:rPr>
        <w:t xml:space="preserve">Necpálová, M., Li, D., Lanigan, G., Casey, I.A., Burchill, W., &amp; Humphreys, J. (2013). Changes in soil organic carbon in a clay loam soil following ploughing and reseeding of permanent grassland under temperate moist climatic conditions. </w:t>
      </w:r>
      <w:r w:rsidRPr="00C505FF">
        <w:rPr>
          <w:rFonts w:ascii="Aptos" w:hAnsi="Aptos"/>
          <w:i/>
          <w:iCs/>
          <w:color w:val="000000" w:themeColor="text1"/>
          <w:sz w:val="24"/>
          <w:szCs w:val="24"/>
        </w:rPr>
        <w:t>Grass Forage Science, 69,</w:t>
      </w:r>
      <w:r w:rsidRPr="00C505FF">
        <w:rPr>
          <w:rFonts w:ascii="Aptos" w:hAnsi="Aptos"/>
          <w:color w:val="000000" w:themeColor="text1"/>
          <w:sz w:val="24"/>
          <w:szCs w:val="24"/>
        </w:rPr>
        <w:t xml:space="preserve"> 611</w:t>
      </w:r>
      <w:r w:rsidR="00855571" w:rsidRPr="00C505FF">
        <w:rPr>
          <w:rFonts w:ascii="Aptos" w:hAnsi="Aptos"/>
          <w:color w:val="000000" w:themeColor="text1"/>
          <w:sz w:val="24"/>
          <w:szCs w:val="24"/>
        </w:rPr>
        <w:t xml:space="preserve"> – 624.</w:t>
      </w:r>
      <w:r w:rsidRPr="00C505FF">
        <w:rPr>
          <w:rFonts w:ascii="Aptos" w:hAnsi="Aptos"/>
          <w:color w:val="000000" w:themeColor="text1"/>
          <w:sz w:val="24"/>
          <w:szCs w:val="24"/>
        </w:rPr>
        <w:t xml:space="preserve"> </w:t>
      </w:r>
      <w:hyperlink r:id="rId37" w:history="1">
        <w:r w:rsidR="00855571" w:rsidRPr="00C505FF">
          <w:rPr>
            <w:rStyle w:val="Hyperlink"/>
            <w:rFonts w:ascii="Aptos" w:hAnsi="Aptos"/>
            <w:sz w:val="24"/>
            <w:szCs w:val="24"/>
          </w:rPr>
          <w:t>http://dx.doi.org/10.1111/gfs.12080</w:t>
        </w:r>
      </w:hyperlink>
      <w:r w:rsidR="00855571" w:rsidRPr="00C505FF">
        <w:rPr>
          <w:rFonts w:ascii="Aptos" w:hAnsi="Aptos"/>
          <w:color w:val="000000" w:themeColor="text1"/>
          <w:sz w:val="24"/>
          <w:szCs w:val="24"/>
        </w:rPr>
        <w:t xml:space="preserve"> </w:t>
      </w:r>
    </w:p>
    <w:p w14:paraId="57C218D8" w14:textId="4825DBBD" w:rsidR="009A3B2F" w:rsidRPr="00C505FF" w:rsidRDefault="009A3B2F" w:rsidP="008B224F">
      <w:pPr>
        <w:spacing w:after="120" w:line="360" w:lineRule="auto"/>
        <w:ind w:left="284" w:hanging="284"/>
        <w:rPr>
          <w:rFonts w:ascii="Aptos" w:hAnsi="Aptos"/>
          <w:color w:val="000000" w:themeColor="text1"/>
          <w:sz w:val="24"/>
          <w:szCs w:val="24"/>
        </w:rPr>
      </w:pPr>
      <w:r w:rsidRPr="00C505FF">
        <w:rPr>
          <w:rFonts w:ascii="Aptos" w:hAnsi="Aptos"/>
          <w:color w:val="000000" w:themeColor="text1"/>
          <w:sz w:val="24"/>
          <w:szCs w:val="24"/>
        </w:rPr>
        <w:t>Nze Memiaghe, J.D., Cambouris, A.N., Ziadi, N.</w:t>
      </w:r>
      <w:r w:rsidR="00855571" w:rsidRPr="00C505FF">
        <w:rPr>
          <w:rFonts w:ascii="Aptos" w:hAnsi="Aptos"/>
          <w:color w:val="000000" w:themeColor="text1"/>
          <w:sz w:val="24"/>
          <w:szCs w:val="24"/>
        </w:rPr>
        <w:t>,</w:t>
      </w:r>
      <w:r w:rsidRPr="00C505FF">
        <w:rPr>
          <w:rFonts w:ascii="Aptos" w:hAnsi="Aptos"/>
          <w:color w:val="000000" w:themeColor="text1"/>
          <w:sz w:val="24"/>
          <w:szCs w:val="24"/>
        </w:rPr>
        <w:t xml:space="preserve"> &amp; Karam, A. (2022). Tillage Management Impacts on Soil Phosphorus Variability under Maize–Soybean Rotation in Eastern Canada. </w:t>
      </w:r>
      <w:r w:rsidRPr="00C505FF">
        <w:rPr>
          <w:rFonts w:ascii="Aptos" w:hAnsi="Aptos"/>
          <w:i/>
          <w:iCs/>
          <w:color w:val="000000" w:themeColor="text1"/>
          <w:sz w:val="24"/>
          <w:szCs w:val="24"/>
        </w:rPr>
        <w:t>Soil Systems, 6,</w:t>
      </w:r>
      <w:r w:rsidRPr="00C505FF">
        <w:rPr>
          <w:rFonts w:ascii="Aptos" w:hAnsi="Aptos"/>
          <w:color w:val="000000" w:themeColor="text1"/>
          <w:sz w:val="24"/>
          <w:szCs w:val="24"/>
        </w:rPr>
        <w:t xml:space="preserve"> 45. </w:t>
      </w:r>
      <w:hyperlink r:id="rId38" w:history="1">
        <w:r w:rsidRPr="00C505FF">
          <w:rPr>
            <w:rStyle w:val="Hyperlink"/>
            <w:rFonts w:ascii="Aptos" w:hAnsi="Aptos"/>
            <w:color w:val="000000" w:themeColor="text1"/>
            <w:sz w:val="24"/>
            <w:szCs w:val="24"/>
          </w:rPr>
          <w:t>https://doi.org/10.3390/soilsystems6020045</w:t>
        </w:r>
      </w:hyperlink>
    </w:p>
    <w:p w14:paraId="4C3FEB96" w14:textId="77777777" w:rsidR="009A3B2F" w:rsidRPr="00C505FF" w:rsidRDefault="009A3B2F" w:rsidP="008B224F">
      <w:pPr>
        <w:pStyle w:val="Default"/>
        <w:spacing w:after="120" w:line="360" w:lineRule="auto"/>
        <w:ind w:left="284" w:hanging="284"/>
        <w:rPr>
          <w:rStyle w:val="anchor-text"/>
          <w:rFonts w:ascii="Aptos" w:hAnsi="Aptos" w:cs="Arial"/>
          <w:color w:val="0000FF"/>
        </w:rPr>
      </w:pPr>
      <w:r w:rsidRPr="00C505FF">
        <w:rPr>
          <w:rFonts w:ascii="Aptos" w:hAnsi="Aptos" w:cs="Arial"/>
          <w:color w:val="000000" w:themeColor="text1"/>
        </w:rPr>
        <w:lastRenderedPageBreak/>
        <w:t xml:space="preserve">Piazza, G., Pellegrino, E., Moscatelli, M.C., &amp; Ercoli, L. (2020). Long-Term Conservation Tillage and Nitrogen Fertilization Effects on Soil Aggregate Distribution, Nutrient Stocks and Enzymatic Activities in Bulk Soil and Occluded Microaggregates. </w:t>
      </w:r>
      <w:r w:rsidRPr="00C505FF">
        <w:rPr>
          <w:rFonts w:ascii="Aptos" w:hAnsi="Aptos" w:cs="Arial"/>
          <w:i/>
          <w:iCs/>
          <w:color w:val="000000" w:themeColor="text1"/>
        </w:rPr>
        <w:t>Soil and Tillage Research,196,</w:t>
      </w:r>
      <w:r w:rsidRPr="00C505FF">
        <w:rPr>
          <w:rFonts w:ascii="Aptos" w:hAnsi="Aptos" w:cs="Arial"/>
          <w:color w:val="000000" w:themeColor="text1"/>
        </w:rPr>
        <w:t xml:space="preserve"> 104482. </w:t>
      </w:r>
      <w:hyperlink r:id="rId39" w:tgtFrame="_blank" w:tooltip="Persistent link using digital object identifier" w:history="1">
        <w:r w:rsidRPr="00C505FF">
          <w:rPr>
            <w:rStyle w:val="anchor-text"/>
            <w:rFonts w:ascii="Aptos" w:hAnsi="Aptos" w:cs="Arial"/>
            <w:color w:val="0000FF"/>
          </w:rPr>
          <w:t>https://doi.org/10.1016/j.still.2019.104482</w:t>
        </w:r>
      </w:hyperlink>
    </w:p>
    <w:p w14:paraId="4B3DC085" w14:textId="2187B3E2" w:rsidR="009A3B2F" w:rsidRPr="001D2FCB" w:rsidRDefault="009A3B2F" w:rsidP="008B224F">
      <w:pPr>
        <w:pStyle w:val="Default"/>
        <w:spacing w:after="120" w:line="360" w:lineRule="auto"/>
        <w:ind w:left="284" w:hanging="284"/>
        <w:rPr>
          <w:rFonts w:ascii="Aptos" w:hAnsi="Aptos" w:cs="Arial"/>
          <w:color w:val="000000" w:themeColor="text1"/>
        </w:rPr>
      </w:pPr>
      <w:r w:rsidRPr="001D2FCB">
        <w:rPr>
          <w:rFonts w:ascii="Aptos" w:hAnsi="Aptos"/>
        </w:rPr>
        <w:t xml:space="preserve">Pulley, S., &amp; Collins, A.L. (2020). Sediment loss in response to scheduled pasture ploughing and reseeding: The importance of soil moisture content in controlling risk. </w:t>
      </w:r>
      <w:r w:rsidR="00755D67" w:rsidRPr="001D2FCB">
        <w:rPr>
          <w:rFonts w:ascii="Aptos" w:hAnsi="Aptos"/>
          <w:i/>
          <w:iCs/>
        </w:rPr>
        <w:t>Soil and</w:t>
      </w:r>
      <w:r w:rsidRPr="001D2FCB">
        <w:rPr>
          <w:rFonts w:ascii="Aptos" w:hAnsi="Aptos"/>
          <w:i/>
          <w:iCs/>
        </w:rPr>
        <w:t xml:space="preserve"> Tillage Research. 204</w:t>
      </w:r>
      <w:r w:rsidRPr="001D2FCB">
        <w:rPr>
          <w:rFonts w:ascii="Aptos" w:hAnsi="Aptos"/>
        </w:rPr>
        <w:t xml:space="preserve">, 104746. </w:t>
      </w:r>
      <w:hyperlink r:id="rId40" w:tgtFrame="_blank" w:tooltip="Persistent link using digital object identifier" w:history="1">
        <w:r w:rsidRPr="001D2FCB">
          <w:rPr>
            <w:rStyle w:val="anchor-text"/>
            <w:rFonts w:ascii="Aptos" w:hAnsi="Aptos" w:cs="Arial"/>
            <w:color w:val="0000FF"/>
          </w:rPr>
          <w:t>https://doi.org/10.1016/j.still.2020.104746</w:t>
        </w:r>
      </w:hyperlink>
    </w:p>
    <w:p w14:paraId="1B0F7ECB" w14:textId="75FA703D" w:rsidR="009A3B2F" w:rsidRPr="00755D67"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755D67">
        <w:rPr>
          <w:rFonts w:ascii="Aptos" w:hAnsi="Aptos" w:cs="Arial"/>
          <w:color w:val="1F1F1F"/>
          <w:sz w:val="24"/>
          <w:szCs w:val="24"/>
        </w:rPr>
        <w:t>Reinsch</w:t>
      </w:r>
      <w:r w:rsidRPr="00755D67">
        <w:rPr>
          <w:rFonts w:ascii="Aptos" w:hAnsi="Aptos"/>
          <w:color w:val="000000" w:themeColor="text1"/>
          <w:sz w:val="24"/>
          <w:szCs w:val="24"/>
        </w:rPr>
        <w:t>, R., Loges, R., Kluß, C., &amp; Taube, F. (2018). Effect of grassland ploughing and reseeding on CO</w:t>
      </w:r>
      <w:r w:rsidRPr="002D25D9">
        <w:rPr>
          <w:rFonts w:ascii="Aptos" w:hAnsi="Aptos"/>
          <w:color w:val="000000" w:themeColor="text1"/>
          <w:sz w:val="24"/>
          <w:szCs w:val="24"/>
          <w:vertAlign w:val="subscript"/>
        </w:rPr>
        <w:t>2</w:t>
      </w:r>
      <w:r w:rsidRPr="00755D67">
        <w:rPr>
          <w:rFonts w:ascii="Aptos" w:hAnsi="Aptos"/>
          <w:color w:val="000000" w:themeColor="text1"/>
          <w:sz w:val="24"/>
          <w:szCs w:val="24"/>
        </w:rPr>
        <w:t xml:space="preserve"> emissions and soil carbon stocks. </w:t>
      </w:r>
      <w:r w:rsidRPr="00755D67">
        <w:rPr>
          <w:rFonts w:ascii="Aptos" w:hAnsi="Aptos"/>
          <w:i/>
          <w:iCs/>
          <w:color w:val="000000" w:themeColor="text1"/>
          <w:sz w:val="24"/>
          <w:szCs w:val="24"/>
        </w:rPr>
        <w:t xml:space="preserve">Agriculture, Ecosystems and Environment, </w:t>
      </w:r>
      <w:r w:rsidR="00AF7D6C" w:rsidRPr="00755D67">
        <w:rPr>
          <w:rFonts w:ascii="Aptos" w:hAnsi="Aptos"/>
          <w:i/>
          <w:iCs/>
          <w:color w:val="000000" w:themeColor="text1"/>
          <w:sz w:val="24"/>
          <w:szCs w:val="24"/>
        </w:rPr>
        <w:t>265,</w:t>
      </w:r>
      <w:r w:rsidR="00AF7D6C" w:rsidRPr="00755D67">
        <w:rPr>
          <w:rFonts w:ascii="Aptos" w:hAnsi="Aptos"/>
          <w:color w:val="000000" w:themeColor="text1"/>
          <w:sz w:val="24"/>
          <w:szCs w:val="24"/>
        </w:rPr>
        <w:t xml:space="preserve"> 374</w:t>
      </w:r>
      <w:r w:rsidR="00C505FF">
        <w:rPr>
          <w:rFonts w:ascii="Aptos" w:hAnsi="Aptos"/>
          <w:color w:val="000000" w:themeColor="text1"/>
          <w:sz w:val="24"/>
          <w:szCs w:val="24"/>
        </w:rPr>
        <w:t xml:space="preserve"> – 383</w:t>
      </w:r>
      <w:r w:rsidRPr="00755D67">
        <w:rPr>
          <w:rFonts w:ascii="Aptos" w:hAnsi="Aptos"/>
          <w:color w:val="000000" w:themeColor="text1"/>
          <w:sz w:val="24"/>
          <w:szCs w:val="24"/>
        </w:rPr>
        <w:t xml:space="preserve">. </w:t>
      </w:r>
      <w:hyperlink r:id="rId41" w:history="1">
        <w:r w:rsidRPr="00755D67">
          <w:rPr>
            <w:rStyle w:val="Hyperlink"/>
            <w:rFonts w:ascii="Aptos" w:hAnsi="Aptos"/>
            <w:sz w:val="24"/>
            <w:szCs w:val="24"/>
          </w:rPr>
          <w:t>https://doi.org/10.1016/j.agee.2018.06.020</w:t>
        </w:r>
      </w:hyperlink>
    </w:p>
    <w:p w14:paraId="3C7FE85F" w14:textId="53935648" w:rsidR="009A3B2F" w:rsidRPr="00755D67"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755D67">
        <w:rPr>
          <w:rFonts w:ascii="Aptos" w:hAnsi="Aptos"/>
          <w:color w:val="000000" w:themeColor="text1"/>
          <w:sz w:val="24"/>
          <w:szCs w:val="24"/>
        </w:rPr>
        <w:t xml:space="preserve">Rumpel, C. (2011). Carbon storage and organic matter dynamics in grassland soils. In: Lemaire, G. (Ed.), Grassland Productivity and Ecosystem </w:t>
      </w:r>
      <w:r w:rsidR="00AF7D6C" w:rsidRPr="00755D67">
        <w:rPr>
          <w:rFonts w:ascii="Aptos" w:hAnsi="Aptos"/>
          <w:color w:val="000000" w:themeColor="text1"/>
          <w:sz w:val="24"/>
          <w:szCs w:val="24"/>
        </w:rPr>
        <w:t xml:space="preserve">Services, pp: 55 </w:t>
      </w:r>
      <w:r w:rsidR="00AF7D6C">
        <w:rPr>
          <w:rFonts w:ascii="Aptos" w:hAnsi="Aptos"/>
          <w:color w:val="000000" w:themeColor="text1"/>
          <w:sz w:val="24"/>
          <w:szCs w:val="24"/>
        </w:rPr>
        <w:t>–</w:t>
      </w:r>
      <w:r w:rsidR="00AF7D6C" w:rsidRPr="00755D67">
        <w:rPr>
          <w:rFonts w:ascii="Aptos" w:hAnsi="Aptos"/>
          <w:color w:val="000000" w:themeColor="text1"/>
          <w:sz w:val="24"/>
          <w:szCs w:val="24"/>
        </w:rPr>
        <w:t xml:space="preserve"> 72</w:t>
      </w:r>
      <w:r w:rsidR="00AF7D6C">
        <w:rPr>
          <w:rFonts w:ascii="Aptos" w:hAnsi="Aptos"/>
          <w:color w:val="000000" w:themeColor="text1"/>
          <w:sz w:val="24"/>
          <w:szCs w:val="24"/>
        </w:rPr>
        <w:t>.</w:t>
      </w:r>
      <w:r w:rsidR="00AF7D6C" w:rsidRPr="00755D67">
        <w:rPr>
          <w:rFonts w:ascii="Aptos" w:hAnsi="Aptos"/>
          <w:color w:val="000000" w:themeColor="text1"/>
          <w:sz w:val="24"/>
          <w:szCs w:val="24"/>
        </w:rPr>
        <w:t xml:space="preserve"> </w:t>
      </w:r>
      <w:r w:rsidRPr="00755D67">
        <w:rPr>
          <w:rFonts w:ascii="Aptos" w:hAnsi="Aptos"/>
          <w:color w:val="000000" w:themeColor="text1"/>
          <w:sz w:val="24"/>
          <w:szCs w:val="24"/>
        </w:rPr>
        <w:t xml:space="preserve">                                                  </w:t>
      </w:r>
      <w:hyperlink r:id="rId42" w:history="1">
        <w:r w:rsidRPr="00755D67">
          <w:rPr>
            <w:rStyle w:val="Hyperlink"/>
            <w:rFonts w:ascii="Aptos" w:hAnsi="Aptos"/>
            <w:sz w:val="24"/>
            <w:szCs w:val="24"/>
          </w:rPr>
          <w:t>https://doi.org/10.1079/9781845938093.0065</w:t>
        </w:r>
      </w:hyperlink>
      <w:r w:rsidRPr="00755D67">
        <w:rPr>
          <w:rFonts w:ascii="Aptos" w:hAnsi="Aptos"/>
          <w:color w:val="000000" w:themeColor="text1"/>
          <w:sz w:val="24"/>
          <w:szCs w:val="24"/>
        </w:rPr>
        <w:t xml:space="preserve"> </w:t>
      </w:r>
    </w:p>
    <w:p w14:paraId="120247F3" w14:textId="15F4BDBC" w:rsidR="009A3B2F" w:rsidRPr="00755D67" w:rsidRDefault="009A3B2F" w:rsidP="00AF7D6C">
      <w:pPr>
        <w:spacing w:after="120" w:line="360" w:lineRule="auto"/>
        <w:ind w:left="284" w:hanging="284"/>
        <w:rPr>
          <w:rStyle w:val="anchor-text"/>
          <w:rFonts w:ascii="Aptos" w:hAnsi="Aptos" w:cs="Arial"/>
          <w:color w:val="000000" w:themeColor="text1"/>
          <w:sz w:val="24"/>
          <w:szCs w:val="24"/>
        </w:rPr>
      </w:pPr>
      <w:r w:rsidRPr="00755D67">
        <w:rPr>
          <w:rFonts w:ascii="Aptos" w:hAnsi="Aptos" w:cs="Arial"/>
          <w:color w:val="000000" w:themeColor="text1"/>
          <w:sz w:val="24"/>
          <w:szCs w:val="24"/>
          <w:lang w:val="pt-BR"/>
        </w:rPr>
        <w:t>Sá</w:t>
      </w:r>
      <w:r w:rsidRPr="00755D67">
        <w:rPr>
          <w:rFonts w:ascii="Aptos" w:hAnsi="Aptos"/>
          <w:color w:val="000000" w:themeColor="text1"/>
          <w:sz w:val="24"/>
          <w:szCs w:val="24"/>
          <w:lang w:val="pt-BR"/>
        </w:rPr>
        <w:t xml:space="preserve">, J.C.M., Lal, R., Briedis, C., de Oliveira Ferreira, A., Tivet, F., Inagaki, T.M., Goncalves, D.R.P., Canalli, L.B., Dos Santos, J.B., &amp; Romaniw, J. (2022). </w:t>
      </w:r>
      <w:r w:rsidRPr="00755D67">
        <w:rPr>
          <w:rFonts w:ascii="Aptos" w:hAnsi="Aptos"/>
          <w:color w:val="000000" w:themeColor="text1"/>
          <w:sz w:val="24"/>
          <w:szCs w:val="24"/>
        </w:rPr>
        <w:t xml:space="preserve">Can C-budget of natural capital be restored through conservation agriculture in a tropical and subtropical environment? </w:t>
      </w:r>
      <w:r w:rsidRPr="00755D67">
        <w:rPr>
          <w:rFonts w:ascii="Aptos" w:hAnsi="Aptos"/>
          <w:i/>
          <w:iCs/>
          <w:color w:val="000000" w:themeColor="text1"/>
          <w:sz w:val="24"/>
          <w:szCs w:val="24"/>
        </w:rPr>
        <w:t>Environmental Pollution, 298</w:t>
      </w:r>
      <w:r w:rsidRPr="00755D67">
        <w:rPr>
          <w:rFonts w:ascii="Aptos" w:hAnsi="Aptos"/>
          <w:color w:val="000000" w:themeColor="text1"/>
          <w:sz w:val="24"/>
          <w:szCs w:val="24"/>
        </w:rPr>
        <w:t xml:space="preserve">, 118817. </w:t>
      </w:r>
      <w:hyperlink r:id="rId43" w:tgtFrame="_blank" w:tooltip="Persistent link using digital object identifier" w:history="1">
        <w:r w:rsidRPr="00755D67">
          <w:rPr>
            <w:rStyle w:val="anchor-text"/>
            <w:rFonts w:ascii="Aptos" w:hAnsi="Aptos" w:cs="Arial"/>
            <w:color w:val="000000" w:themeColor="text1"/>
            <w:sz w:val="24"/>
            <w:szCs w:val="24"/>
          </w:rPr>
          <w:t>https://doi.org/10.1016/j.envpol.2022.118817</w:t>
        </w:r>
      </w:hyperlink>
    </w:p>
    <w:p w14:paraId="7C8EFB08" w14:textId="04F13583" w:rsidR="009A3B2F" w:rsidRPr="00755D67" w:rsidRDefault="009A3B2F" w:rsidP="008B224F">
      <w:pPr>
        <w:spacing w:after="120" w:line="360" w:lineRule="auto"/>
        <w:ind w:left="284" w:hanging="284"/>
        <w:rPr>
          <w:rFonts w:ascii="Aptos" w:hAnsi="Aptos"/>
          <w:color w:val="000000" w:themeColor="text1"/>
          <w:sz w:val="24"/>
          <w:szCs w:val="24"/>
        </w:rPr>
      </w:pPr>
      <w:r w:rsidRPr="00755D67">
        <w:rPr>
          <w:rFonts w:ascii="Aptos" w:hAnsi="Aptos"/>
          <w:color w:val="000000" w:themeColor="text1"/>
          <w:sz w:val="24"/>
          <w:szCs w:val="24"/>
        </w:rPr>
        <w:t xml:space="preserve">Sadiq, M., Li, G., Rahim, N., &amp; Tahir, M.M. (2021). Sustainable conservation tillage technique for improving soil health by enhancing soil physicochemical quality indicators under wheat mono-cropping system conditions. </w:t>
      </w:r>
      <w:r w:rsidRPr="00755D67">
        <w:rPr>
          <w:rFonts w:ascii="Aptos" w:hAnsi="Aptos"/>
          <w:i/>
          <w:iCs/>
          <w:color w:val="000000" w:themeColor="text1"/>
          <w:sz w:val="24"/>
          <w:szCs w:val="24"/>
        </w:rPr>
        <w:t>Sustainability</w:t>
      </w:r>
      <w:r w:rsidR="001A6A49">
        <w:rPr>
          <w:rFonts w:ascii="Aptos" w:hAnsi="Aptos"/>
          <w:color w:val="000000" w:themeColor="text1"/>
          <w:sz w:val="24"/>
          <w:szCs w:val="24"/>
        </w:rPr>
        <w:t>,</w:t>
      </w:r>
      <w:r w:rsidRPr="00755D67">
        <w:rPr>
          <w:rFonts w:ascii="Aptos" w:hAnsi="Aptos"/>
          <w:i/>
          <w:iCs/>
          <w:color w:val="000000" w:themeColor="text1"/>
          <w:sz w:val="24"/>
          <w:szCs w:val="24"/>
        </w:rPr>
        <w:t xml:space="preserve"> 13,</w:t>
      </w:r>
      <w:r w:rsidRPr="00755D67">
        <w:rPr>
          <w:rFonts w:ascii="Aptos" w:hAnsi="Aptos"/>
          <w:color w:val="000000" w:themeColor="text1"/>
          <w:sz w:val="24"/>
          <w:szCs w:val="24"/>
        </w:rPr>
        <w:t xml:space="preserve"> 8177 </w:t>
      </w:r>
      <w:hyperlink r:id="rId44" w:history="1">
        <w:r w:rsidRPr="00755D67">
          <w:rPr>
            <w:rStyle w:val="Hyperlink"/>
            <w:rFonts w:ascii="Aptos" w:hAnsi="Aptos"/>
            <w:color w:val="000000" w:themeColor="text1"/>
            <w:sz w:val="24"/>
            <w:szCs w:val="24"/>
          </w:rPr>
          <w:t>https://doi.org/10.3390/su13158177</w:t>
        </w:r>
      </w:hyperlink>
    </w:p>
    <w:p w14:paraId="1441663C" w14:textId="77777777" w:rsidR="009A3B2F" w:rsidRPr="00755D67" w:rsidRDefault="009A3B2F" w:rsidP="008B224F">
      <w:pPr>
        <w:autoSpaceDE w:val="0"/>
        <w:autoSpaceDN w:val="0"/>
        <w:adjustRightInd w:val="0"/>
        <w:spacing w:after="120" w:line="360" w:lineRule="auto"/>
        <w:ind w:left="284" w:hanging="284"/>
        <w:rPr>
          <w:rFonts w:ascii="Aptos" w:hAnsi="Aptos" w:cs="AdvOT569473da"/>
          <w:color w:val="000000" w:themeColor="text1"/>
          <w:kern w:val="0"/>
          <w:sz w:val="24"/>
          <w:szCs w:val="24"/>
        </w:rPr>
      </w:pPr>
      <w:r w:rsidRPr="00755D67">
        <w:rPr>
          <w:rFonts w:ascii="Aptos" w:hAnsi="Aptos" w:cs="AdvOT569473da"/>
          <w:color w:val="000000" w:themeColor="text1"/>
          <w:kern w:val="0"/>
          <w:sz w:val="24"/>
          <w:szCs w:val="24"/>
        </w:rPr>
        <w:t xml:space="preserve">Six, J., Conant, R. T., Paul, E. A., &amp; Paustian, K. (2002). Stabilization mechanisms of soil organic matter: Implications for C-saturation of soils. </w:t>
      </w:r>
      <w:r w:rsidRPr="00755D67">
        <w:rPr>
          <w:rFonts w:ascii="Aptos" w:hAnsi="Aptos" w:cs="AdvOTf2679e53.I"/>
          <w:i/>
          <w:iCs/>
          <w:color w:val="000000" w:themeColor="text1"/>
          <w:kern w:val="0"/>
          <w:sz w:val="24"/>
          <w:szCs w:val="24"/>
        </w:rPr>
        <w:t>Plant and Soil</w:t>
      </w:r>
      <w:r w:rsidRPr="00755D67">
        <w:rPr>
          <w:rFonts w:ascii="Aptos" w:hAnsi="Aptos" w:cs="AdvOT569473da"/>
          <w:i/>
          <w:iCs/>
          <w:color w:val="000000" w:themeColor="text1"/>
          <w:kern w:val="0"/>
          <w:sz w:val="24"/>
          <w:szCs w:val="24"/>
        </w:rPr>
        <w:t xml:space="preserve">, </w:t>
      </w:r>
      <w:r w:rsidRPr="00755D67">
        <w:rPr>
          <w:rFonts w:ascii="Aptos" w:hAnsi="Aptos" w:cs="AdvOTf2679e53.I"/>
          <w:i/>
          <w:iCs/>
          <w:color w:val="000000" w:themeColor="text1"/>
          <w:kern w:val="0"/>
          <w:sz w:val="24"/>
          <w:szCs w:val="24"/>
        </w:rPr>
        <w:t>241</w:t>
      </w:r>
      <w:r w:rsidRPr="00755D67">
        <w:rPr>
          <w:rFonts w:ascii="Aptos" w:hAnsi="Aptos" w:cs="AdvOT569473da"/>
          <w:i/>
          <w:iCs/>
          <w:color w:val="000000" w:themeColor="text1"/>
          <w:kern w:val="0"/>
          <w:sz w:val="24"/>
          <w:szCs w:val="24"/>
        </w:rPr>
        <w:t>,</w:t>
      </w:r>
      <w:r w:rsidRPr="00755D67">
        <w:rPr>
          <w:rFonts w:ascii="Aptos" w:hAnsi="Aptos" w:cs="AdvOT569473da"/>
          <w:color w:val="000000" w:themeColor="text1"/>
          <w:kern w:val="0"/>
          <w:sz w:val="24"/>
          <w:szCs w:val="24"/>
        </w:rPr>
        <w:t xml:space="preserve"> 155</w:t>
      </w:r>
      <w:r w:rsidRPr="00755D67">
        <w:rPr>
          <w:rFonts w:ascii="Aptos" w:hAnsi="Aptos" w:cs="AdvOT569473da+20"/>
          <w:color w:val="000000" w:themeColor="text1"/>
          <w:kern w:val="0"/>
          <w:sz w:val="24"/>
          <w:szCs w:val="24"/>
        </w:rPr>
        <w:t>–</w:t>
      </w:r>
      <w:r w:rsidRPr="00755D67">
        <w:rPr>
          <w:rFonts w:ascii="Aptos" w:hAnsi="Aptos" w:cs="AdvOT569473da"/>
          <w:color w:val="000000" w:themeColor="text1"/>
          <w:kern w:val="0"/>
          <w:sz w:val="24"/>
          <w:szCs w:val="24"/>
        </w:rPr>
        <w:t xml:space="preserve">176. </w:t>
      </w:r>
      <w:r w:rsidRPr="00755D67">
        <w:rPr>
          <w:rFonts w:ascii="Aptos" w:hAnsi="Aptos"/>
          <w:color w:val="222222"/>
          <w:sz w:val="24"/>
          <w:szCs w:val="24"/>
          <w:shd w:val="clear" w:color="auto" w:fill="FFFFFF"/>
        </w:rPr>
        <w:t>https://doi.org/10.1023/A:1016125726789</w:t>
      </w:r>
    </w:p>
    <w:p w14:paraId="2BFBB6E2" w14:textId="59D8FB56" w:rsidR="009A3B2F" w:rsidRPr="00755D67"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755D67">
        <w:rPr>
          <w:rFonts w:ascii="Aptos" w:hAnsi="Aptos"/>
          <w:color w:val="000000" w:themeColor="text1"/>
          <w:sz w:val="24"/>
          <w:szCs w:val="24"/>
        </w:rPr>
        <w:t xml:space="preserve">Stockmann, U., Adams, M.A., Crawford, J.W., Field, D.J., Henakaarchchi, N., Jenkins, M., Minasny, B., McBratney, A.B., Courcelles, Vd. Rd., Singh, K., Wheeler, I., Abbott, L., Angers, D.A., Baldock, J., Bird, M., Brookes, P.C., Chenu, C., Jastrow, J.D., Lal, R., Lehmann, J., O’Donnell, A.G., Parton, W.J., Whitehead, D., &amp; Zimmermann, M., (2013). The knowns, known unknowns and unknowns of sequestration of soil organic </w:t>
      </w:r>
      <w:r w:rsidRPr="00755D67">
        <w:rPr>
          <w:rFonts w:ascii="Aptos" w:hAnsi="Aptos"/>
          <w:color w:val="000000" w:themeColor="text1"/>
          <w:sz w:val="24"/>
          <w:szCs w:val="24"/>
        </w:rPr>
        <w:lastRenderedPageBreak/>
        <w:t xml:space="preserve">carbon. </w:t>
      </w:r>
      <w:r w:rsidRPr="00755D67">
        <w:rPr>
          <w:rFonts w:ascii="Aptos" w:hAnsi="Aptos"/>
          <w:i/>
          <w:iCs/>
          <w:color w:val="000000" w:themeColor="text1"/>
          <w:sz w:val="24"/>
          <w:szCs w:val="24"/>
        </w:rPr>
        <w:t>Agricultural Ecosystems &amp; Environment,</w:t>
      </w:r>
      <w:r w:rsidRPr="00755D67">
        <w:rPr>
          <w:rFonts w:ascii="Aptos" w:hAnsi="Aptos"/>
          <w:color w:val="000000" w:themeColor="text1"/>
          <w:sz w:val="24"/>
          <w:szCs w:val="24"/>
        </w:rPr>
        <w:t xml:space="preserve"> </w:t>
      </w:r>
      <w:r w:rsidRPr="004C4829">
        <w:rPr>
          <w:rFonts w:ascii="Aptos" w:hAnsi="Aptos"/>
          <w:i/>
          <w:iCs/>
          <w:color w:val="000000" w:themeColor="text1"/>
          <w:sz w:val="24"/>
          <w:szCs w:val="24"/>
        </w:rPr>
        <w:t>164</w:t>
      </w:r>
      <w:r w:rsidRPr="00755D67">
        <w:rPr>
          <w:rFonts w:ascii="Aptos" w:hAnsi="Aptos"/>
          <w:color w:val="000000" w:themeColor="text1"/>
          <w:sz w:val="24"/>
          <w:szCs w:val="24"/>
        </w:rPr>
        <w:t>, 80</w:t>
      </w:r>
      <w:r w:rsidR="003B28CB">
        <w:rPr>
          <w:rFonts w:ascii="Aptos" w:hAnsi="Aptos"/>
          <w:color w:val="000000" w:themeColor="text1"/>
          <w:sz w:val="24"/>
          <w:szCs w:val="24"/>
        </w:rPr>
        <w:t xml:space="preserve"> – 99.</w:t>
      </w:r>
      <w:r w:rsidRPr="00755D67">
        <w:rPr>
          <w:rFonts w:ascii="Aptos" w:hAnsi="Aptos"/>
          <w:color w:val="000000" w:themeColor="text1"/>
          <w:sz w:val="24"/>
          <w:szCs w:val="24"/>
        </w:rPr>
        <w:t xml:space="preserve"> </w:t>
      </w:r>
      <w:hyperlink r:id="rId45" w:history="1">
        <w:r w:rsidRPr="00755D67">
          <w:rPr>
            <w:rStyle w:val="Hyperlink"/>
            <w:rFonts w:ascii="Aptos" w:hAnsi="Aptos"/>
            <w:color w:val="000000" w:themeColor="text1"/>
            <w:sz w:val="24"/>
            <w:szCs w:val="24"/>
          </w:rPr>
          <w:t>http://dx.doi.org/10.1016/j.agee.2012.10.001</w:t>
        </w:r>
      </w:hyperlink>
      <w:r w:rsidRPr="00755D67">
        <w:rPr>
          <w:rFonts w:ascii="Aptos" w:hAnsi="Aptos"/>
          <w:color w:val="000000" w:themeColor="text1"/>
          <w:sz w:val="24"/>
          <w:szCs w:val="24"/>
        </w:rPr>
        <w:t>.</w:t>
      </w:r>
    </w:p>
    <w:p w14:paraId="72A3C095" w14:textId="77777777" w:rsidR="009A3B2F" w:rsidRPr="00755D67" w:rsidRDefault="009A3B2F" w:rsidP="008B224F">
      <w:pPr>
        <w:autoSpaceDE w:val="0"/>
        <w:autoSpaceDN w:val="0"/>
        <w:adjustRightInd w:val="0"/>
        <w:spacing w:after="120" w:line="360" w:lineRule="auto"/>
        <w:ind w:left="284" w:hanging="284"/>
        <w:rPr>
          <w:rFonts w:ascii="Aptos" w:hAnsi="Aptos" w:cs="Arial"/>
          <w:color w:val="000000" w:themeColor="text1"/>
          <w:kern w:val="0"/>
          <w:sz w:val="24"/>
          <w:szCs w:val="24"/>
          <w:lang w:val="pt-BR"/>
        </w:rPr>
      </w:pPr>
      <w:r w:rsidRPr="00755D67">
        <w:rPr>
          <w:rFonts w:ascii="Aptos" w:hAnsi="Aptos" w:cs="Arial"/>
          <w:color w:val="000000" w:themeColor="text1"/>
          <w:kern w:val="0"/>
          <w:sz w:val="24"/>
          <w:szCs w:val="24"/>
        </w:rPr>
        <w:t xml:space="preserve">Valkama, E., Kunypiyaeva, G., Zhapayev, R., Karabayev, M., Zhusupbekov, E., Perego, A., Schillaci, C., Sacco, D., Moretti, B., Grignani, C., &amp; Acutis, M. (2020). Can conservation agriculture increase soil carbon sequestration? A modelling approach. </w:t>
      </w:r>
      <w:r w:rsidRPr="00755D67">
        <w:rPr>
          <w:rFonts w:ascii="Aptos" w:hAnsi="Aptos" w:cs="Arial"/>
          <w:i/>
          <w:iCs/>
          <w:color w:val="000000" w:themeColor="text1"/>
          <w:kern w:val="0"/>
          <w:sz w:val="24"/>
          <w:szCs w:val="24"/>
          <w:lang w:val="pt-BR"/>
        </w:rPr>
        <w:t xml:space="preserve">Geoderma, </w:t>
      </w:r>
      <w:r w:rsidRPr="004C4829">
        <w:rPr>
          <w:rFonts w:ascii="Aptos" w:hAnsi="Aptos" w:cs="Arial"/>
          <w:i/>
          <w:iCs/>
          <w:color w:val="000000" w:themeColor="text1"/>
          <w:kern w:val="0"/>
          <w:sz w:val="24"/>
          <w:szCs w:val="24"/>
          <w:lang w:val="pt-BR"/>
        </w:rPr>
        <w:t>369</w:t>
      </w:r>
      <w:r w:rsidRPr="001A6A49">
        <w:rPr>
          <w:rFonts w:ascii="Aptos" w:hAnsi="Aptos" w:cs="Arial"/>
          <w:color w:val="000000" w:themeColor="text1"/>
          <w:kern w:val="0"/>
          <w:sz w:val="24"/>
          <w:szCs w:val="24"/>
          <w:lang w:val="pt-BR"/>
        </w:rPr>
        <w:t>, 114298</w:t>
      </w:r>
      <w:r w:rsidRPr="00755D67">
        <w:rPr>
          <w:rFonts w:ascii="Aptos" w:hAnsi="Aptos" w:cs="Arial"/>
          <w:i/>
          <w:iCs/>
          <w:color w:val="000000" w:themeColor="text1"/>
          <w:kern w:val="0"/>
          <w:sz w:val="24"/>
          <w:szCs w:val="24"/>
          <w:lang w:val="pt-BR"/>
        </w:rPr>
        <w:t>.</w:t>
      </w:r>
      <w:r w:rsidRPr="00755D67">
        <w:rPr>
          <w:rFonts w:ascii="Aptos" w:hAnsi="Aptos" w:cs="Arial"/>
          <w:color w:val="000000" w:themeColor="text1"/>
          <w:kern w:val="0"/>
          <w:sz w:val="24"/>
          <w:szCs w:val="24"/>
          <w:lang w:val="pt-BR"/>
        </w:rPr>
        <w:t xml:space="preserve"> </w:t>
      </w:r>
      <w:hyperlink r:id="rId46" w:tgtFrame="_blank" w:tooltip="Persistent link using digital object identifier" w:history="1">
        <w:r w:rsidRPr="00755D67">
          <w:rPr>
            <w:rStyle w:val="anchor-text"/>
            <w:rFonts w:ascii="Aptos" w:hAnsi="Aptos" w:cs="Arial"/>
            <w:color w:val="0000FF"/>
            <w:sz w:val="24"/>
            <w:szCs w:val="24"/>
            <w:lang w:val="pt-BR"/>
          </w:rPr>
          <w:t>https://doi.org/10.1016/j.geoderma.2020.114298</w:t>
        </w:r>
      </w:hyperlink>
    </w:p>
    <w:p w14:paraId="0F201515" w14:textId="70175E9C" w:rsidR="009A3B2F" w:rsidRPr="00755D67" w:rsidRDefault="009A3B2F" w:rsidP="003B28CB">
      <w:pPr>
        <w:spacing w:after="120" w:line="360" w:lineRule="auto"/>
        <w:ind w:left="284" w:hanging="284"/>
        <w:rPr>
          <w:rFonts w:ascii="Merriweather Sans" w:hAnsi="Merriweather Sans"/>
          <w:color w:val="222222"/>
          <w:sz w:val="24"/>
          <w:szCs w:val="24"/>
          <w:shd w:val="clear" w:color="auto" w:fill="FFFFFF"/>
        </w:rPr>
      </w:pPr>
      <w:r w:rsidRPr="00755D67">
        <w:rPr>
          <w:rFonts w:ascii="Aptos" w:hAnsi="Aptos"/>
          <w:sz w:val="24"/>
          <w:szCs w:val="24"/>
          <w:lang w:val="es-ES"/>
        </w:rPr>
        <w:t xml:space="preserve">Vellinga, T.V., Van den Pol-van Dasselaar, A., &amp; Kuikman, P.J. (2004). </w:t>
      </w:r>
      <w:r w:rsidRPr="00755D67">
        <w:rPr>
          <w:rFonts w:ascii="Aptos" w:hAnsi="Aptos"/>
          <w:sz w:val="24"/>
          <w:szCs w:val="24"/>
        </w:rPr>
        <w:t xml:space="preserve">The impact of grassland ploughing on CO2 and N2O emissions in the Netherlands. </w:t>
      </w:r>
      <w:r w:rsidRPr="00755D67">
        <w:rPr>
          <w:rFonts w:ascii="Aptos" w:hAnsi="Aptos"/>
          <w:i/>
          <w:iCs/>
          <w:sz w:val="24"/>
          <w:szCs w:val="24"/>
        </w:rPr>
        <w:t>Nutrient Cycling in Agroecosystem</w:t>
      </w:r>
      <w:r w:rsidRPr="004C4829">
        <w:rPr>
          <w:rFonts w:ascii="Aptos" w:hAnsi="Aptos"/>
          <w:i/>
          <w:iCs/>
          <w:sz w:val="24"/>
          <w:szCs w:val="24"/>
        </w:rPr>
        <w:t>. 70</w:t>
      </w:r>
      <w:r w:rsidRPr="00755D67">
        <w:rPr>
          <w:rFonts w:ascii="Aptos" w:hAnsi="Aptos"/>
          <w:sz w:val="24"/>
          <w:szCs w:val="24"/>
        </w:rPr>
        <w:t>, 33</w:t>
      </w:r>
      <w:r w:rsidR="003B28CB">
        <w:rPr>
          <w:rFonts w:ascii="Aptos" w:hAnsi="Aptos"/>
          <w:sz w:val="24"/>
          <w:szCs w:val="24"/>
        </w:rPr>
        <w:t xml:space="preserve"> – 45. </w:t>
      </w:r>
      <w:r w:rsidRPr="00755D67">
        <w:rPr>
          <w:rFonts w:ascii="Aptos" w:hAnsi="Aptos"/>
          <w:sz w:val="24"/>
          <w:szCs w:val="24"/>
        </w:rPr>
        <w:t xml:space="preserve"> </w:t>
      </w:r>
      <w:hyperlink r:id="rId47" w:history="1">
        <w:r w:rsidRPr="00755D67">
          <w:rPr>
            <w:rStyle w:val="Hyperlink"/>
            <w:rFonts w:ascii="Aptos" w:hAnsi="Aptos"/>
            <w:sz w:val="24"/>
            <w:szCs w:val="24"/>
            <w:shd w:val="clear" w:color="auto" w:fill="FFFFFF"/>
          </w:rPr>
          <w:t>https://doi.org/10.1023/B:FRES.0000045981.56547.db</w:t>
        </w:r>
      </w:hyperlink>
    </w:p>
    <w:p w14:paraId="5CD59155" w14:textId="77777777" w:rsidR="009A3B2F" w:rsidRPr="00755D67" w:rsidRDefault="009A3B2F" w:rsidP="008B224F">
      <w:pPr>
        <w:spacing w:after="120" w:line="360" w:lineRule="auto"/>
        <w:ind w:left="284" w:hanging="284"/>
        <w:rPr>
          <w:rFonts w:ascii="Aptos" w:hAnsi="Aptos"/>
          <w:color w:val="000000" w:themeColor="text1"/>
          <w:sz w:val="24"/>
          <w:szCs w:val="24"/>
        </w:rPr>
      </w:pPr>
      <w:r w:rsidRPr="00755D67">
        <w:rPr>
          <w:rFonts w:ascii="Aptos" w:hAnsi="Aptos"/>
          <w:color w:val="000000" w:themeColor="text1"/>
          <w:sz w:val="24"/>
          <w:szCs w:val="24"/>
          <w:lang w:val="pt-BR"/>
        </w:rPr>
        <w:t xml:space="preserve">Vilakazi, B.S.,  Zengeni, R., &amp; Mafongoya, P.  </w:t>
      </w:r>
      <w:r w:rsidRPr="00755D67">
        <w:rPr>
          <w:rFonts w:ascii="Aptos" w:hAnsi="Aptos"/>
          <w:color w:val="000000" w:themeColor="text1"/>
          <w:sz w:val="24"/>
          <w:szCs w:val="24"/>
        </w:rPr>
        <w:t xml:space="preserve">(2022). The Effects of Different Tillage Techniques and N Fertilizer Rates on Nitrogen and Phosphorus in Dry Land Agriculture. </w:t>
      </w:r>
      <w:r w:rsidRPr="00755D67">
        <w:rPr>
          <w:rFonts w:ascii="Aptos" w:hAnsi="Aptos"/>
          <w:i/>
          <w:iCs/>
          <w:color w:val="000000" w:themeColor="text1"/>
          <w:sz w:val="24"/>
          <w:szCs w:val="24"/>
        </w:rPr>
        <w:t>Agronomy, 12,</w:t>
      </w:r>
      <w:r w:rsidRPr="00755D67">
        <w:rPr>
          <w:rFonts w:ascii="Aptos" w:hAnsi="Aptos"/>
          <w:color w:val="000000" w:themeColor="text1"/>
          <w:sz w:val="24"/>
          <w:szCs w:val="24"/>
        </w:rPr>
        <w:t xml:space="preserve"> 2389. </w:t>
      </w:r>
      <w:hyperlink r:id="rId48" w:history="1">
        <w:r w:rsidRPr="00755D67">
          <w:rPr>
            <w:rStyle w:val="Hyperlink"/>
            <w:rFonts w:ascii="Aptos" w:hAnsi="Aptos"/>
            <w:color w:val="000000" w:themeColor="text1"/>
            <w:sz w:val="24"/>
            <w:szCs w:val="24"/>
          </w:rPr>
          <w:t>https://doi.org/10.3390/agronomy12102389</w:t>
        </w:r>
      </w:hyperlink>
    </w:p>
    <w:p w14:paraId="08354765" w14:textId="77777777" w:rsidR="009A3B2F" w:rsidRPr="00755D67" w:rsidRDefault="009A3B2F" w:rsidP="008B224F">
      <w:pPr>
        <w:autoSpaceDE w:val="0"/>
        <w:autoSpaceDN w:val="0"/>
        <w:adjustRightInd w:val="0"/>
        <w:spacing w:after="120" w:line="360" w:lineRule="auto"/>
        <w:ind w:left="284" w:hanging="284"/>
        <w:rPr>
          <w:rFonts w:ascii="Aptos" w:hAnsi="Aptos"/>
          <w:color w:val="000000" w:themeColor="text1"/>
          <w:sz w:val="24"/>
          <w:szCs w:val="24"/>
        </w:rPr>
      </w:pPr>
      <w:r w:rsidRPr="00755D67">
        <w:rPr>
          <w:rFonts w:ascii="Aptos" w:hAnsi="Aptos"/>
          <w:color w:val="595959"/>
          <w:sz w:val="24"/>
          <w:szCs w:val="24"/>
          <w:shd w:val="clear" w:color="auto" w:fill="FFFFFF"/>
        </w:rPr>
        <w:t>VSN International (2023). Genstat </w:t>
      </w:r>
      <w:r w:rsidRPr="00755D67">
        <w:rPr>
          <w:rFonts w:ascii="Aptos" w:hAnsi="Aptos"/>
          <w:i/>
          <w:iCs/>
          <w:color w:val="595959"/>
          <w:sz w:val="24"/>
          <w:szCs w:val="24"/>
          <w:shd w:val="clear" w:color="auto" w:fill="FFFFFF"/>
        </w:rPr>
        <w:t>for Windows</w:t>
      </w:r>
      <w:r w:rsidRPr="00755D67">
        <w:rPr>
          <w:rFonts w:ascii="Aptos" w:hAnsi="Aptos"/>
          <w:color w:val="595959"/>
          <w:sz w:val="24"/>
          <w:szCs w:val="24"/>
          <w:shd w:val="clear" w:color="auto" w:fill="FFFFFF"/>
        </w:rPr>
        <w:t xml:space="preserve"> 22nd Edition. VSN International, Hemel Hempstead, UK. </w:t>
      </w:r>
      <w:hyperlink r:id="rId49" w:history="1">
        <w:r w:rsidRPr="00755D67">
          <w:rPr>
            <w:rStyle w:val="Hyperlink"/>
            <w:rFonts w:ascii="Aptos" w:hAnsi="Aptos"/>
            <w:color w:val="48B170"/>
            <w:sz w:val="24"/>
            <w:szCs w:val="24"/>
            <w:shd w:val="clear" w:color="auto" w:fill="FFFFFF"/>
          </w:rPr>
          <w:t>Genstat.co.uk</w:t>
        </w:r>
      </w:hyperlink>
    </w:p>
    <w:p w14:paraId="7F00952D" w14:textId="1E40FC18" w:rsidR="009A3B2F" w:rsidRPr="00755D67" w:rsidRDefault="009A3B2F" w:rsidP="002C7D00">
      <w:pPr>
        <w:autoSpaceDE w:val="0"/>
        <w:autoSpaceDN w:val="0"/>
        <w:adjustRightInd w:val="0"/>
        <w:spacing w:after="120" w:line="360" w:lineRule="auto"/>
        <w:ind w:left="284" w:hanging="284"/>
        <w:rPr>
          <w:rFonts w:ascii="Aptos" w:hAnsi="Aptos"/>
          <w:color w:val="000000" w:themeColor="text1"/>
          <w:sz w:val="24"/>
          <w:szCs w:val="24"/>
        </w:rPr>
      </w:pPr>
      <w:r w:rsidRPr="00755D67">
        <w:rPr>
          <w:rFonts w:ascii="Aptos" w:hAnsi="Aptos"/>
          <w:color w:val="000000" w:themeColor="text1"/>
          <w:sz w:val="24"/>
          <w:szCs w:val="24"/>
        </w:rPr>
        <w:t xml:space="preserve">Wershaw, R. (1993). Model for humus in soils and sediments. </w:t>
      </w:r>
      <w:r w:rsidRPr="00F72486">
        <w:rPr>
          <w:rFonts w:ascii="Aptos" w:hAnsi="Aptos"/>
          <w:i/>
          <w:iCs/>
          <w:color w:val="000000" w:themeColor="text1"/>
          <w:sz w:val="24"/>
          <w:szCs w:val="24"/>
        </w:rPr>
        <w:t>Environmental Science and Technology</w:t>
      </w:r>
      <w:r w:rsidRPr="00755D67">
        <w:rPr>
          <w:rFonts w:ascii="Aptos" w:hAnsi="Aptos"/>
          <w:color w:val="000000" w:themeColor="text1"/>
          <w:sz w:val="24"/>
          <w:szCs w:val="24"/>
        </w:rPr>
        <w:t xml:space="preserve">, </w:t>
      </w:r>
      <w:r w:rsidRPr="00F72486">
        <w:rPr>
          <w:rFonts w:ascii="Aptos" w:hAnsi="Aptos"/>
          <w:i/>
          <w:iCs/>
          <w:color w:val="000000" w:themeColor="text1"/>
          <w:sz w:val="24"/>
          <w:szCs w:val="24"/>
        </w:rPr>
        <w:t>27</w:t>
      </w:r>
      <w:r w:rsidR="00F72486">
        <w:rPr>
          <w:rFonts w:ascii="Aptos" w:hAnsi="Aptos"/>
          <w:color w:val="000000" w:themeColor="text1"/>
          <w:sz w:val="24"/>
          <w:szCs w:val="24"/>
        </w:rPr>
        <w:t xml:space="preserve"> (5)</w:t>
      </w:r>
      <w:r w:rsidRPr="00755D67">
        <w:rPr>
          <w:rFonts w:ascii="Aptos" w:hAnsi="Aptos"/>
          <w:color w:val="000000" w:themeColor="text1"/>
          <w:sz w:val="24"/>
          <w:szCs w:val="24"/>
        </w:rPr>
        <w:t>, 814</w:t>
      </w:r>
      <w:r w:rsidR="001226ED">
        <w:rPr>
          <w:rFonts w:ascii="Aptos" w:hAnsi="Aptos"/>
          <w:color w:val="000000" w:themeColor="text1"/>
          <w:sz w:val="24"/>
          <w:szCs w:val="24"/>
        </w:rPr>
        <w:t xml:space="preserve"> – 816.</w:t>
      </w:r>
      <w:r w:rsidRPr="00755D67">
        <w:rPr>
          <w:rFonts w:ascii="Aptos" w:hAnsi="Aptos"/>
          <w:color w:val="000000" w:themeColor="text1"/>
          <w:sz w:val="24"/>
          <w:szCs w:val="24"/>
        </w:rPr>
        <w:t xml:space="preserve"> </w:t>
      </w:r>
      <w:hyperlink r:id="rId50" w:history="1">
        <w:r w:rsidR="003B28CB" w:rsidRPr="00AB14D8">
          <w:rPr>
            <w:rStyle w:val="Hyperlink"/>
            <w:rFonts w:ascii="Aptos" w:hAnsi="Aptos"/>
            <w:sz w:val="24"/>
            <w:szCs w:val="24"/>
          </w:rPr>
          <w:t>https://doi.org/0.1021/es00042a603</w:t>
        </w:r>
      </w:hyperlink>
    </w:p>
    <w:p w14:paraId="5467D4FC" w14:textId="145C0B49" w:rsidR="009A3B2F" w:rsidRPr="00755D67" w:rsidRDefault="009A3B2F" w:rsidP="008B224F">
      <w:pPr>
        <w:pStyle w:val="Heading1"/>
        <w:shd w:val="clear" w:color="auto" w:fill="FFFFFF"/>
        <w:spacing w:before="0" w:after="120" w:line="360" w:lineRule="auto"/>
        <w:ind w:left="284" w:hanging="284"/>
        <w:rPr>
          <w:rFonts w:ascii="Aptos" w:hAnsi="Aptos" w:cs="Open Sans"/>
          <w:b/>
          <w:bCs/>
          <w:color w:val="333333"/>
          <w:sz w:val="24"/>
          <w:szCs w:val="24"/>
          <w:shd w:val="clear" w:color="auto" w:fill="FFFFFF"/>
        </w:rPr>
      </w:pPr>
      <w:r w:rsidRPr="00755D67">
        <w:rPr>
          <w:rFonts w:ascii="Aptos" w:hAnsi="Aptos" w:cs="Open Sans"/>
          <w:color w:val="333333"/>
          <w:sz w:val="24"/>
          <w:szCs w:val="24"/>
          <w:shd w:val="clear" w:color="auto" w:fill="FFFFFF"/>
        </w:rPr>
        <w:t xml:space="preserve">Wright, A. F., &amp; Bailey, J. S. (2001). Organic carbon, total carbon, and total nitrogen determinations in soils of variable calcium carbonate contents using a Leco CN-2000 dry combustion </w:t>
      </w:r>
      <w:r w:rsidR="002C7D00" w:rsidRPr="00755D67">
        <w:rPr>
          <w:rFonts w:ascii="Aptos" w:hAnsi="Aptos" w:cs="Open Sans"/>
          <w:color w:val="333333"/>
          <w:sz w:val="24"/>
          <w:szCs w:val="24"/>
          <w:shd w:val="clear" w:color="auto" w:fill="FFFFFF"/>
        </w:rPr>
        <w:t>analyser</w:t>
      </w:r>
      <w:r w:rsidRPr="00755D67">
        <w:rPr>
          <w:rFonts w:ascii="Aptos" w:hAnsi="Aptos" w:cs="Open Sans"/>
          <w:color w:val="333333"/>
          <w:sz w:val="24"/>
          <w:szCs w:val="24"/>
          <w:shd w:val="clear" w:color="auto" w:fill="FFFFFF"/>
        </w:rPr>
        <w:t>. </w:t>
      </w:r>
      <w:r w:rsidRPr="00755D67">
        <w:rPr>
          <w:rFonts w:ascii="Aptos" w:hAnsi="Aptos" w:cs="Open Sans"/>
          <w:i/>
          <w:iCs/>
          <w:color w:val="333333"/>
          <w:sz w:val="24"/>
          <w:szCs w:val="24"/>
          <w:shd w:val="clear" w:color="auto" w:fill="FFFFFF"/>
        </w:rPr>
        <w:t>Communications in Soil Science and Plant Analysis</w:t>
      </w:r>
      <w:r w:rsidRPr="00755D67">
        <w:rPr>
          <w:rFonts w:ascii="Aptos" w:hAnsi="Aptos" w:cs="Open Sans"/>
          <w:color w:val="333333"/>
          <w:sz w:val="24"/>
          <w:szCs w:val="24"/>
          <w:shd w:val="clear" w:color="auto" w:fill="FFFFFF"/>
        </w:rPr>
        <w:t>, </w:t>
      </w:r>
      <w:r w:rsidRPr="00755D67">
        <w:rPr>
          <w:rFonts w:ascii="Aptos" w:hAnsi="Aptos" w:cs="Open Sans"/>
          <w:i/>
          <w:iCs/>
          <w:color w:val="333333"/>
          <w:sz w:val="24"/>
          <w:szCs w:val="24"/>
          <w:shd w:val="clear" w:color="auto" w:fill="FFFFFF"/>
        </w:rPr>
        <w:t>32</w:t>
      </w:r>
      <w:r w:rsidRPr="00755D67">
        <w:rPr>
          <w:rFonts w:ascii="Aptos" w:hAnsi="Aptos" w:cs="Open Sans"/>
          <w:color w:val="333333"/>
          <w:sz w:val="24"/>
          <w:szCs w:val="24"/>
          <w:shd w:val="clear" w:color="auto" w:fill="FFFFFF"/>
        </w:rPr>
        <w:t>(19–20), 3243</w:t>
      </w:r>
      <w:r w:rsidR="002C7D00">
        <w:rPr>
          <w:rFonts w:ascii="Aptos" w:hAnsi="Aptos" w:cs="Open Sans"/>
          <w:color w:val="333333"/>
          <w:sz w:val="24"/>
          <w:szCs w:val="24"/>
          <w:shd w:val="clear" w:color="auto" w:fill="FFFFFF"/>
        </w:rPr>
        <w:t xml:space="preserve"> – 3258.</w:t>
      </w:r>
      <w:r w:rsidRPr="00755D67">
        <w:rPr>
          <w:rFonts w:ascii="Aptos" w:hAnsi="Aptos" w:cs="Open Sans"/>
          <w:color w:val="333333"/>
          <w:sz w:val="24"/>
          <w:szCs w:val="24"/>
          <w:shd w:val="clear" w:color="auto" w:fill="FFFFFF"/>
        </w:rPr>
        <w:t xml:space="preserve"> </w:t>
      </w:r>
      <w:hyperlink r:id="rId51" w:history="1">
        <w:r w:rsidRPr="00755D67">
          <w:rPr>
            <w:rStyle w:val="Hyperlink"/>
            <w:rFonts w:ascii="Aptos" w:hAnsi="Aptos" w:cs="Open Sans"/>
            <w:sz w:val="24"/>
            <w:szCs w:val="24"/>
            <w:shd w:val="clear" w:color="auto" w:fill="FFFFFF"/>
          </w:rPr>
          <w:t>https://doi.org/10.1081/CSS-120001118</w:t>
        </w:r>
      </w:hyperlink>
    </w:p>
    <w:p w14:paraId="4FCDAA2C" w14:textId="1F9B25BA" w:rsidR="0049452A" w:rsidRPr="00DD379B" w:rsidRDefault="009A3B2F" w:rsidP="008B224F">
      <w:pPr>
        <w:pStyle w:val="Heading1"/>
        <w:shd w:val="clear" w:color="auto" w:fill="FFFFFF"/>
        <w:spacing w:before="0" w:after="120" w:line="360" w:lineRule="auto"/>
        <w:ind w:left="284" w:hanging="284"/>
        <w:rPr>
          <w:rFonts w:ascii="Aptos" w:hAnsi="Aptos"/>
          <w:b/>
          <w:bCs/>
          <w:color w:val="000000" w:themeColor="text1"/>
          <w:sz w:val="24"/>
          <w:szCs w:val="24"/>
        </w:rPr>
      </w:pPr>
      <w:r w:rsidRPr="00755D67">
        <w:rPr>
          <w:rFonts w:ascii="Aptos" w:hAnsi="Aptos"/>
          <w:color w:val="000000" w:themeColor="text1"/>
          <w:sz w:val="24"/>
          <w:szCs w:val="24"/>
        </w:rPr>
        <w:t>Xiaozhu, Y., Zhuang, L.</w:t>
      </w:r>
      <w:r w:rsidR="002C7D00">
        <w:rPr>
          <w:rFonts w:ascii="Aptos" w:hAnsi="Aptos"/>
          <w:color w:val="000000" w:themeColor="text1"/>
          <w:sz w:val="24"/>
          <w:szCs w:val="24"/>
        </w:rPr>
        <w:t>,</w:t>
      </w:r>
      <w:r w:rsidRPr="00755D67">
        <w:rPr>
          <w:rFonts w:ascii="Aptos" w:hAnsi="Aptos"/>
          <w:color w:val="000000" w:themeColor="text1"/>
          <w:sz w:val="24"/>
          <w:szCs w:val="24"/>
        </w:rPr>
        <w:t xml:space="preserve"> &amp; Cheng, C. (2016). Effect of conservation tillage practices on soil phosphorus nutrition in an apple orchard. </w:t>
      </w:r>
      <w:r w:rsidRPr="00755D67">
        <w:rPr>
          <w:rFonts w:ascii="Aptos" w:hAnsi="Aptos"/>
          <w:i/>
          <w:iCs/>
          <w:color w:val="000000" w:themeColor="text1"/>
          <w:sz w:val="24"/>
          <w:szCs w:val="24"/>
        </w:rPr>
        <w:t>Horticultural Plant Journal, 2,</w:t>
      </w:r>
      <w:r w:rsidRPr="00755D67">
        <w:rPr>
          <w:rFonts w:ascii="Aptos" w:hAnsi="Aptos"/>
          <w:color w:val="000000" w:themeColor="text1"/>
          <w:sz w:val="24"/>
          <w:szCs w:val="24"/>
        </w:rPr>
        <w:t xml:space="preserve"> 331</w:t>
      </w:r>
      <w:r w:rsidR="002C7D00">
        <w:rPr>
          <w:rFonts w:ascii="Aptos" w:hAnsi="Aptos"/>
          <w:color w:val="000000" w:themeColor="text1"/>
          <w:sz w:val="24"/>
          <w:szCs w:val="24"/>
        </w:rPr>
        <w:t xml:space="preserve"> – 337.</w:t>
      </w:r>
      <w:r w:rsidRPr="00755D67">
        <w:rPr>
          <w:rFonts w:ascii="Aptos" w:hAnsi="Aptos"/>
          <w:color w:val="000000" w:themeColor="text1"/>
          <w:sz w:val="24"/>
          <w:szCs w:val="24"/>
        </w:rPr>
        <w:t xml:space="preserve"> </w:t>
      </w:r>
      <w:hyperlink r:id="rId52" w:history="1">
        <w:r w:rsidRPr="00755D67">
          <w:rPr>
            <w:rStyle w:val="Hyperlink"/>
            <w:rFonts w:ascii="Aptos" w:hAnsi="Aptos"/>
            <w:color w:val="000000" w:themeColor="text1"/>
            <w:sz w:val="24"/>
            <w:szCs w:val="24"/>
          </w:rPr>
          <w:t>https://doi.org/10.1016/j.hpj.2016.11.005</w:t>
        </w:r>
      </w:hyperlink>
    </w:p>
    <w:p w14:paraId="796CCB15" w14:textId="77777777" w:rsidR="00502761" w:rsidRDefault="00502761"/>
    <w:sectPr w:rsidR="00502761" w:rsidSect="0049452A">
      <w:pgSz w:w="11906" w:h="16838"/>
      <w:pgMar w:top="1440" w:right="1558"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EBD71" w14:textId="77777777" w:rsidR="009937D2" w:rsidRDefault="009937D2" w:rsidP="00111920">
      <w:pPr>
        <w:spacing w:after="0" w:line="240" w:lineRule="auto"/>
      </w:pPr>
      <w:r>
        <w:separator/>
      </w:r>
    </w:p>
  </w:endnote>
  <w:endnote w:type="continuationSeparator" w:id="0">
    <w:p w14:paraId="6ECF65BF" w14:textId="77777777" w:rsidR="009937D2" w:rsidRDefault="009937D2" w:rsidP="00111920">
      <w:pPr>
        <w:spacing w:after="0" w:line="240" w:lineRule="auto"/>
      </w:pPr>
      <w:r>
        <w:continuationSeparator/>
      </w:r>
    </w:p>
  </w:endnote>
  <w:endnote w:type="continuationNotice" w:id="1">
    <w:p w14:paraId="1F88AB16" w14:textId="77777777" w:rsidR="009937D2" w:rsidRDefault="009937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dvOT569473da">
    <w:altName w:val="Cambria"/>
    <w:panose1 w:val="00000000000000000000"/>
    <w:charset w:val="00"/>
    <w:family w:val="roman"/>
    <w:notTrueType/>
    <w:pitch w:val="default"/>
    <w:sig w:usb0="00000003" w:usb1="00000000" w:usb2="00000000" w:usb3="00000000" w:csb0="00000001" w:csb1="00000000"/>
  </w:font>
  <w:font w:name="AdvOT8608a8d1">
    <w:altName w:val="Cambria"/>
    <w:panose1 w:val="00000000000000000000"/>
    <w:charset w:val="00"/>
    <w:family w:val="roman"/>
    <w:notTrueType/>
    <w:pitch w:val="default"/>
    <w:sig w:usb0="00000003" w:usb1="00000000" w:usb2="00000000" w:usb3="00000000" w:csb0="00000001" w:csb1="00000000"/>
  </w:font>
  <w:font w:name="AdvOTc022ae45.B">
    <w:altName w:val="Cambria"/>
    <w:panose1 w:val="00000000000000000000"/>
    <w:charset w:val="00"/>
    <w:family w:val="roman"/>
    <w:notTrueType/>
    <w:pitch w:val="default"/>
    <w:sig w:usb0="00000003" w:usb1="00000000" w:usb2="00000000" w:usb3="00000000" w:csb0="00000001" w:csb1="00000000"/>
  </w:font>
  <w:font w:name="AdvOT569473da+20">
    <w:altName w:val="Calibri"/>
    <w:panose1 w:val="00000000000000000000"/>
    <w:charset w:val="00"/>
    <w:family w:val="swiss"/>
    <w:notTrueType/>
    <w:pitch w:val="default"/>
    <w:sig w:usb0="00000003" w:usb1="00000000" w:usb2="00000000" w:usb3="00000000" w:csb0="00000001" w:csb1="00000000"/>
  </w:font>
  <w:font w:name="AdvOTf2679e53.I">
    <w:altName w:val="Cambria"/>
    <w:panose1 w:val="00000000000000000000"/>
    <w:charset w:val="00"/>
    <w:family w:val="roman"/>
    <w:notTrueType/>
    <w:pitch w:val="default"/>
    <w:sig w:usb0="00000003" w:usb1="00000000" w:usb2="00000000" w:usb3="00000000" w:csb0="00000001" w:csb1="00000000"/>
  </w:font>
  <w:font w:name="Merriweather Sans">
    <w:charset w:val="00"/>
    <w:family w:val="auto"/>
    <w:pitch w:val="variable"/>
    <w:sig w:usb0="A00004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F5209" w14:textId="77777777" w:rsidR="009937D2" w:rsidRDefault="009937D2" w:rsidP="00111920">
      <w:pPr>
        <w:spacing w:after="0" w:line="240" w:lineRule="auto"/>
      </w:pPr>
      <w:r>
        <w:separator/>
      </w:r>
    </w:p>
  </w:footnote>
  <w:footnote w:type="continuationSeparator" w:id="0">
    <w:p w14:paraId="6B65C25E" w14:textId="77777777" w:rsidR="009937D2" w:rsidRDefault="009937D2" w:rsidP="00111920">
      <w:pPr>
        <w:spacing w:after="0" w:line="240" w:lineRule="auto"/>
      </w:pPr>
      <w:r>
        <w:continuationSeparator/>
      </w:r>
    </w:p>
  </w:footnote>
  <w:footnote w:type="continuationNotice" w:id="1">
    <w:p w14:paraId="263E4D85" w14:textId="77777777" w:rsidR="009937D2" w:rsidRDefault="009937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2A"/>
    <w:rsid w:val="000155E2"/>
    <w:rsid w:val="00017FD9"/>
    <w:rsid w:val="00020367"/>
    <w:rsid w:val="00024A3E"/>
    <w:rsid w:val="00026AD6"/>
    <w:rsid w:val="00027415"/>
    <w:rsid w:val="00036DA5"/>
    <w:rsid w:val="00044956"/>
    <w:rsid w:val="00063F85"/>
    <w:rsid w:val="00065747"/>
    <w:rsid w:val="00083300"/>
    <w:rsid w:val="00090B60"/>
    <w:rsid w:val="00090B98"/>
    <w:rsid w:val="000A2173"/>
    <w:rsid w:val="000A2ACF"/>
    <w:rsid w:val="000B4D59"/>
    <w:rsid w:val="000B5B37"/>
    <w:rsid w:val="000C63AA"/>
    <w:rsid w:val="000D0940"/>
    <w:rsid w:val="000D3279"/>
    <w:rsid w:val="000D59EA"/>
    <w:rsid w:val="000D76E3"/>
    <w:rsid w:val="000E6F34"/>
    <w:rsid w:val="000E7562"/>
    <w:rsid w:val="000F1B75"/>
    <w:rsid w:val="00102416"/>
    <w:rsid w:val="0011094E"/>
    <w:rsid w:val="00111920"/>
    <w:rsid w:val="00120A57"/>
    <w:rsid w:val="001226ED"/>
    <w:rsid w:val="0012627F"/>
    <w:rsid w:val="00126AEE"/>
    <w:rsid w:val="00134697"/>
    <w:rsid w:val="00143E1A"/>
    <w:rsid w:val="00166F3D"/>
    <w:rsid w:val="001848EA"/>
    <w:rsid w:val="0018514F"/>
    <w:rsid w:val="00185A39"/>
    <w:rsid w:val="00187A6D"/>
    <w:rsid w:val="00190523"/>
    <w:rsid w:val="001A6A49"/>
    <w:rsid w:val="001B6B6C"/>
    <w:rsid w:val="001C46DF"/>
    <w:rsid w:val="001D0B5A"/>
    <w:rsid w:val="001D3032"/>
    <w:rsid w:val="001D666C"/>
    <w:rsid w:val="001E6A44"/>
    <w:rsid w:val="002007BC"/>
    <w:rsid w:val="00204707"/>
    <w:rsid w:val="00213574"/>
    <w:rsid w:val="00225BDA"/>
    <w:rsid w:val="00227645"/>
    <w:rsid w:val="002412EB"/>
    <w:rsid w:val="00245383"/>
    <w:rsid w:val="00254945"/>
    <w:rsid w:val="0028059A"/>
    <w:rsid w:val="002955EA"/>
    <w:rsid w:val="00296DD0"/>
    <w:rsid w:val="002B13AC"/>
    <w:rsid w:val="002B63A9"/>
    <w:rsid w:val="002C0213"/>
    <w:rsid w:val="002C4BC7"/>
    <w:rsid w:val="002C7D00"/>
    <w:rsid w:val="002D1220"/>
    <w:rsid w:val="002D25D9"/>
    <w:rsid w:val="002D313F"/>
    <w:rsid w:val="002D6C1A"/>
    <w:rsid w:val="002D7220"/>
    <w:rsid w:val="002E049D"/>
    <w:rsid w:val="002F7346"/>
    <w:rsid w:val="00302FBD"/>
    <w:rsid w:val="003122BD"/>
    <w:rsid w:val="00312323"/>
    <w:rsid w:val="00347EEF"/>
    <w:rsid w:val="00353EC7"/>
    <w:rsid w:val="0036075E"/>
    <w:rsid w:val="00377743"/>
    <w:rsid w:val="00395F50"/>
    <w:rsid w:val="00395FDB"/>
    <w:rsid w:val="003A2284"/>
    <w:rsid w:val="003A4059"/>
    <w:rsid w:val="003B14FB"/>
    <w:rsid w:val="003B28CB"/>
    <w:rsid w:val="003C0AD9"/>
    <w:rsid w:val="003C578B"/>
    <w:rsid w:val="003D385D"/>
    <w:rsid w:val="003F7345"/>
    <w:rsid w:val="00414F2D"/>
    <w:rsid w:val="004160CD"/>
    <w:rsid w:val="00416F68"/>
    <w:rsid w:val="00424947"/>
    <w:rsid w:val="00437EFE"/>
    <w:rsid w:val="00442AE6"/>
    <w:rsid w:val="004433C1"/>
    <w:rsid w:val="0044540D"/>
    <w:rsid w:val="00447AFD"/>
    <w:rsid w:val="00447D95"/>
    <w:rsid w:val="00463C42"/>
    <w:rsid w:val="00464B0D"/>
    <w:rsid w:val="00484828"/>
    <w:rsid w:val="00492B2B"/>
    <w:rsid w:val="0049452A"/>
    <w:rsid w:val="004955F7"/>
    <w:rsid w:val="00497220"/>
    <w:rsid w:val="004A6631"/>
    <w:rsid w:val="004B01AC"/>
    <w:rsid w:val="004B25F4"/>
    <w:rsid w:val="004C3F9A"/>
    <w:rsid w:val="004C4829"/>
    <w:rsid w:val="00500126"/>
    <w:rsid w:val="00502761"/>
    <w:rsid w:val="0051659D"/>
    <w:rsid w:val="00575A00"/>
    <w:rsid w:val="00580C11"/>
    <w:rsid w:val="00586F33"/>
    <w:rsid w:val="005903E5"/>
    <w:rsid w:val="005971D8"/>
    <w:rsid w:val="00597729"/>
    <w:rsid w:val="005A115F"/>
    <w:rsid w:val="005A56B5"/>
    <w:rsid w:val="005A778F"/>
    <w:rsid w:val="005B0430"/>
    <w:rsid w:val="005B7FA1"/>
    <w:rsid w:val="005C17AB"/>
    <w:rsid w:val="005C2145"/>
    <w:rsid w:val="005E44CD"/>
    <w:rsid w:val="005F6CA8"/>
    <w:rsid w:val="005F7BE7"/>
    <w:rsid w:val="00640EE1"/>
    <w:rsid w:val="00643FA9"/>
    <w:rsid w:val="00644210"/>
    <w:rsid w:val="006473AD"/>
    <w:rsid w:val="00660455"/>
    <w:rsid w:val="0066100C"/>
    <w:rsid w:val="00663742"/>
    <w:rsid w:val="0066418C"/>
    <w:rsid w:val="006719C2"/>
    <w:rsid w:val="00691F4E"/>
    <w:rsid w:val="006A2527"/>
    <w:rsid w:val="006A3A2B"/>
    <w:rsid w:val="006A6DAC"/>
    <w:rsid w:val="006B54C4"/>
    <w:rsid w:val="006C2455"/>
    <w:rsid w:val="006C4089"/>
    <w:rsid w:val="006C5022"/>
    <w:rsid w:val="006D6237"/>
    <w:rsid w:val="006F0C3F"/>
    <w:rsid w:val="00707935"/>
    <w:rsid w:val="007109A5"/>
    <w:rsid w:val="0071479E"/>
    <w:rsid w:val="00721BE1"/>
    <w:rsid w:val="007224E5"/>
    <w:rsid w:val="00722834"/>
    <w:rsid w:val="0072381E"/>
    <w:rsid w:val="00736C90"/>
    <w:rsid w:val="007410A4"/>
    <w:rsid w:val="00755D67"/>
    <w:rsid w:val="00756822"/>
    <w:rsid w:val="00761E1C"/>
    <w:rsid w:val="007639AA"/>
    <w:rsid w:val="0077720A"/>
    <w:rsid w:val="00797A30"/>
    <w:rsid w:val="007A2272"/>
    <w:rsid w:val="007A4696"/>
    <w:rsid w:val="007A47A5"/>
    <w:rsid w:val="007B110E"/>
    <w:rsid w:val="007B4EBD"/>
    <w:rsid w:val="007F2760"/>
    <w:rsid w:val="007F37F0"/>
    <w:rsid w:val="00810BFF"/>
    <w:rsid w:val="0081421C"/>
    <w:rsid w:val="00814BF0"/>
    <w:rsid w:val="00823E92"/>
    <w:rsid w:val="00827D10"/>
    <w:rsid w:val="00832A8B"/>
    <w:rsid w:val="00843EB3"/>
    <w:rsid w:val="0084453E"/>
    <w:rsid w:val="008544D3"/>
    <w:rsid w:val="00855571"/>
    <w:rsid w:val="00856C32"/>
    <w:rsid w:val="008620EC"/>
    <w:rsid w:val="00871270"/>
    <w:rsid w:val="008A5683"/>
    <w:rsid w:val="008A6B61"/>
    <w:rsid w:val="008A6DE4"/>
    <w:rsid w:val="008A7FE7"/>
    <w:rsid w:val="008B224F"/>
    <w:rsid w:val="008B2969"/>
    <w:rsid w:val="008B3487"/>
    <w:rsid w:val="008B4812"/>
    <w:rsid w:val="008C188F"/>
    <w:rsid w:val="008D4DB0"/>
    <w:rsid w:val="008E6E27"/>
    <w:rsid w:val="008F0C49"/>
    <w:rsid w:val="009158BF"/>
    <w:rsid w:val="00944FED"/>
    <w:rsid w:val="00952D9E"/>
    <w:rsid w:val="009544B0"/>
    <w:rsid w:val="009850A2"/>
    <w:rsid w:val="009937D2"/>
    <w:rsid w:val="00993E99"/>
    <w:rsid w:val="009964F2"/>
    <w:rsid w:val="0099748B"/>
    <w:rsid w:val="009A3B2F"/>
    <w:rsid w:val="009A6F98"/>
    <w:rsid w:val="009C458F"/>
    <w:rsid w:val="009C5B2C"/>
    <w:rsid w:val="009F5958"/>
    <w:rsid w:val="00A02701"/>
    <w:rsid w:val="00A02865"/>
    <w:rsid w:val="00A14A2D"/>
    <w:rsid w:val="00A157A5"/>
    <w:rsid w:val="00A26A63"/>
    <w:rsid w:val="00A302BA"/>
    <w:rsid w:val="00A3312D"/>
    <w:rsid w:val="00A33E30"/>
    <w:rsid w:val="00A46F13"/>
    <w:rsid w:val="00A5351A"/>
    <w:rsid w:val="00A538C0"/>
    <w:rsid w:val="00A639A8"/>
    <w:rsid w:val="00A726F8"/>
    <w:rsid w:val="00A82F50"/>
    <w:rsid w:val="00A9157B"/>
    <w:rsid w:val="00AC0BF3"/>
    <w:rsid w:val="00AC0F18"/>
    <w:rsid w:val="00AC4288"/>
    <w:rsid w:val="00AD0F76"/>
    <w:rsid w:val="00AD2793"/>
    <w:rsid w:val="00AD75A9"/>
    <w:rsid w:val="00AE293A"/>
    <w:rsid w:val="00AE32B2"/>
    <w:rsid w:val="00AE43F9"/>
    <w:rsid w:val="00AE7E23"/>
    <w:rsid w:val="00AF3B87"/>
    <w:rsid w:val="00AF7D6C"/>
    <w:rsid w:val="00B14157"/>
    <w:rsid w:val="00B14675"/>
    <w:rsid w:val="00B14CAF"/>
    <w:rsid w:val="00B17C47"/>
    <w:rsid w:val="00B30771"/>
    <w:rsid w:val="00B33729"/>
    <w:rsid w:val="00B366A8"/>
    <w:rsid w:val="00B51C3D"/>
    <w:rsid w:val="00B5350E"/>
    <w:rsid w:val="00B577A2"/>
    <w:rsid w:val="00B57B0D"/>
    <w:rsid w:val="00B6062D"/>
    <w:rsid w:val="00B70A32"/>
    <w:rsid w:val="00B70BE9"/>
    <w:rsid w:val="00B80168"/>
    <w:rsid w:val="00B8051B"/>
    <w:rsid w:val="00B809BC"/>
    <w:rsid w:val="00B87128"/>
    <w:rsid w:val="00B90D1B"/>
    <w:rsid w:val="00B949E5"/>
    <w:rsid w:val="00BB021D"/>
    <w:rsid w:val="00BB4BF8"/>
    <w:rsid w:val="00BC04A9"/>
    <w:rsid w:val="00BC05EA"/>
    <w:rsid w:val="00BC3FCE"/>
    <w:rsid w:val="00BC5EE6"/>
    <w:rsid w:val="00BD3B1E"/>
    <w:rsid w:val="00BD460A"/>
    <w:rsid w:val="00BD5C0F"/>
    <w:rsid w:val="00BE1FFA"/>
    <w:rsid w:val="00C2481D"/>
    <w:rsid w:val="00C2607B"/>
    <w:rsid w:val="00C37D95"/>
    <w:rsid w:val="00C40B92"/>
    <w:rsid w:val="00C42E61"/>
    <w:rsid w:val="00C505FF"/>
    <w:rsid w:val="00C51DA9"/>
    <w:rsid w:val="00C56A01"/>
    <w:rsid w:val="00C8400B"/>
    <w:rsid w:val="00C91226"/>
    <w:rsid w:val="00C91619"/>
    <w:rsid w:val="00C92C72"/>
    <w:rsid w:val="00CA5091"/>
    <w:rsid w:val="00CB60FC"/>
    <w:rsid w:val="00CD0221"/>
    <w:rsid w:val="00CE0819"/>
    <w:rsid w:val="00CE4134"/>
    <w:rsid w:val="00CF485D"/>
    <w:rsid w:val="00CF6692"/>
    <w:rsid w:val="00D141FA"/>
    <w:rsid w:val="00D17A50"/>
    <w:rsid w:val="00D213E7"/>
    <w:rsid w:val="00D36C91"/>
    <w:rsid w:val="00D54D98"/>
    <w:rsid w:val="00D54F8D"/>
    <w:rsid w:val="00D56D73"/>
    <w:rsid w:val="00D63001"/>
    <w:rsid w:val="00D63961"/>
    <w:rsid w:val="00D659A4"/>
    <w:rsid w:val="00DA0DB3"/>
    <w:rsid w:val="00DD31BB"/>
    <w:rsid w:val="00DD334D"/>
    <w:rsid w:val="00DD379B"/>
    <w:rsid w:val="00DE4BE5"/>
    <w:rsid w:val="00DF6C86"/>
    <w:rsid w:val="00DF7A60"/>
    <w:rsid w:val="00DF7EF7"/>
    <w:rsid w:val="00E00E9D"/>
    <w:rsid w:val="00E06847"/>
    <w:rsid w:val="00E116B9"/>
    <w:rsid w:val="00E15A05"/>
    <w:rsid w:val="00E16BD5"/>
    <w:rsid w:val="00E2784C"/>
    <w:rsid w:val="00E31C8B"/>
    <w:rsid w:val="00E41F6D"/>
    <w:rsid w:val="00E4678D"/>
    <w:rsid w:val="00E57D5A"/>
    <w:rsid w:val="00E879FD"/>
    <w:rsid w:val="00E96582"/>
    <w:rsid w:val="00EA3D1E"/>
    <w:rsid w:val="00EB4DC1"/>
    <w:rsid w:val="00ED2283"/>
    <w:rsid w:val="00ED79D8"/>
    <w:rsid w:val="00EE066E"/>
    <w:rsid w:val="00EE210B"/>
    <w:rsid w:val="00EE23C3"/>
    <w:rsid w:val="00EE6B08"/>
    <w:rsid w:val="00F049FF"/>
    <w:rsid w:val="00F0656F"/>
    <w:rsid w:val="00F07477"/>
    <w:rsid w:val="00F33852"/>
    <w:rsid w:val="00F72486"/>
    <w:rsid w:val="00F81A69"/>
    <w:rsid w:val="00F82A0E"/>
    <w:rsid w:val="00F85F4A"/>
    <w:rsid w:val="00F94BD1"/>
    <w:rsid w:val="00FA1836"/>
    <w:rsid w:val="00FA3FF5"/>
    <w:rsid w:val="00FB2FA6"/>
    <w:rsid w:val="00FC6283"/>
    <w:rsid w:val="00FE7E29"/>
    <w:rsid w:val="00FF4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09E9"/>
  <w15:chartTrackingRefBased/>
  <w15:docId w15:val="{E42C8CD2-AD54-4F7F-B54B-F69DBD0F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52A"/>
    <w:pPr>
      <w:spacing w:line="259" w:lineRule="auto"/>
    </w:pPr>
    <w:rPr>
      <w:sz w:val="22"/>
      <w:szCs w:val="22"/>
    </w:rPr>
  </w:style>
  <w:style w:type="paragraph" w:styleId="Heading1">
    <w:name w:val="heading 1"/>
    <w:basedOn w:val="Normal"/>
    <w:next w:val="Normal"/>
    <w:link w:val="Heading1Char"/>
    <w:uiPriority w:val="9"/>
    <w:qFormat/>
    <w:rsid w:val="004945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5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5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5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5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5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5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5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5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5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5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5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5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5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5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5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5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52A"/>
    <w:rPr>
      <w:rFonts w:eastAsiaTheme="majorEastAsia" w:cstheme="majorBidi"/>
      <w:color w:val="272727" w:themeColor="text1" w:themeTint="D8"/>
    </w:rPr>
  </w:style>
  <w:style w:type="paragraph" w:styleId="Title">
    <w:name w:val="Title"/>
    <w:basedOn w:val="Normal"/>
    <w:next w:val="Normal"/>
    <w:link w:val="TitleChar"/>
    <w:uiPriority w:val="10"/>
    <w:qFormat/>
    <w:rsid w:val="004945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5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5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5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52A"/>
    <w:pPr>
      <w:spacing w:before="160"/>
      <w:jc w:val="center"/>
    </w:pPr>
    <w:rPr>
      <w:i/>
      <w:iCs/>
      <w:color w:val="404040" w:themeColor="text1" w:themeTint="BF"/>
    </w:rPr>
  </w:style>
  <w:style w:type="character" w:customStyle="1" w:styleId="QuoteChar">
    <w:name w:val="Quote Char"/>
    <w:basedOn w:val="DefaultParagraphFont"/>
    <w:link w:val="Quote"/>
    <w:uiPriority w:val="29"/>
    <w:rsid w:val="0049452A"/>
    <w:rPr>
      <w:i/>
      <w:iCs/>
      <w:color w:val="404040" w:themeColor="text1" w:themeTint="BF"/>
    </w:rPr>
  </w:style>
  <w:style w:type="paragraph" w:styleId="ListParagraph">
    <w:name w:val="List Paragraph"/>
    <w:basedOn w:val="Normal"/>
    <w:uiPriority w:val="34"/>
    <w:qFormat/>
    <w:rsid w:val="0049452A"/>
    <w:pPr>
      <w:ind w:left="720"/>
      <w:contextualSpacing/>
    </w:pPr>
  </w:style>
  <w:style w:type="character" w:styleId="IntenseEmphasis">
    <w:name w:val="Intense Emphasis"/>
    <w:basedOn w:val="DefaultParagraphFont"/>
    <w:uiPriority w:val="21"/>
    <w:qFormat/>
    <w:rsid w:val="0049452A"/>
    <w:rPr>
      <w:i/>
      <w:iCs/>
      <w:color w:val="0F4761" w:themeColor="accent1" w:themeShade="BF"/>
    </w:rPr>
  </w:style>
  <w:style w:type="paragraph" w:styleId="IntenseQuote">
    <w:name w:val="Intense Quote"/>
    <w:basedOn w:val="Normal"/>
    <w:next w:val="Normal"/>
    <w:link w:val="IntenseQuoteChar"/>
    <w:uiPriority w:val="30"/>
    <w:qFormat/>
    <w:rsid w:val="004945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52A"/>
    <w:rPr>
      <w:i/>
      <w:iCs/>
      <w:color w:val="0F4761" w:themeColor="accent1" w:themeShade="BF"/>
    </w:rPr>
  </w:style>
  <w:style w:type="character" w:styleId="IntenseReference">
    <w:name w:val="Intense Reference"/>
    <w:basedOn w:val="DefaultParagraphFont"/>
    <w:uiPriority w:val="32"/>
    <w:qFormat/>
    <w:rsid w:val="0049452A"/>
    <w:rPr>
      <w:b/>
      <w:bCs/>
      <w:smallCaps/>
      <w:color w:val="0F4761" w:themeColor="accent1" w:themeShade="BF"/>
      <w:spacing w:val="5"/>
    </w:rPr>
  </w:style>
  <w:style w:type="character" w:styleId="Hyperlink">
    <w:name w:val="Hyperlink"/>
    <w:basedOn w:val="DefaultParagraphFont"/>
    <w:uiPriority w:val="99"/>
    <w:unhideWhenUsed/>
    <w:rsid w:val="0049452A"/>
    <w:rPr>
      <w:color w:val="467886" w:themeColor="hyperlink"/>
      <w:u w:val="single"/>
    </w:rPr>
  </w:style>
  <w:style w:type="table" w:styleId="TableGrid">
    <w:name w:val="Table Grid"/>
    <w:basedOn w:val="TableNormal"/>
    <w:uiPriority w:val="59"/>
    <w:rsid w:val="0049452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452A"/>
    <w:rPr>
      <w:i/>
      <w:iCs/>
    </w:rPr>
  </w:style>
  <w:style w:type="character" w:customStyle="1" w:styleId="anchor-text">
    <w:name w:val="anchor-text"/>
    <w:basedOn w:val="DefaultParagraphFont"/>
    <w:rsid w:val="0049452A"/>
  </w:style>
  <w:style w:type="paragraph" w:customStyle="1" w:styleId="Default">
    <w:name w:val="Default"/>
    <w:rsid w:val="0049452A"/>
    <w:pPr>
      <w:autoSpaceDE w:val="0"/>
      <w:autoSpaceDN w:val="0"/>
      <w:adjustRightInd w:val="0"/>
      <w:spacing w:after="0" w:line="240" w:lineRule="auto"/>
    </w:pPr>
    <w:rPr>
      <w:rFonts w:ascii="Charis SIL" w:hAnsi="Charis SIL" w:cs="Charis SIL"/>
      <w:color w:val="000000"/>
      <w:kern w:val="0"/>
    </w:rPr>
  </w:style>
  <w:style w:type="character" w:customStyle="1" w:styleId="truncate">
    <w:name w:val="truncate"/>
    <w:basedOn w:val="DefaultParagraphFont"/>
    <w:rsid w:val="0049452A"/>
  </w:style>
  <w:style w:type="character" w:customStyle="1" w:styleId="cf01">
    <w:name w:val="cf01"/>
    <w:basedOn w:val="DefaultParagraphFont"/>
    <w:rsid w:val="0049452A"/>
    <w:rPr>
      <w:rFonts w:ascii="Segoe UI" w:hAnsi="Segoe UI" w:cs="Segoe UI" w:hint="default"/>
      <w:sz w:val="18"/>
      <w:szCs w:val="18"/>
    </w:rPr>
  </w:style>
  <w:style w:type="character" w:customStyle="1" w:styleId="accordion-tabbedtab-mobile">
    <w:name w:val="accordion-tabbed__tab-mobile"/>
    <w:basedOn w:val="DefaultParagraphFont"/>
    <w:rsid w:val="0049452A"/>
  </w:style>
  <w:style w:type="paragraph" w:styleId="NormalWeb">
    <w:name w:val="Normal (Web)"/>
    <w:basedOn w:val="Normal"/>
    <w:uiPriority w:val="99"/>
    <w:semiHidden/>
    <w:unhideWhenUsed/>
    <w:rsid w:val="0049452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LineNumber">
    <w:name w:val="line number"/>
    <w:basedOn w:val="DefaultParagraphFont"/>
    <w:uiPriority w:val="99"/>
    <w:semiHidden/>
    <w:unhideWhenUsed/>
    <w:rsid w:val="0049452A"/>
  </w:style>
  <w:style w:type="paragraph" w:styleId="BodyText">
    <w:name w:val="Body Text"/>
    <w:basedOn w:val="Normal"/>
    <w:link w:val="BodyTextChar"/>
    <w:qFormat/>
    <w:rsid w:val="0049452A"/>
    <w:pPr>
      <w:spacing w:before="180" w:after="180" w:line="240" w:lineRule="auto"/>
    </w:pPr>
    <w:rPr>
      <w:kern w:val="0"/>
      <w:sz w:val="24"/>
      <w:szCs w:val="24"/>
      <w:lang w:val="en"/>
      <w14:ligatures w14:val="none"/>
    </w:rPr>
  </w:style>
  <w:style w:type="character" w:customStyle="1" w:styleId="BodyTextChar">
    <w:name w:val="Body Text Char"/>
    <w:basedOn w:val="DefaultParagraphFont"/>
    <w:link w:val="BodyText"/>
    <w:rsid w:val="0049452A"/>
    <w:rPr>
      <w:kern w:val="0"/>
      <w:lang w:val="en"/>
      <w14:ligatures w14:val="none"/>
    </w:rPr>
  </w:style>
  <w:style w:type="paragraph" w:customStyle="1" w:styleId="FirstParagraph">
    <w:name w:val="First Paragraph"/>
    <w:basedOn w:val="BodyText"/>
    <w:next w:val="BodyText"/>
    <w:qFormat/>
    <w:rsid w:val="0049452A"/>
  </w:style>
  <w:style w:type="character" w:styleId="UnresolvedMention">
    <w:name w:val="Unresolved Mention"/>
    <w:basedOn w:val="DefaultParagraphFont"/>
    <w:uiPriority w:val="99"/>
    <w:semiHidden/>
    <w:unhideWhenUsed/>
    <w:rsid w:val="00020367"/>
    <w:rPr>
      <w:color w:val="605E5C"/>
      <w:shd w:val="clear" w:color="auto" w:fill="E1DFDD"/>
    </w:rPr>
  </w:style>
  <w:style w:type="character" w:styleId="FollowedHyperlink">
    <w:name w:val="FollowedHyperlink"/>
    <w:basedOn w:val="DefaultParagraphFont"/>
    <w:uiPriority w:val="99"/>
    <w:semiHidden/>
    <w:unhideWhenUsed/>
    <w:rsid w:val="00497220"/>
    <w:rPr>
      <w:color w:val="96607D" w:themeColor="followedHyperlink"/>
      <w:u w:val="single"/>
    </w:rPr>
  </w:style>
  <w:style w:type="paragraph" w:styleId="Header">
    <w:name w:val="header"/>
    <w:basedOn w:val="Normal"/>
    <w:link w:val="HeaderChar"/>
    <w:uiPriority w:val="99"/>
    <w:unhideWhenUsed/>
    <w:rsid w:val="00111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1920"/>
    <w:rPr>
      <w:sz w:val="22"/>
      <w:szCs w:val="22"/>
    </w:rPr>
  </w:style>
  <w:style w:type="paragraph" w:styleId="Footer">
    <w:name w:val="footer"/>
    <w:basedOn w:val="Normal"/>
    <w:link w:val="FooterChar"/>
    <w:uiPriority w:val="99"/>
    <w:unhideWhenUsed/>
    <w:rsid w:val="00111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192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85805">
      <w:bodyDiv w:val="1"/>
      <w:marLeft w:val="0"/>
      <w:marRight w:val="0"/>
      <w:marTop w:val="0"/>
      <w:marBottom w:val="0"/>
      <w:divBdr>
        <w:top w:val="none" w:sz="0" w:space="0" w:color="auto"/>
        <w:left w:val="none" w:sz="0" w:space="0" w:color="auto"/>
        <w:bottom w:val="none" w:sz="0" w:space="0" w:color="auto"/>
        <w:right w:val="none" w:sz="0" w:space="0" w:color="auto"/>
      </w:divBdr>
      <w:divsChild>
        <w:div w:id="1312517331">
          <w:marLeft w:val="0"/>
          <w:marRight w:val="0"/>
          <w:marTop w:val="0"/>
          <w:marBottom w:val="120"/>
          <w:divBdr>
            <w:top w:val="none" w:sz="0" w:space="0" w:color="auto"/>
            <w:left w:val="none" w:sz="0" w:space="0" w:color="auto"/>
            <w:bottom w:val="none" w:sz="0" w:space="0" w:color="auto"/>
            <w:right w:val="none" w:sz="0" w:space="0" w:color="auto"/>
          </w:divBdr>
          <w:divsChild>
            <w:div w:id="25260365">
              <w:marLeft w:val="0"/>
              <w:marRight w:val="0"/>
              <w:marTop w:val="0"/>
              <w:marBottom w:val="0"/>
              <w:divBdr>
                <w:top w:val="none" w:sz="0" w:space="0" w:color="auto"/>
                <w:left w:val="none" w:sz="0" w:space="0" w:color="auto"/>
                <w:bottom w:val="none" w:sz="0" w:space="0" w:color="auto"/>
                <w:right w:val="none" w:sz="0" w:space="0" w:color="auto"/>
              </w:divBdr>
              <w:divsChild>
                <w:div w:id="616912191">
                  <w:marLeft w:val="0"/>
                  <w:marRight w:val="0"/>
                  <w:marTop w:val="0"/>
                  <w:marBottom w:val="0"/>
                  <w:divBdr>
                    <w:top w:val="none" w:sz="0" w:space="0" w:color="auto"/>
                    <w:left w:val="none" w:sz="0" w:space="0" w:color="auto"/>
                    <w:bottom w:val="none" w:sz="0" w:space="0" w:color="auto"/>
                    <w:right w:val="none" w:sz="0" w:space="0" w:color="auto"/>
                  </w:divBdr>
                  <w:divsChild>
                    <w:div w:id="1095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971113">
      <w:bodyDiv w:val="1"/>
      <w:marLeft w:val="0"/>
      <w:marRight w:val="0"/>
      <w:marTop w:val="0"/>
      <w:marBottom w:val="0"/>
      <w:divBdr>
        <w:top w:val="none" w:sz="0" w:space="0" w:color="auto"/>
        <w:left w:val="none" w:sz="0" w:space="0" w:color="auto"/>
        <w:bottom w:val="none" w:sz="0" w:space="0" w:color="auto"/>
        <w:right w:val="none" w:sz="0" w:space="0" w:color="auto"/>
      </w:divBdr>
      <w:divsChild>
        <w:div w:id="2068723451">
          <w:marLeft w:val="0"/>
          <w:marRight w:val="0"/>
          <w:marTop w:val="0"/>
          <w:marBottom w:val="120"/>
          <w:divBdr>
            <w:top w:val="none" w:sz="0" w:space="0" w:color="auto"/>
            <w:left w:val="none" w:sz="0" w:space="0" w:color="auto"/>
            <w:bottom w:val="none" w:sz="0" w:space="0" w:color="auto"/>
            <w:right w:val="none" w:sz="0" w:space="0" w:color="auto"/>
          </w:divBdr>
          <w:divsChild>
            <w:div w:id="1712073254">
              <w:marLeft w:val="0"/>
              <w:marRight w:val="0"/>
              <w:marTop w:val="0"/>
              <w:marBottom w:val="0"/>
              <w:divBdr>
                <w:top w:val="none" w:sz="0" w:space="0" w:color="auto"/>
                <w:left w:val="none" w:sz="0" w:space="0" w:color="auto"/>
                <w:bottom w:val="none" w:sz="0" w:space="0" w:color="auto"/>
                <w:right w:val="none" w:sz="0" w:space="0" w:color="auto"/>
              </w:divBdr>
              <w:divsChild>
                <w:div w:id="140315701">
                  <w:marLeft w:val="0"/>
                  <w:marRight w:val="0"/>
                  <w:marTop w:val="0"/>
                  <w:marBottom w:val="0"/>
                  <w:divBdr>
                    <w:top w:val="none" w:sz="0" w:space="0" w:color="auto"/>
                    <w:left w:val="none" w:sz="0" w:space="0" w:color="auto"/>
                    <w:bottom w:val="none" w:sz="0" w:space="0" w:color="auto"/>
                    <w:right w:val="none" w:sz="0" w:space="0" w:color="auto"/>
                  </w:divBdr>
                  <w:divsChild>
                    <w:div w:id="5939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898038">
      <w:bodyDiv w:val="1"/>
      <w:marLeft w:val="0"/>
      <w:marRight w:val="0"/>
      <w:marTop w:val="0"/>
      <w:marBottom w:val="0"/>
      <w:divBdr>
        <w:top w:val="none" w:sz="0" w:space="0" w:color="auto"/>
        <w:left w:val="none" w:sz="0" w:space="0" w:color="auto"/>
        <w:bottom w:val="none" w:sz="0" w:space="0" w:color="auto"/>
        <w:right w:val="none" w:sz="0" w:space="0" w:color="auto"/>
      </w:divBdr>
    </w:div>
    <w:div w:id="197409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agee.2013.02.003" TargetMode="External"/><Relationship Id="rId18" Type="http://schemas.openxmlformats.org/officeDocument/2006/relationships/hyperlink" Target="https://doi.org/10.1016/j.jhydrol.2014.12.035" TargetMode="External"/><Relationship Id="rId26" Type="http://schemas.openxmlformats.org/officeDocument/2006/relationships/hyperlink" Target="https://repository.rothamsted.ac.uk/item/96xqw/the-soilsof-north-wyke-and-rowden" TargetMode="External"/><Relationship Id="rId39" Type="http://schemas.openxmlformats.org/officeDocument/2006/relationships/hyperlink" Target="https://doi.org/10.1016/j.still.2019.104482" TargetMode="External"/><Relationship Id="rId3" Type="http://schemas.openxmlformats.org/officeDocument/2006/relationships/styles" Target="styles.xml"/><Relationship Id="rId21" Type="http://schemas.openxmlformats.org/officeDocument/2006/relationships/hyperlink" Target="https://openknowledge.fao.org/server/api/core/bitstreams/6ad6862a-eadc-437c-b359-ef14cb687222/content" TargetMode="External"/><Relationship Id="rId34" Type="http://schemas.openxmlformats.org/officeDocument/2006/relationships/hyperlink" Target="https://doi.org/10.1016/j.still.2022.105527" TargetMode="External"/><Relationship Id="rId42" Type="http://schemas.openxmlformats.org/officeDocument/2006/relationships/hyperlink" Target="https://doi.org/10.1079/9781845938093.0065" TargetMode="External"/><Relationship Id="rId47" Type="http://schemas.openxmlformats.org/officeDocument/2006/relationships/hyperlink" Target="https://doi.org/10.1023/B:FRES.0000045981.56547.db" TargetMode="External"/><Relationship Id="rId50" Type="http://schemas.openxmlformats.org/officeDocument/2006/relationships/hyperlink" Target="https://doi.org/0.1021/es00042a603" TargetMode="External"/><Relationship Id="rId7" Type="http://schemas.openxmlformats.org/officeDocument/2006/relationships/endnotes" Target="endnotes.xml"/><Relationship Id="rId12" Type="http://schemas.openxmlformats.org/officeDocument/2006/relationships/hyperlink" Target="https://doi.org/10.1016/j.still.2008.04.012" TargetMode="External"/><Relationship Id="rId17" Type="http://schemas.openxmlformats.org/officeDocument/2006/relationships/hyperlink" Target="https://doi.org/10.1111/ejss.13111" TargetMode="External"/><Relationship Id="rId25" Type="http://schemas.openxmlformats.org/officeDocument/2006/relationships/hyperlink" Target="https://doi.org/10.1111/ejss.12504" TargetMode="External"/><Relationship Id="rId33" Type="http://schemas.openxmlformats.org/officeDocument/2006/relationships/hyperlink" Target="https://doi.org/10.1111/ejss.12883" TargetMode="External"/><Relationship Id="rId38" Type="http://schemas.openxmlformats.org/officeDocument/2006/relationships/hyperlink" Target="https://doi.org/10.3390/soilsystems6020045" TargetMode="External"/><Relationship Id="rId46" Type="http://schemas.openxmlformats.org/officeDocument/2006/relationships/hyperlink" Target="https://doi.org/10.1016/j.geoderma.2020.114298" TargetMode="External"/><Relationship Id="rId2" Type="http://schemas.openxmlformats.org/officeDocument/2006/relationships/numbering" Target="numbering.xml"/><Relationship Id="rId16" Type="http://schemas.openxmlformats.org/officeDocument/2006/relationships/hyperlink" Target="https://doi.org/10.1016/j.geoderma.2024.116908" TargetMode="External"/><Relationship Id="rId20" Type="http://schemas.openxmlformats.org/officeDocument/2006/relationships/hyperlink" Target="https://doi.org/10.1016/j.jenvman.2023.117465" TargetMode="External"/><Relationship Id="rId29" Type="http://schemas.openxmlformats.org/officeDocument/2006/relationships/hyperlink" Target="https://doi.org/10.1016/j.still.2021.105310" TargetMode="External"/><Relationship Id="rId41" Type="http://schemas.openxmlformats.org/officeDocument/2006/relationships/hyperlink" Target="https://doi.org/10.1016/j.agee.2018.06.0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637/mx8uwhme" TargetMode="External"/><Relationship Id="rId24" Type="http://schemas.openxmlformats.org/officeDocument/2006/relationships/hyperlink" Target="https://doi.org/10.1016/j.iswcr.2022.01.005" TargetMode="External"/><Relationship Id="rId32" Type="http://schemas.openxmlformats.org/officeDocument/2006/relationships/hyperlink" Target="http://dx.doi.org/10.1016/j.still.2012.07.017" TargetMode="External"/><Relationship Id="rId37" Type="http://schemas.openxmlformats.org/officeDocument/2006/relationships/hyperlink" Target="http://dx.doi.org/10.1111/gfs.12080" TargetMode="External"/><Relationship Id="rId40" Type="http://schemas.openxmlformats.org/officeDocument/2006/relationships/hyperlink" Target="https://doi.org/10.1016/j.still.2020.104746" TargetMode="External"/><Relationship Id="rId45" Type="http://schemas.openxmlformats.org/officeDocument/2006/relationships/hyperlink" Target="http://dx.doi.org/10.1016/j.agee.2012.10.00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80/00288233.2013.781509" TargetMode="External"/><Relationship Id="rId23" Type="http://schemas.openxmlformats.org/officeDocument/2006/relationships/hyperlink" Target="https://doi.org/10.1111/sum.12270" TargetMode="External"/><Relationship Id="rId28" Type="http://schemas.openxmlformats.org/officeDocument/2006/relationships/hyperlink" Target="https://doi.org/10.3390/agriculture12111854" TargetMode="External"/><Relationship Id="rId36" Type="http://schemas.openxmlformats.org/officeDocument/2006/relationships/hyperlink" Target="https://doi.org/10.1016/bs.agron.2018.01.004" TargetMode="External"/><Relationship Id="rId49" Type="http://schemas.openxmlformats.org/officeDocument/2006/relationships/hyperlink" Target="https://vsni.co.uk/software/genstat" TargetMode="External"/><Relationship Id="rId10" Type="http://schemas.openxmlformats.org/officeDocument/2006/relationships/image" Target="media/image2.svg"/><Relationship Id="rId19" Type="http://schemas.openxmlformats.org/officeDocument/2006/relationships/hyperlink" Target="https://doi.org/10.1016/j.still.2013.08.015" TargetMode="External"/><Relationship Id="rId31" Type="http://schemas.openxmlformats.org/officeDocument/2006/relationships/hyperlink" Target="https://doi.org/10.1016/j.jenvman.2020.110773" TargetMode="External"/><Relationship Id="rId44" Type="http://schemas.openxmlformats.org/officeDocument/2006/relationships/hyperlink" Target="https://doi.org/10.3390/su13158177" TargetMode="External"/><Relationship Id="rId52" Type="http://schemas.openxmlformats.org/officeDocument/2006/relationships/hyperlink" Target="https://doi.org/10.1016/j.hpj.2016.11.0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136/sssaj1994.03615995005800030021x" TargetMode="External"/><Relationship Id="rId22" Type="http://schemas.openxmlformats.org/officeDocument/2006/relationships/hyperlink" Target="https://doi.org/10.1016/j.still.2024.106179" TargetMode="External"/><Relationship Id="rId27" Type="http://schemas.openxmlformats.org/officeDocument/2006/relationships/hyperlink" Target="https://doi.org/10.23637/rothamsted.98y67" TargetMode="External"/><Relationship Id="rId30" Type="http://schemas.openxmlformats.org/officeDocument/2006/relationships/hyperlink" Target="https://doi.org/10.1016/j.still.2022.105584" TargetMode="External"/><Relationship Id="rId35" Type="http://schemas.openxmlformats.org/officeDocument/2006/relationships/hyperlink" Target="https://doi.org/10.1016/j.agee.2022.108028" TargetMode="External"/><Relationship Id="rId43" Type="http://schemas.openxmlformats.org/officeDocument/2006/relationships/hyperlink" Target="https://doi.org/10.1016/j.envpol.2022.118817" TargetMode="External"/><Relationship Id="rId48" Type="http://schemas.openxmlformats.org/officeDocument/2006/relationships/hyperlink" Target="https://doi.org/10.3390/agronomy12102389" TargetMode="External"/><Relationship Id="rId8" Type="http://schemas.openxmlformats.org/officeDocument/2006/relationships/hyperlink" Target="mailto:theo.akpensuen@rothamsted.ac.uk" TargetMode="External"/><Relationship Id="rId51" Type="http://schemas.openxmlformats.org/officeDocument/2006/relationships/hyperlink" Target="https://doi.org/10.1081/CSS-120001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AA496-709C-46FC-BDCD-E9E0F9B55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3384</TotalTime>
  <Pages>16</Pages>
  <Words>5403</Words>
  <Characters>30801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Akpensuen</dc:creator>
  <cp:keywords/>
  <dc:description/>
  <cp:lastModifiedBy>Theo Akpensuen</cp:lastModifiedBy>
  <cp:revision>222</cp:revision>
  <dcterms:created xsi:type="dcterms:W3CDTF">2025-07-25T16:58:00Z</dcterms:created>
  <dcterms:modified xsi:type="dcterms:W3CDTF">2025-10-27T13:29:00Z</dcterms:modified>
</cp:coreProperties>
</file>