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57EB" w:rsidRDefault="008E57EB" w:rsidP="008E57EB">
      <w:pPr>
        <w:spacing w:after="160" w:line="247" w:lineRule="auto"/>
        <w:rPr>
          <w:rFonts w:ascii="Calibri" w:hAnsi="Calibri"/>
          <w:sz w:val="22"/>
          <w:szCs w:val="22"/>
          <w:lang w:eastAsia="en-US"/>
        </w:rPr>
      </w:pPr>
      <w:r w:rsidRPr="008E57EB">
        <w:rPr>
          <w:rFonts w:ascii="Calibri" w:hAnsi="Calibri"/>
          <w:sz w:val="22"/>
          <w:szCs w:val="22"/>
          <w:lang w:eastAsia="en-US"/>
        </w:rPr>
        <w:t xml:space="preserve">Rothamsted Press Release </w:t>
      </w:r>
      <w:r>
        <w:rPr>
          <w:rFonts w:ascii="Calibri" w:hAnsi="Calibri"/>
          <w:sz w:val="22"/>
          <w:szCs w:val="22"/>
          <w:lang w:eastAsia="en-US"/>
        </w:rPr>
        <w:t>Monday, 12 February 2018 Another blow to fungal infection by Kanyuka Kostya BCP</w:t>
      </w:r>
    </w:p>
    <w:p w:rsidR="008E57EB" w:rsidRPr="008E57EB" w:rsidRDefault="008E57EB" w:rsidP="008E57EB">
      <w:pPr>
        <w:spacing w:after="160" w:line="247" w:lineRule="auto"/>
        <w:rPr>
          <w:rFonts w:ascii="Calibri" w:hAnsi="Calibri"/>
          <w:b/>
          <w:sz w:val="22"/>
          <w:szCs w:val="22"/>
          <w:u w:val="single"/>
          <w:lang w:eastAsia="en-US"/>
        </w:rPr>
      </w:pPr>
      <w:r w:rsidRPr="008E57EB">
        <w:rPr>
          <w:rFonts w:ascii="Calibri" w:hAnsi="Calibri"/>
          <w:b/>
          <w:sz w:val="22"/>
          <w:szCs w:val="22"/>
          <w:u w:val="single"/>
          <w:lang w:eastAsia="en-US"/>
        </w:rPr>
        <w:t>Another blow to fungal infection</w:t>
      </w:r>
    </w:p>
    <w:p w:rsidR="008E57EB" w:rsidRDefault="008E57EB" w:rsidP="008E57EB">
      <w:pPr>
        <w:spacing w:after="160" w:line="247" w:lineRule="auto"/>
        <w:rPr>
          <w:rFonts w:ascii="Calibri" w:hAnsi="Calibri"/>
          <w:sz w:val="22"/>
          <w:szCs w:val="22"/>
          <w:lang w:eastAsia="en-US"/>
        </w:rPr>
      </w:pPr>
      <w:r>
        <w:rPr>
          <w:rFonts w:ascii="Calibri" w:hAnsi="Calibri"/>
          <w:sz w:val="22"/>
          <w:szCs w:val="22"/>
          <w:lang w:eastAsia="en-US"/>
        </w:rPr>
        <w:br/>
        <w:t xml:space="preserve">For the first time, researchers have isolated a natural resistance gene to </w:t>
      </w:r>
      <w:proofErr w:type="spellStart"/>
      <w:r>
        <w:rPr>
          <w:rFonts w:ascii="Calibri" w:hAnsi="Calibri"/>
          <w:sz w:val="22"/>
          <w:szCs w:val="22"/>
          <w:lang w:eastAsia="en-US"/>
        </w:rPr>
        <w:t>Septoria</w:t>
      </w:r>
      <w:proofErr w:type="spellEnd"/>
      <w:r>
        <w:rPr>
          <w:rFonts w:ascii="Calibri" w:hAnsi="Calibri"/>
          <w:sz w:val="22"/>
          <w:szCs w:val="22"/>
          <w:lang w:eastAsia="en-US"/>
        </w:rPr>
        <w:t>, Europe’s most economically damaging wheat disease and a fungal threat to wheat crops globally.</w:t>
      </w:r>
    </w:p>
    <w:p w:rsidR="008E57EB" w:rsidRDefault="008E57EB" w:rsidP="008E57EB">
      <w:pPr>
        <w:spacing w:after="160" w:line="247" w:lineRule="auto"/>
        <w:rPr>
          <w:rFonts w:ascii="Calibri" w:hAnsi="Calibri"/>
          <w:sz w:val="22"/>
          <w:szCs w:val="22"/>
          <w:lang w:eastAsia="en-US"/>
        </w:rPr>
      </w:pPr>
      <w:r>
        <w:rPr>
          <w:rFonts w:ascii="Calibri" w:hAnsi="Calibri"/>
          <w:sz w:val="22"/>
          <w:szCs w:val="22"/>
          <w:lang w:eastAsia="en-US"/>
        </w:rPr>
        <w:br/>
        <w:t xml:space="preserve">What is so encouraging about the first successful unpicking of a wheat gene that confers resistance to a devastating fungal disease is the promise it holds for deciphering other resistance genes, </w:t>
      </w:r>
      <w:proofErr w:type="spellStart"/>
      <w:r>
        <w:rPr>
          <w:rFonts w:ascii="Calibri" w:hAnsi="Calibri"/>
          <w:i/>
          <w:iCs/>
          <w:sz w:val="22"/>
          <w:szCs w:val="22"/>
          <w:lang w:eastAsia="en-US"/>
        </w:rPr>
        <w:t>en</w:t>
      </w:r>
      <w:proofErr w:type="spellEnd"/>
      <w:r>
        <w:rPr>
          <w:rFonts w:ascii="Calibri" w:hAnsi="Calibri"/>
          <w:i/>
          <w:iCs/>
          <w:sz w:val="22"/>
          <w:szCs w:val="22"/>
          <w:lang w:eastAsia="en-US"/>
        </w:rPr>
        <w:t xml:space="preserve"> route</w:t>
      </w:r>
      <w:r>
        <w:rPr>
          <w:rFonts w:ascii="Calibri" w:hAnsi="Calibri"/>
          <w:sz w:val="22"/>
          <w:szCs w:val="22"/>
          <w:lang w:eastAsia="en-US"/>
        </w:rPr>
        <w:t xml:space="preserve"> to a natural barrier to infection, at a time when the fungus has already developed tolerance to most types of fungicides.</w:t>
      </w:r>
    </w:p>
    <w:p w:rsidR="008E57EB" w:rsidRDefault="008E57EB" w:rsidP="008E57EB">
      <w:pPr>
        <w:rPr>
          <w:rFonts w:ascii="Calibri" w:hAnsi="Calibri"/>
          <w:sz w:val="22"/>
          <w:szCs w:val="22"/>
          <w:lang w:eastAsia="en-US"/>
        </w:rPr>
      </w:pPr>
    </w:p>
    <w:p w:rsidR="008E57EB" w:rsidRDefault="008E57EB" w:rsidP="008E57EB">
      <w:pPr>
        <w:rPr>
          <w:rFonts w:ascii="Calibri" w:hAnsi="Calibri"/>
          <w:sz w:val="22"/>
          <w:szCs w:val="22"/>
          <w:lang w:eastAsia="en-US"/>
        </w:rPr>
      </w:pPr>
      <w:r>
        <w:rPr>
          <w:rFonts w:ascii="Calibri" w:hAnsi="Calibri"/>
          <w:sz w:val="22"/>
          <w:szCs w:val="22"/>
          <w:lang w:eastAsia="en-US"/>
        </w:rPr>
        <w:t xml:space="preserve">The gene, called </w:t>
      </w:r>
      <w:r>
        <w:rPr>
          <w:rFonts w:ascii="Calibri" w:hAnsi="Calibri"/>
          <w:i/>
          <w:iCs/>
          <w:sz w:val="22"/>
          <w:szCs w:val="22"/>
          <w:lang w:eastAsia="en-US"/>
        </w:rPr>
        <w:t>Stb6</w:t>
      </w:r>
      <w:r>
        <w:rPr>
          <w:rFonts w:ascii="Calibri" w:hAnsi="Calibri"/>
          <w:sz w:val="22"/>
          <w:szCs w:val="22"/>
          <w:lang w:eastAsia="en-US"/>
        </w:rPr>
        <w:t xml:space="preserve">, confers resistance to </w:t>
      </w:r>
      <w:proofErr w:type="spellStart"/>
      <w:r>
        <w:rPr>
          <w:rFonts w:ascii="Calibri" w:hAnsi="Calibri"/>
          <w:sz w:val="22"/>
          <w:szCs w:val="22"/>
          <w:lang w:eastAsia="en-US"/>
        </w:rPr>
        <w:t>Septoria</w:t>
      </w:r>
      <w:proofErr w:type="spellEnd"/>
      <w:r>
        <w:rPr>
          <w:rFonts w:ascii="Calibri" w:hAnsi="Calibri"/>
          <w:sz w:val="22"/>
          <w:szCs w:val="22"/>
          <w:lang w:eastAsia="en-US"/>
        </w:rPr>
        <w:t xml:space="preserve"> </w:t>
      </w:r>
      <w:proofErr w:type="spellStart"/>
      <w:r>
        <w:rPr>
          <w:rFonts w:ascii="Calibri" w:hAnsi="Calibri"/>
          <w:sz w:val="22"/>
          <w:szCs w:val="22"/>
          <w:lang w:eastAsia="en-US"/>
        </w:rPr>
        <w:t>tritici</w:t>
      </w:r>
      <w:proofErr w:type="spellEnd"/>
      <w:r>
        <w:rPr>
          <w:rFonts w:ascii="Calibri" w:hAnsi="Calibri"/>
          <w:sz w:val="22"/>
          <w:szCs w:val="22"/>
          <w:lang w:eastAsia="en-US"/>
        </w:rPr>
        <w:t xml:space="preserve"> blotch (STB, or </w:t>
      </w:r>
      <w:proofErr w:type="spellStart"/>
      <w:r>
        <w:rPr>
          <w:rFonts w:ascii="Calibri" w:hAnsi="Calibri"/>
          <w:sz w:val="22"/>
          <w:szCs w:val="22"/>
          <w:lang w:eastAsia="en-US"/>
        </w:rPr>
        <w:t>Septoria</w:t>
      </w:r>
      <w:proofErr w:type="spellEnd"/>
      <w:r>
        <w:rPr>
          <w:rFonts w:ascii="Calibri" w:hAnsi="Calibri"/>
          <w:sz w:val="22"/>
          <w:szCs w:val="22"/>
          <w:lang w:eastAsia="en-US"/>
        </w:rPr>
        <w:t xml:space="preserve">), the main leaf disease of wheat in temperate regions and a major threat for wheat production globally, capable of halving crop yields. The disease is caused by the resilient fungal pathogen, </w:t>
      </w:r>
      <w:proofErr w:type="spellStart"/>
      <w:r>
        <w:rPr>
          <w:rFonts w:ascii="Calibri" w:hAnsi="Calibri"/>
          <w:i/>
          <w:iCs/>
          <w:sz w:val="22"/>
          <w:szCs w:val="22"/>
          <w:lang w:eastAsia="en-US"/>
        </w:rPr>
        <w:t>Zymoseptoria</w:t>
      </w:r>
      <w:proofErr w:type="spellEnd"/>
      <w:r>
        <w:rPr>
          <w:rFonts w:ascii="Calibri" w:hAnsi="Calibri"/>
          <w:i/>
          <w:iCs/>
          <w:sz w:val="22"/>
          <w:szCs w:val="22"/>
          <w:lang w:eastAsia="en-US"/>
        </w:rPr>
        <w:t xml:space="preserve"> </w:t>
      </w:r>
      <w:proofErr w:type="spellStart"/>
      <w:r>
        <w:rPr>
          <w:rFonts w:ascii="Calibri" w:hAnsi="Calibri"/>
          <w:i/>
          <w:iCs/>
          <w:sz w:val="22"/>
          <w:szCs w:val="22"/>
          <w:lang w:eastAsia="en-US"/>
        </w:rPr>
        <w:t>tritici</w:t>
      </w:r>
      <w:proofErr w:type="spellEnd"/>
      <w:r>
        <w:rPr>
          <w:rFonts w:ascii="Calibri" w:hAnsi="Calibri"/>
          <w:sz w:val="22"/>
          <w:szCs w:val="22"/>
          <w:lang w:eastAsia="en-US"/>
        </w:rPr>
        <w:t>.</w:t>
      </w:r>
    </w:p>
    <w:p w:rsidR="008E57EB" w:rsidRDefault="008E57EB" w:rsidP="008E57EB">
      <w:pPr>
        <w:rPr>
          <w:rFonts w:ascii="Calibri" w:hAnsi="Calibri"/>
          <w:sz w:val="22"/>
          <w:szCs w:val="22"/>
          <w:lang w:eastAsia="en-US"/>
        </w:rPr>
      </w:pPr>
    </w:p>
    <w:p w:rsidR="008E57EB" w:rsidRDefault="008E57EB" w:rsidP="008E57EB">
      <w:pPr>
        <w:rPr>
          <w:rFonts w:ascii="Calibri" w:hAnsi="Calibri"/>
          <w:sz w:val="22"/>
          <w:szCs w:val="22"/>
          <w:lang w:eastAsia="en-US"/>
        </w:rPr>
      </w:pPr>
      <w:r>
        <w:rPr>
          <w:rFonts w:ascii="Calibri" w:hAnsi="Calibri"/>
          <w:sz w:val="22"/>
          <w:szCs w:val="22"/>
          <w:lang w:eastAsia="en-US"/>
        </w:rPr>
        <w:t xml:space="preserve">Although the presence of the gene has been known for nearly 20 years, the gene’s mapping and isolation have taken five years to complete. The work, from an Anglo-French team led by Kostya Kanyuka at Rothamsted Research and </w:t>
      </w:r>
      <w:proofErr w:type="spellStart"/>
      <w:r>
        <w:rPr>
          <w:rFonts w:ascii="Calibri" w:hAnsi="Calibri"/>
          <w:sz w:val="22"/>
          <w:szCs w:val="22"/>
          <w:lang w:eastAsia="en-US"/>
        </w:rPr>
        <w:t>Cyrille</w:t>
      </w:r>
      <w:proofErr w:type="spellEnd"/>
      <w:r>
        <w:rPr>
          <w:rFonts w:ascii="Calibri" w:hAnsi="Calibri"/>
          <w:sz w:val="22"/>
          <w:szCs w:val="22"/>
          <w:lang w:eastAsia="en-US"/>
        </w:rPr>
        <w:t xml:space="preserve"> </w:t>
      </w:r>
      <w:proofErr w:type="spellStart"/>
      <w:r>
        <w:rPr>
          <w:rFonts w:ascii="Calibri" w:hAnsi="Calibri"/>
          <w:sz w:val="22"/>
          <w:szCs w:val="22"/>
          <w:lang w:eastAsia="en-US"/>
        </w:rPr>
        <w:t>Saintenac</w:t>
      </w:r>
      <w:proofErr w:type="spellEnd"/>
      <w:r>
        <w:rPr>
          <w:rFonts w:ascii="Calibri" w:hAnsi="Calibri"/>
          <w:sz w:val="22"/>
          <w:szCs w:val="22"/>
          <w:lang w:eastAsia="en-US"/>
        </w:rPr>
        <w:t xml:space="preserve"> at the National Institute for Agricultural Research (INRA), is reported today in </w:t>
      </w:r>
      <w:r>
        <w:rPr>
          <w:rFonts w:ascii="Calibri" w:hAnsi="Calibri"/>
          <w:i/>
          <w:iCs/>
          <w:sz w:val="22"/>
          <w:szCs w:val="22"/>
          <w:lang w:eastAsia="en-US"/>
        </w:rPr>
        <w:t>Nature Genetics</w:t>
      </w:r>
      <w:r>
        <w:rPr>
          <w:rFonts w:ascii="Calibri" w:hAnsi="Calibri"/>
          <w:sz w:val="22"/>
          <w:szCs w:val="22"/>
          <w:lang w:eastAsia="en-US"/>
        </w:rPr>
        <w:t xml:space="preserve">.   </w:t>
      </w:r>
    </w:p>
    <w:p w:rsidR="008E57EB" w:rsidRDefault="008E57EB" w:rsidP="008E57EB">
      <w:pPr>
        <w:rPr>
          <w:rFonts w:ascii="Calibri" w:hAnsi="Calibri"/>
          <w:sz w:val="22"/>
          <w:szCs w:val="22"/>
          <w:lang w:eastAsia="en-US"/>
        </w:rPr>
      </w:pPr>
    </w:p>
    <w:p w:rsidR="008E57EB" w:rsidRDefault="008E57EB" w:rsidP="008E57EB">
      <w:pPr>
        <w:rPr>
          <w:rFonts w:ascii="Calibri" w:hAnsi="Calibri"/>
          <w:sz w:val="22"/>
          <w:szCs w:val="22"/>
          <w:lang w:eastAsia="en-US"/>
        </w:rPr>
      </w:pPr>
      <w:r>
        <w:rPr>
          <w:rFonts w:ascii="Calibri" w:hAnsi="Calibri"/>
          <w:sz w:val="22"/>
          <w:szCs w:val="22"/>
          <w:lang w:eastAsia="en-US"/>
        </w:rPr>
        <w:t xml:space="preserve">“Isolation of </w:t>
      </w:r>
      <w:r>
        <w:rPr>
          <w:rFonts w:ascii="Calibri" w:hAnsi="Calibri"/>
          <w:i/>
          <w:iCs/>
          <w:sz w:val="22"/>
          <w:szCs w:val="22"/>
          <w:lang w:eastAsia="en-US"/>
        </w:rPr>
        <w:t>Stb6</w:t>
      </w:r>
      <w:r>
        <w:rPr>
          <w:rFonts w:ascii="Calibri" w:hAnsi="Calibri"/>
          <w:sz w:val="22"/>
          <w:szCs w:val="22"/>
          <w:lang w:eastAsia="en-US"/>
        </w:rPr>
        <w:t xml:space="preserve"> is a </w:t>
      </w:r>
      <w:proofErr w:type="gramStart"/>
      <w:r>
        <w:rPr>
          <w:rFonts w:ascii="Calibri" w:hAnsi="Calibri"/>
          <w:sz w:val="22"/>
          <w:szCs w:val="22"/>
          <w:lang w:eastAsia="en-US"/>
        </w:rPr>
        <w:t>major breakthrough</w:t>
      </w:r>
      <w:proofErr w:type="gramEnd"/>
      <w:r>
        <w:rPr>
          <w:rFonts w:ascii="Calibri" w:hAnsi="Calibri"/>
          <w:sz w:val="22"/>
          <w:szCs w:val="22"/>
          <w:lang w:eastAsia="en-US"/>
        </w:rPr>
        <w:t xml:space="preserve"> that will allow deeper understanding of disease resistance mechanisms operating in wheat against this important pathogen,” says Kanyuka. “In the long term, it should also help us to develop better disease control strategies.”</w:t>
      </w:r>
    </w:p>
    <w:p w:rsidR="008E57EB" w:rsidRDefault="008E57EB" w:rsidP="008E57EB">
      <w:pPr>
        <w:rPr>
          <w:rFonts w:ascii="Calibri" w:hAnsi="Calibri"/>
          <w:sz w:val="22"/>
          <w:szCs w:val="22"/>
          <w:lang w:eastAsia="en-US"/>
        </w:rPr>
      </w:pPr>
    </w:p>
    <w:p w:rsidR="008E57EB" w:rsidRDefault="008E57EB" w:rsidP="008E57EB">
      <w:pPr>
        <w:rPr>
          <w:rFonts w:ascii="Calibri" w:hAnsi="Calibri"/>
          <w:sz w:val="22"/>
          <w:szCs w:val="22"/>
          <w:lang w:eastAsia="en-US"/>
        </w:rPr>
      </w:pPr>
      <w:proofErr w:type="spellStart"/>
      <w:r>
        <w:rPr>
          <w:rFonts w:ascii="Calibri" w:hAnsi="Calibri"/>
          <w:sz w:val="22"/>
          <w:szCs w:val="22"/>
          <w:lang w:eastAsia="en-US"/>
        </w:rPr>
        <w:t>Saintenac</w:t>
      </w:r>
      <w:proofErr w:type="spellEnd"/>
      <w:r>
        <w:rPr>
          <w:rFonts w:ascii="Calibri" w:hAnsi="Calibri"/>
          <w:sz w:val="22"/>
          <w:szCs w:val="22"/>
          <w:lang w:eastAsia="en-US"/>
        </w:rPr>
        <w:t xml:space="preserve"> agrees: “Identification of the </w:t>
      </w:r>
      <w:r>
        <w:rPr>
          <w:rFonts w:ascii="Calibri" w:hAnsi="Calibri"/>
          <w:i/>
          <w:iCs/>
          <w:sz w:val="22"/>
          <w:szCs w:val="22"/>
          <w:lang w:eastAsia="en-US"/>
        </w:rPr>
        <w:t>Stb6</w:t>
      </w:r>
      <w:r>
        <w:rPr>
          <w:rFonts w:ascii="Calibri" w:hAnsi="Calibri"/>
          <w:sz w:val="22"/>
          <w:szCs w:val="22"/>
          <w:lang w:eastAsia="en-US"/>
        </w:rPr>
        <w:t xml:space="preserve"> gene was made possible through the dedicated efforts of international collaborators. It paves the way to new </w:t>
      </w:r>
      <w:proofErr w:type="spellStart"/>
      <w:r>
        <w:rPr>
          <w:rFonts w:ascii="Calibri" w:hAnsi="Calibri"/>
          <w:i/>
          <w:iCs/>
          <w:sz w:val="22"/>
          <w:szCs w:val="22"/>
          <w:lang w:eastAsia="en-US"/>
        </w:rPr>
        <w:t>Stb</w:t>
      </w:r>
      <w:proofErr w:type="spellEnd"/>
      <w:r>
        <w:rPr>
          <w:rFonts w:ascii="Calibri" w:hAnsi="Calibri"/>
          <w:sz w:val="22"/>
          <w:szCs w:val="22"/>
          <w:lang w:eastAsia="en-US"/>
        </w:rPr>
        <w:t xml:space="preserve"> genes’ discoveries and to a better management of this devastating wheat disease.”</w:t>
      </w:r>
    </w:p>
    <w:p w:rsidR="008E57EB" w:rsidRDefault="008E57EB" w:rsidP="008E57EB">
      <w:pPr>
        <w:rPr>
          <w:rFonts w:ascii="Calibri" w:hAnsi="Calibri"/>
          <w:sz w:val="22"/>
          <w:szCs w:val="22"/>
          <w:lang w:eastAsia="en-US"/>
        </w:rPr>
      </w:pPr>
    </w:p>
    <w:p w:rsidR="008E57EB" w:rsidRDefault="008E57EB" w:rsidP="008E57EB">
      <w:pPr>
        <w:rPr>
          <w:rFonts w:ascii="Calibri" w:hAnsi="Calibri"/>
          <w:sz w:val="22"/>
          <w:szCs w:val="22"/>
          <w:lang w:eastAsia="en-US"/>
        </w:rPr>
      </w:pPr>
      <w:r>
        <w:rPr>
          <w:rFonts w:ascii="Calibri" w:hAnsi="Calibri"/>
          <w:sz w:val="22"/>
          <w:szCs w:val="22"/>
          <w:lang w:eastAsia="en-US"/>
        </w:rPr>
        <w:t xml:space="preserve">Kanyuka notes that the </w:t>
      </w:r>
      <w:r>
        <w:rPr>
          <w:rFonts w:ascii="Calibri" w:hAnsi="Calibri"/>
          <w:i/>
          <w:iCs/>
          <w:sz w:val="22"/>
          <w:szCs w:val="22"/>
          <w:lang w:eastAsia="en-US"/>
        </w:rPr>
        <w:t>Stb6</w:t>
      </w:r>
      <w:r>
        <w:rPr>
          <w:rFonts w:ascii="Calibri" w:hAnsi="Calibri"/>
          <w:sz w:val="22"/>
          <w:szCs w:val="22"/>
          <w:lang w:eastAsia="en-US"/>
        </w:rPr>
        <w:t xml:space="preserve"> gene is effective against only a fraction of fungal strains, specifically those strains that secrete a matching protein, called AvrStb6. The Stb6 protein somehow recognises this fungal protein, which leads to activation of the defence response in wheat.</w:t>
      </w:r>
    </w:p>
    <w:p w:rsidR="008E57EB" w:rsidRDefault="008E57EB" w:rsidP="008E57EB">
      <w:pPr>
        <w:rPr>
          <w:rFonts w:ascii="Calibri" w:hAnsi="Calibri"/>
          <w:sz w:val="22"/>
          <w:szCs w:val="22"/>
          <w:lang w:eastAsia="en-US"/>
        </w:rPr>
      </w:pPr>
    </w:p>
    <w:p w:rsidR="008E57EB" w:rsidRDefault="008E57EB" w:rsidP="008E57EB">
      <w:pPr>
        <w:rPr>
          <w:rFonts w:ascii="Calibri" w:hAnsi="Calibri"/>
          <w:sz w:val="22"/>
          <w:szCs w:val="22"/>
          <w:lang w:eastAsia="en-US"/>
        </w:rPr>
      </w:pPr>
      <w:r>
        <w:rPr>
          <w:rFonts w:ascii="Calibri" w:hAnsi="Calibri"/>
          <w:sz w:val="22"/>
          <w:szCs w:val="22"/>
          <w:lang w:eastAsia="en-US"/>
        </w:rPr>
        <w:t xml:space="preserve">“Nevertheless, this gene will be useful in combination with other STB resistance genes, and our study provides tools for rapid lab-based tracing of </w:t>
      </w:r>
      <w:r>
        <w:rPr>
          <w:rFonts w:ascii="Calibri" w:hAnsi="Calibri"/>
          <w:i/>
          <w:iCs/>
          <w:sz w:val="22"/>
          <w:szCs w:val="22"/>
          <w:lang w:eastAsia="en-US"/>
        </w:rPr>
        <w:t>Stb6</w:t>
      </w:r>
      <w:r>
        <w:rPr>
          <w:rFonts w:ascii="Calibri" w:hAnsi="Calibri"/>
          <w:sz w:val="22"/>
          <w:szCs w:val="22"/>
          <w:lang w:eastAsia="en-US"/>
        </w:rPr>
        <w:t xml:space="preserve"> in wheat breeding lines,” says Kanyuka.</w:t>
      </w:r>
    </w:p>
    <w:p w:rsidR="008E57EB" w:rsidRDefault="008E57EB" w:rsidP="008E57EB">
      <w:pPr>
        <w:rPr>
          <w:rFonts w:ascii="Calibri" w:hAnsi="Calibri"/>
          <w:sz w:val="22"/>
          <w:szCs w:val="22"/>
          <w:lang w:eastAsia="en-US"/>
        </w:rPr>
      </w:pPr>
    </w:p>
    <w:p w:rsidR="008E57EB" w:rsidRDefault="008E57EB" w:rsidP="008E57EB">
      <w:pPr>
        <w:rPr>
          <w:rFonts w:ascii="Calibri" w:hAnsi="Calibri"/>
          <w:sz w:val="22"/>
          <w:szCs w:val="22"/>
          <w:lang w:eastAsia="en-US"/>
        </w:rPr>
      </w:pPr>
      <w:r>
        <w:rPr>
          <w:rFonts w:ascii="Calibri" w:hAnsi="Calibri"/>
          <w:sz w:val="22"/>
          <w:szCs w:val="22"/>
          <w:lang w:eastAsia="en-US"/>
        </w:rPr>
        <w:t xml:space="preserve">Kanyuka also highlights the gene’s importance in better understanding of the fundamental science of disease control. Most resistance genes, in wheat and other plants, code for protein receptors located inside cells; the </w:t>
      </w:r>
      <w:r>
        <w:rPr>
          <w:rFonts w:ascii="Calibri" w:hAnsi="Calibri"/>
          <w:i/>
          <w:iCs/>
          <w:sz w:val="22"/>
          <w:szCs w:val="22"/>
          <w:lang w:eastAsia="en-US"/>
        </w:rPr>
        <w:t>Stb6</w:t>
      </w:r>
      <w:r>
        <w:rPr>
          <w:rFonts w:ascii="Calibri" w:hAnsi="Calibri"/>
          <w:sz w:val="22"/>
          <w:szCs w:val="22"/>
          <w:lang w:eastAsia="en-US"/>
        </w:rPr>
        <w:t xml:space="preserve"> gene codes for a receptor protein on the cell’s surface.</w:t>
      </w:r>
    </w:p>
    <w:p w:rsidR="008E57EB" w:rsidRDefault="008E57EB" w:rsidP="008E57EB">
      <w:pPr>
        <w:rPr>
          <w:rFonts w:ascii="Calibri" w:hAnsi="Calibri"/>
          <w:sz w:val="22"/>
          <w:szCs w:val="22"/>
          <w:lang w:eastAsia="en-US"/>
        </w:rPr>
      </w:pPr>
    </w:p>
    <w:p w:rsidR="008E57EB" w:rsidRDefault="008E57EB" w:rsidP="008E57EB">
      <w:pPr>
        <w:rPr>
          <w:rFonts w:ascii="Calibri" w:hAnsi="Calibri"/>
          <w:sz w:val="22"/>
          <w:szCs w:val="22"/>
          <w:lang w:eastAsia="en-US"/>
        </w:rPr>
      </w:pPr>
      <w:r>
        <w:rPr>
          <w:rFonts w:ascii="Calibri" w:hAnsi="Calibri"/>
          <w:sz w:val="22"/>
          <w:szCs w:val="22"/>
          <w:lang w:eastAsia="en-US"/>
        </w:rPr>
        <w:t xml:space="preserve">“This knowledge will facilitate identification and isolation of additional resistance genes for improved control of </w:t>
      </w:r>
      <w:proofErr w:type="spellStart"/>
      <w:r>
        <w:rPr>
          <w:rFonts w:ascii="Calibri" w:hAnsi="Calibri"/>
          <w:sz w:val="22"/>
          <w:szCs w:val="22"/>
          <w:lang w:eastAsia="en-US"/>
        </w:rPr>
        <w:t>Septoria</w:t>
      </w:r>
      <w:proofErr w:type="spellEnd"/>
      <w:r>
        <w:rPr>
          <w:rFonts w:ascii="Calibri" w:hAnsi="Calibri"/>
          <w:sz w:val="22"/>
          <w:szCs w:val="22"/>
          <w:lang w:eastAsia="en-US"/>
        </w:rPr>
        <w:t>,” adds Kanyuka.</w:t>
      </w:r>
    </w:p>
    <w:p w:rsidR="008E57EB" w:rsidRDefault="008E57EB" w:rsidP="008E57EB">
      <w:pPr>
        <w:rPr>
          <w:rFonts w:ascii="Calibri" w:hAnsi="Calibri"/>
          <w:sz w:val="22"/>
          <w:szCs w:val="22"/>
          <w:lang w:eastAsia="en-US"/>
        </w:rPr>
      </w:pPr>
    </w:p>
    <w:p w:rsidR="008E57EB" w:rsidRDefault="008E57EB" w:rsidP="008E57EB">
      <w:pPr>
        <w:rPr>
          <w:rFonts w:ascii="Calibri" w:hAnsi="Calibri"/>
          <w:sz w:val="22"/>
          <w:szCs w:val="22"/>
          <w:lang w:eastAsia="en-US"/>
        </w:rPr>
      </w:pPr>
      <w:r>
        <w:rPr>
          <w:rFonts w:ascii="Calibri" w:hAnsi="Calibri"/>
          <w:sz w:val="22"/>
          <w:szCs w:val="22"/>
          <w:lang w:eastAsia="en-US"/>
        </w:rPr>
        <w:t xml:space="preserve">For Cristobal </w:t>
      </w:r>
      <w:proofErr w:type="spellStart"/>
      <w:r>
        <w:rPr>
          <w:rFonts w:ascii="Calibri" w:hAnsi="Calibri"/>
          <w:sz w:val="22"/>
          <w:szCs w:val="22"/>
          <w:lang w:eastAsia="en-US"/>
        </w:rPr>
        <w:t>Uauy</w:t>
      </w:r>
      <w:proofErr w:type="spellEnd"/>
      <w:r>
        <w:rPr>
          <w:rFonts w:ascii="Calibri" w:hAnsi="Calibri"/>
          <w:sz w:val="22"/>
          <w:szCs w:val="22"/>
          <w:lang w:eastAsia="en-US"/>
        </w:rPr>
        <w:t>, a wheat geneticist at the John Innes Centre who was also part of the Anglo-French team, the work “exemplifies the collaboration between Rothamsted and JIC in developing sequenced mutant populations and how sharing these resources with our international partners allowed the team to identify and characterise more quickly this important gene.”</w:t>
      </w:r>
    </w:p>
    <w:p w:rsidR="008E57EB" w:rsidRDefault="008E57EB" w:rsidP="008E57EB">
      <w:pPr>
        <w:rPr>
          <w:rFonts w:ascii="Calibri" w:hAnsi="Calibri"/>
          <w:sz w:val="22"/>
          <w:szCs w:val="22"/>
          <w:lang w:eastAsia="en-US"/>
        </w:rPr>
      </w:pPr>
    </w:p>
    <w:p w:rsidR="008E57EB" w:rsidRDefault="008E57EB" w:rsidP="008E57EB">
      <w:pPr>
        <w:rPr>
          <w:rFonts w:ascii="Calibri" w:hAnsi="Calibri"/>
          <w:sz w:val="22"/>
          <w:szCs w:val="22"/>
          <w:lang w:eastAsia="en-US"/>
        </w:rPr>
      </w:pPr>
      <w:r>
        <w:rPr>
          <w:rFonts w:ascii="Calibri" w:hAnsi="Calibri"/>
          <w:sz w:val="22"/>
          <w:szCs w:val="22"/>
          <w:lang w:eastAsia="en-US"/>
        </w:rPr>
        <w:t xml:space="preserve">In an associated paper, also being published in </w:t>
      </w:r>
      <w:r w:rsidRPr="008E57EB">
        <w:rPr>
          <w:rFonts w:ascii="Calibri" w:hAnsi="Calibri"/>
          <w:b/>
          <w:i/>
          <w:iCs/>
          <w:sz w:val="22"/>
          <w:szCs w:val="22"/>
          <w:lang w:eastAsia="en-US"/>
        </w:rPr>
        <w:t>Nature Genetics</w:t>
      </w:r>
      <w:r>
        <w:rPr>
          <w:rFonts w:ascii="Calibri" w:hAnsi="Calibri"/>
          <w:sz w:val="22"/>
          <w:szCs w:val="22"/>
          <w:lang w:eastAsia="en-US"/>
        </w:rPr>
        <w:t xml:space="preserve"> today, an international research team reports how fungal sex has significant implications for disease control in wheat. The team, which includes a group of mathematical modellers from Rothamsted Research, present epidemiological models that show extended durability of host resistance (including </w:t>
      </w:r>
      <w:r>
        <w:rPr>
          <w:rFonts w:ascii="Calibri" w:hAnsi="Calibri"/>
          <w:i/>
          <w:iCs/>
          <w:sz w:val="22"/>
          <w:szCs w:val="22"/>
          <w:lang w:eastAsia="en-US"/>
        </w:rPr>
        <w:t>Stb6</w:t>
      </w:r>
      <w:r>
        <w:rPr>
          <w:rFonts w:ascii="Calibri" w:hAnsi="Calibri"/>
          <w:sz w:val="22"/>
          <w:szCs w:val="22"/>
          <w:lang w:eastAsia="en-US"/>
        </w:rPr>
        <w:t xml:space="preserve">) in wheat and rapid emergence of fungicide resistance in </w:t>
      </w:r>
      <w:proofErr w:type="spellStart"/>
      <w:r>
        <w:rPr>
          <w:rFonts w:ascii="Calibri" w:hAnsi="Calibri"/>
          <w:sz w:val="22"/>
          <w:szCs w:val="22"/>
          <w:lang w:eastAsia="en-US"/>
        </w:rPr>
        <w:t>Septoria</w:t>
      </w:r>
      <w:proofErr w:type="spellEnd"/>
      <w:r>
        <w:rPr>
          <w:rFonts w:ascii="Calibri" w:hAnsi="Calibri"/>
          <w:sz w:val="22"/>
          <w:szCs w:val="22"/>
          <w:lang w:eastAsia="en-US"/>
        </w:rPr>
        <w:t>.</w:t>
      </w:r>
    </w:p>
    <w:p w:rsidR="008E57EB" w:rsidRDefault="008E57EB" w:rsidP="008E57EB">
      <w:pPr>
        <w:rPr>
          <w:rFonts w:ascii="Calibri" w:hAnsi="Calibri"/>
          <w:sz w:val="22"/>
          <w:szCs w:val="22"/>
          <w:lang w:eastAsia="en-US"/>
        </w:rPr>
      </w:pPr>
    </w:p>
    <w:p w:rsidR="008E57EB" w:rsidRDefault="008E57EB" w:rsidP="008E57EB">
      <w:pPr>
        <w:rPr>
          <w:rFonts w:ascii="Calibri" w:hAnsi="Calibri"/>
          <w:sz w:val="22"/>
          <w:szCs w:val="22"/>
          <w:lang w:eastAsia="en-GB"/>
        </w:rPr>
      </w:pPr>
      <w:r>
        <w:rPr>
          <w:rFonts w:ascii="Calibri" w:hAnsi="Calibri"/>
          <w:b/>
          <w:bCs/>
          <w:sz w:val="22"/>
          <w:szCs w:val="22"/>
          <w:lang w:eastAsia="en-US"/>
        </w:rPr>
        <w:t>Publication:</w:t>
      </w:r>
    </w:p>
    <w:p w:rsidR="00F11C15" w:rsidRDefault="008E57EB">
      <w:pPr>
        <w:rPr>
          <w:rFonts w:ascii="Calibri" w:hAnsi="Calibri"/>
          <w:b/>
          <w:sz w:val="22"/>
          <w:szCs w:val="22"/>
          <w:lang w:eastAsia="en-US"/>
        </w:rPr>
      </w:pPr>
      <w:r w:rsidRPr="008E57EB">
        <w:rPr>
          <w:rFonts w:ascii="Calibri" w:hAnsi="Calibri"/>
          <w:b/>
          <w:sz w:val="22"/>
          <w:szCs w:val="22"/>
          <w:lang w:eastAsia="en-US"/>
        </w:rPr>
        <w:t xml:space="preserve">Wheat receptor kinase-like protein Stb6 controls gene-for-gene resistance to fungal pathogen </w:t>
      </w:r>
      <w:proofErr w:type="spellStart"/>
      <w:r w:rsidRPr="008E57EB">
        <w:rPr>
          <w:rFonts w:ascii="Calibri" w:hAnsi="Calibri"/>
          <w:b/>
          <w:i/>
          <w:iCs/>
          <w:sz w:val="22"/>
          <w:szCs w:val="22"/>
          <w:lang w:eastAsia="en-US"/>
        </w:rPr>
        <w:t>Zymoseptoria</w:t>
      </w:r>
      <w:proofErr w:type="spellEnd"/>
      <w:r w:rsidRPr="008E57EB">
        <w:rPr>
          <w:rFonts w:ascii="Calibri" w:hAnsi="Calibri"/>
          <w:b/>
          <w:i/>
          <w:iCs/>
          <w:sz w:val="22"/>
          <w:szCs w:val="22"/>
          <w:lang w:eastAsia="en-US"/>
        </w:rPr>
        <w:t xml:space="preserve"> </w:t>
      </w:r>
      <w:proofErr w:type="spellStart"/>
      <w:r w:rsidRPr="008E57EB">
        <w:rPr>
          <w:rFonts w:ascii="Calibri" w:hAnsi="Calibri"/>
          <w:b/>
          <w:i/>
          <w:iCs/>
          <w:sz w:val="22"/>
          <w:szCs w:val="22"/>
          <w:lang w:eastAsia="en-US"/>
        </w:rPr>
        <w:t>tritici</w:t>
      </w:r>
      <w:proofErr w:type="spellEnd"/>
      <w:r w:rsidRPr="008E57EB">
        <w:rPr>
          <w:rFonts w:ascii="Calibri" w:hAnsi="Calibri"/>
          <w:b/>
          <w:sz w:val="22"/>
          <w:szCs w:val="22"/>
          <w:lang w:eastAsia="en-US"/>
        </w:rPr>
        <w:t xml:space="preserve">  </w:t>
      </w:r>
    </w:p>
    <w:p w:rsidR="00CC7926" w:rsidRDefault="00CC7926">
      <w:pPr>
        <w:rPr>
          <w:rFonts w:ascii="Calibri" w:hAnsi="Calibri"/>
          <w:b/>
          <w:sz w:val="22"/>
          <w:szCs w:val="22"/>
          <w:lang w:eastAsia="en-US"/>
        </w:rPr>
      </w:pPr>
    </w:p>
    <w:p w:rsidR="00CC7926" w:rsidRDefault="00CC7926">
      <w:pPr>
        <w:rPr>
          <w:rFonts w:ascii="Calibri" w:hAnsi="Calibri"/>
          <w:b/>
          <w:sz w:val="22"/>
          <w:szCs w:val="22"/>
          <w:lang w:eastAsia="en-US"/>
        </w:rPr>
      </w:pPr>
      <w:r>
        <w:rPr>
          <w:noProof/>
          <w:lang w:eastAsia="en-GB"/>
        </w:rPr>
        <w:lastRenderedPageBreak/>
        <w:drawing>
          <wp:inline distT="0" distB="0" distL="0" distR="0" wp14:anchorId="3AD19ADA" wp14:editId="738C0C3F">
            <wp:extent cx="3155950" cy="2497983"/>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3164969" cy="2505122"/>
                    </a:xfrm>
                    <a:prstGeom prst="rect">
                      <a:avLst/>
                    </a:prstGeom>
                  </pic:spPr>
                </pic:pic>
              </a:graphicData>
            </a:graphic>
          </wp:inline>
        </w:drawing>
      </w:r>
    </w:p>
    <w:p w:rsidR="00CC7926" w:rsidRDefault="00CC7926">
      <w:pPr>
        <w:rPr>
          <w:rFonts w:ascii="Calibri" w:hAnsi="Calibri"/>
          <w:b/>
          <w:sz w:val="22"/>
          <w:szCs w:val="22"/>
          <w:lang w:eastAsia="en-US"/>
        </w:rPr>
      </w:pPr>
    </w:p>
    <w:p w:rsidR="00CC7926" w:rsidRPr="008E57EB" w:rsidRDefault="00CC7926">
      <w:pPr>
        <w:rPr>
          <w:rFonts w:ascii="Calibri" w:hAnsi="Calibri"/>
          <w:b/>
          <w:sz w:val="22"/>
          <w:szCs w:val="22"/>
          <w:lang w:eastAsia="en-US"/>
        </w:rPr>
      </w:pPr>
      <w:r>
        <w:rPr>
          <w:noProof/>
          <w:lang w:eastAsia="en-GB"/>
        </w:rPr>
        <w:drawing>
          <wp:inline distT="0" distB="0" distL="0" distR="0" wp14:anchorId="7E5653FD" wp14:editId="6F4468A8">
            <wp:extent cx="2981994" cy="2524125"/>
            <wp:effectExtent l="0" t="0" r="889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995011" cy="2535143"/>
                    </a:xfrm>
                    <a:prstGeom prst="rect">
                      <a:avLst/>
                    </a:prstGeom>
                  </pic:spPr>
                </pic:pic>
              </a:graphicData>
            </a:graphic>
          </wp:inline>
        </w:drawing>
      </w:r>
      <w:bookmarkStart w:id="0" w:name="_GoBack"/>
      <w:bookmarkEnd w:id="0"/>
    </w:p>
    <w:sectPr w:rsidR="00CC7926" w:rsidRPr="008E57EB" w:rsidSect="008E57E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iberation Serif">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7EB"/>
    <w:rsid w:val="008E57EB"/>
    <w:rsid w:val="00CC7926"/>
    <w:rsid w:val="00D66D77"/>
    <w:rsid w:val="00F11C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13B7F"/>
  <w15:chartTrackingRefBased/>
  <w15:docId w15:val="{CBC5D233-85AE-434A-91CD-09BEA70E0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8E57EB"/>
    <w:pPr>
      <w:autoSpaceDN w:val="0"/>
      <w:spacing w:after="0" w:line="240" w:lineRule="auto"/>
    </w:pPr>
    <w:rPr>
      <w:rFonts w:ascii="Liberation Serif" w:hAnsi="Liberation Serif"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basedOn w:val="Normal"/>
    <w:rsid w:val="008E57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9730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543</Words>
  <Characters>3096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Fearnhead</dc:creator>
  <cp:keywords/>
  <dc:description/>
  <cp:lastModifiedBy>Catherine Fearnhead</cp:lastModifiedBy>
  <cp:revision>2</cp:revision>
  <dcterms:created xsi:type="dcterms:W3CDTF">2018-02-09T17:32:00Z</dcterms:created>
  <dcterms:modified xsi:type="dcterms:W3CDTF">2018-02-13T12:19:00Z</dcterms:modified>
</cp:coreProperties>
</file>