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5E666" w14:textId="18BA9B48" w:rsidR="00BC7646" w:rsidRPr="00BC7646" w:rsidRDefault="00BC7646">
      <w:pPr>
        <w:rPr>
          <w:b/>
          <w:bCs/>
        </w:rPr>
      </w:pPr>
      <w:r w:rsidRPr="00BC7646">
        <w:rPr>
          <w:b/>
          <w:bCs/>
        </w:rPr>
        <w:t>RRES Press Release 1</w:t>
      </w:r>
      <w:r w:rsidR="00152955">
        <w:rPr>
          <w:b/>
          <w:bCs/>
        </w:rPr>
        <w:t>5</w:t>
      </w:r>
      <w:r w:rsidRPr="00BC7646">
        <w:rPr>
          <w:b/>
          <w:bCs/>
        </w:rPr>
        <w:t xml:space="preserve"> August 2024 </w:t>
      </w:r>
      <w:r w:rsidR="00152955">
        <w:rPr>
          <w:b/>
          <w:bCs/>
        </w:rPr>
        <w:t>New survey highlights multiple barriers to farm uptake of climate change mitigation measures</w:t>
      </w:r>
    </w:p>
    <w:p w14:paraId="221B90C9" w14:textId="22EF164C" w:rsidR="00BC7646" w:rsidRDefault="00152955">
      <w:pPr>
        <w:rPr>
          <w:i/>
          <w:iCs/>
        </w:rPr>
      </w:pPr>
      <w:r>
        <w:rPr>
          <w:i/>
          <w:iCs/>
        </w:rPr>
        <w:t>Urgent policy re-think required if UK livestock farmers are to be convinced of benefits say researchers</w:t>
      </w:r>
    </w:p>
    <w:p w14:paraId="4F820ACE"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Livestock farmers have expressed a significant unwillingness to adopt greenhouse gas mitigation measures, according to a new UK survey conducted by Rothamsted researchers. Various barriers to adoption were identified, including inflexible land contracts, cost, poor awareness of mitigation measures, non-availability of markets for bioenergy crops and scepticism about the future impacts. </w:t>
      </w:r>
    </w:p>
    <w:p w14:paraId="4AE56637"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201 farmers were included in the survey. The results consistently showed that age, labour availability and farm sector influence the likely adoption of mitigation measures. In particular, livestock grazing farmers showed a significant unwillingness to adopt these best practices.</w:t>
      </w:r>
    </w:p>
    <w:p w14:paraId="5D8F1C9A"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“Rapid uptake of greenhouse gas mitigation measures is central to reducing agricultural and land use emissions and meeting the UK Net Zero policy,” said research lead Dr Asma Jebari. “The socioeconomic challenges and barriers to uptake are poorly understood, suggesting that existing policies and structures are unlikely to deliver effective outcomes.”</w:t>
      </w:r>
    </w:p>
    <w:p w14:paraId="56492ADE"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Some agricultural land managers in the survey thought that those proposing GHG mitigation measures and emission reduction targets seemed to have not considered how they might impact profitability. In the case of reducing stocking density, many were of the opinion that, although reducing this in grassland would likely also reduce emissions, such action might negatively affect their farm’s efficiency and profitability and result in poor performance of grassland as a result of under-grazing.</w:t>
      </w:r>
    </w:p>
    <w:p w14:paraId="4FFE6834"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Style w:val="Emphasis"/>
          <w:rFonts w:ascii="Calibri" w:hAnsi="Calibri" w:cs="Calibri"/>
          <w:color w:val="000000"/>
        </w:rPr>
        <w:t>“If I lose one [animal]</w:t>
      </w:r>
      <w:r w:rsidRPr="006A16DE">
        <w:rPr>
          <w:rFonts w:ascii="Calibri" w:hAnsi="Calibri" w:cs="Calibri"/>
          <w:color w:val="000000"/>
        </w:rPr>
        <w:t>, </w:t>
      </w:r>
      <w:r w:rsidRPr="006A16DE">
        <w:rPr>
          <w:rStyle w:val="Emphasis"/>
          <w:rFonts w:ascii="Calibri" w:hAnsi="Calibri" w:cs="Calibri"/>
          <w:color w:val="000000"/>
        </w:rPr>
        <w:t>I reduce my income</w:t>
      </w:r>
      <w:r w:rsidRPr="006A16DE">
        <w:rPr>
          <w:rFonts w:ascii="Calibri" w:hAnsi="Calibri" w:cs="Calibri"/>
          <w:color w:val="000000"/>
        </w:rPr>
        <w:t>,” said one respondent</w:t>
      </w:r>
      <w:r w:rsidRPr="006A16DE">
        <w:rPr>
          <w:rStyle w:val="Emphasis"/>
          <w:rFonts w:ascii="Calibri" w:hAnsi="Calibri" w:cs="Calibri"/>
          <w:color w:val="000000"/>
        </w:rPr>
        <w:t>. “Reducing organic stocking rates would have no effect on decreasing carbon. In fact, it would reduce carbon sequestration in my soil,”</w:t>
      </w:r>
      <w:r w:rsidRPr="006A16DE">
        <w:rPr>
          <w:rFonts w:ascii="Calibri" w:hAnsi="Calibri" w:cs="Calibri"/>
          <w:color w:val="000000"/>
        </w:rPr>
        <w:t> said another.</w:t>
      </w:r>
    </w:p>
    <w:p w14:paraId="6DF07FC2"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The study also highlighted problems of limited farm resources. Shortage of agricultural labour, for instance, is an ongoing challenge in the UK and this may affect farmers’ ability to implement more innovative practices. </w:t>
      </w:r>
    </w:p>
    <w:p w14:paraId="3E6232C2"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“Our research showed a clear need for more flexible land contracts, as this is central to the uptake of certain structural measures such as agroforestry and bioenergy crops,” said Dr Jebari. “This also extends to more cost-intensive approaches, such as the use of anaerobic digesters and long-term soil and organic amendments, which require long-term land contracts and flexibility in land use.”</w:t>
      </w:r>
    </w:p>
    <w:p w14:paraId="58420AED"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This research further underscored a general poor awareness and knowledge of GHG mitigation measures, including their impact on business-as-usual farming operations. However, responses were mixed. Some agricultural land managers were fully aware of the issues and were already transitioning land use to reduce GHGs. Other respondents stated very limited awareness. </w:t>
      </w:r>
    </w:p>
    <w:p w14:paraId="78AA06C1" w14:textId="77777777" w:rsidR="006A16DE" w:rsidRPr="006A16DE" w:rsidRDefault="006A16DE" w:rsidP="006A16DE">
      <w:pPr>
        <w:pStyle w:val="NormalWeb"/>
        <w:shd w:val="clear" w:color="auto" w:fill="FFFFFF"/>
        <w:spacing w:before="0" w:beforeAutospacing="0" w:after="160" w:afterAutospacing="0" w:line="306" w:lineRule="atLeast"/>
        <w:rPr>
          <w:rFonts w:ascii="Calibri" w:hAnsi="Calibri" w:cs="Calibri"/>
          <w:color w:val="000000"/>
        </w:rPr>
      </w:pPr>
      <w:r w:rsidRPr="006A16DE">
        <w:rPr>
          <w:rFonts w:ascii="Calibri" w:hAnsi="Calibri" w:cs="Calibri"/>
          <w:color w:val="000000"/>
        </w:rPr>
        <w:t xml:space="preserve">“There is a need to promote farm-level awareness and on-farm demonstrations of the various mitigation measures on offer to improve adoption among farmers. In addition, cost </w:t>
      </w:r>
      <w:r w:rsidRPr="006A16DE">
        <w:rPr>
          <w:rFonts w:ascii="Calibri" w:hAnsi="Calibri" w:cs="Calibri"/>
          <w:color w:val="000000"/>
        </w:rPr>
        <w:lastRenderedPageBreak/>
        <w:t>of uptake is a critical barrier, and there is much uncertainty about the likely outcomes of new technologies and interventions. Policy innovation could help in varying ways; such as offsets to support on-farm experimentation. In addition, landscape models to facilitate more cooperation and co-adoption between farms would be very helpful,” said Dr Jebari.</w:t>
      </w:r>
    </w:p>
    <w:p w14:paraId="6EA25A4F" w14:textId="77777777" w:rsidR="006A16DE" w:rsidRPr="006A16DE" w:rsidRDefault="006A16DE"/>
    <w:p w14:paraId="5CD59CCC" w14:textId="143CDA3D" w:rsidR="00BC7646" w:rsidRPr="00BC7646" w:rsidRDefault="00BC7646">
      <w:pPr>
        <w:rPr>
          <w:b/>
          <w:bCs/>
        </w:rPr>
      </w:pPr>
      <w:r w:rsidRPr="00BC7646">
        <w:rPr>
          <w:b/>
          <w:bCs/>
        </w:rPr>
        <w:t>Publication</w:t>
      </w:r>
    </w:p>
    <w:p w14:paraId="4D2DDF20" w14:textId="0B24B769" w:rsidR="00BC7646" w:rsidRDefault="006A16DE">
      <w:pPr>
        <w:rPr>
          <w:rFonts w:ascii="Helvetica" w:hAnsi="Helvetica"/>
          <w:color w:val="202020"/>
          <w:sz w:val="20"/>
          <w:szCs w:val="20"/>
          <w:shd w:val="clear" w:color="auto" w:fill="FFFFFF"/>
        </w:rPr>
      </w:pPr>
      <w:r>
        <w:rPr>
          <w:rFonts w:ascii="Helvetica" w:hAnsi="Helvetica"/>
          <w:color w:val="202020"/>
          <w:sz w:val="20"/>
          <w:szCs w:val="20"/>
          <w:shd w:val="clear" w:color="auto" w:fill="FFFFFF"/>
        </w:rPr>
        <w:t xml:space="preserve">Jebari A, Oyetunde-Usman Z, McAuliffe GA, </w:t>
      </w:r>
      <w:proofErr w:type="spellStart"/>
      <w:r>
        <w:rPr>
          <w:rFonts w:ascii="Helvetica" w:hAnsi="Helvetica"/>
          <w:color w:val="202020"/>
          <w:sz w:val="20"/>
          <w:szCs w:val="20"/>
          <w:shd w:val="clear" w:color="auto" w:fill="FFFFFF"/>
        </w:rPr>
        <w:t>Chivers</w:t>
      </w:r>
      <w:proofErr w:type="spellEnd"/>
      <w:r>
        <w:rPr>
          <w:rFonts w:ascii="Helvetica" w:hAnsi="Helvetica"/>
          <w:color w:val="202020"/>
          <w:sz w:val="20"/>
          <w:szCs w:val="20"/>
          <w:shd w:val="clear" w:color="auto" w:fill="FFFFFF"/>
        </w:rPr>
        <w:t xml:space="preserve"> C-A, Collins AL (2024) Willingness to adopt </w:t>
      </w:r>
      <w:proofErr w:type="spellStart"/>
      <w:r>
        <w:rPr>
          <w:rFonts w:ascii="Helvetica" w:hAnsi="Helvetica"/>
          <w:color w:val="202020"/>
          <w:sz w:val="20"/>
          <w:szCs w:val="20"/>
          <w:shd w:val="clear" w:color="auto" w:fill="FFFFFF"/>
        </w:rPr>
        <w:t>green house</w:t>
      </w:r>
      <w:proofErr w:type="spellEnd"/>
      <w:r>
        <w:rPr>
          <w:rFonts w:ascii="Helvetica" w:hAnsi="Helvetica"/>
          <w:color w:val="202020"/>
          <w:sz w:val="20"/>
          <w:szCs w:val="20"/>
          <w:shd w:val="clear" w:color="auto" w:fill="FFFFFF"/>
        </w:rPr>
        <w:t xml:space="preserve"> gas mitigation measures: Agricultural land managers in the United Kingdom. </w:t>
      </w:r>
      <w:proofErr w:type="spellStart"/>
      <w:r>
        <w:rPr>
          <w:rFonts w:ascii="Helvetica" w:hAnsi="Helvetica"/>
          <w:color w:val="202020"/>
          <w:sz w:val="20"/>
          <w:szCs w:val="20"/>
          <w:shd w:val="clear" w:color="auto" w:fill="FFFFFF"/>
        </w:rPr>
        <w:t>PLoS</w:t>
      </w:r>
      <w:proofErr w:type="spellEnd"/>
      <w:r>
        <w:rPr>
          <w:rFonts w:ascii="Helvetica" w:hAnsi="Helvetica"/>
          <w:color w:val="202020"/>
          <w:sz w:val="20"/>
          <w:szCs w:val="20"/>
          <w:shd w:val="clear" w:color="auto" w:fill="FFFFFF"/>
        </w:rPr>
        <w:t xml:space="preserve"> ONE 19(7): e0306443. </w:t>
      </w:r>
      <w:hyperlink r:id="rId4" w:history="1">
        <w:r w:rsidRPr="00F9574C">
          <w:rPr>
            <w:rStyle w:val="Hyperlink"/>
            <w:rFonts w:ascii="Helvetica" w:hAnsi="Helvetica"/>
            <w:sz w:val="20"/>
            <w:szCs w:val="20"/>
            <w:shd w:val="clear" w:color="auto" w:fill="FFFFFF"/>
          </w:rPr>
          <w:t>https://doi.org/10.1371/journal.pone.0306443</w:t>
        </w:r>
      </w:hyperlink>
    </w:p>
    <w:p w14:paraId="6C7BE9E1" w14:textId="77777777" w:rsidR="006A16DE" w:rsidRDefault="006A16DE"/>
    <w:p w14:paraId="2769C987" w14:textId="01D46B88" w:rsidR="00BC7646" w:rsidRPr="00BC7646" w:rsidRDefault="00BC7646">
      <w:pPr>
        <w:rPr>
          <w:b/>
          <w:bCs/>
        </w:rPr>
      </w:pPr>
      <w:r w:rsidRPr="00BC7646">
        <w:rPr>
          <w:b/>
          <w:bCs/>
        </w:rPr>
        <w:t xml:space="preserve">Contacts </w:t>
      </w:r>
    </w:p>
    <w:p w14:paraId="4805BF0C" w14:textId="7BE0A68E" w:rsidR="00BC7646" w:rsidRPr="00BC7646" w:rsidRDefault="006A16DE">
      <w:r>
        <w:t>Dr Asma Jebari, Dr Zainab Oyetunde-Usman, Prof Adie Collins</w:t>
      </w:r>
    </w:p>
    <w:sectPr w:rsidR="00BC7646" w:rsidRPr="00BC7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646"/>
    <w:rsid w:val="00152955"/>
    <w:rsid w:val="006A16DE"/>
    <w:rsid w:val="00BC7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49EB5"/>
  <w15:chartTrackingRefBased/>
  <w15:docId w15:val="{00D400D9-001D-41AF-9CF8-6E7D71E7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764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BC7646"/>
    <w:rPr>
      <w:i/>
      <w:iCs/>
    </w:rPr>
  </w:style>
  <w:style w:type="character" w:styleId="Hyperlink">
    <w:name w:val="Hyperlink"/>
    <w:basedOn w:val="DefaultParagraphFont"/>
    <w:uiPriority w:val="99"/>
    <w:unhideWhenUsed/>
    <w:rsid w:val="00BC7646"/>
    <w:rPr>
      <w:color w:val="0000FF"/>
      <w:u w:val="single"/>
    </w:rPr>
  </w:style>
  <w:style w:type="character" w:styleId="UnresolvedMention">
    <w:name w:val="Unresolved Mention"/>
    <w:basedOn w:val="DefaultParagraphFont"/>
    <w:uiPriority w:val="99"/>
    <w:semiHidden/>
    <w:unhideWhenUsed/>
    <w:rsid w:val="006A1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6625">
      <w:bodyDiv w:val="1"/>
      <w:marLeft w:val="0"/>
      <w:marRight w:val="0"/>
      <w:marTop w:val="0"/>
      <w:marBottom w:val="0"/>
      <w:divBdr>
        <w:top w:val="none" w:sz="0" w:space="0" w:color="auto"/>
        <w:left w:val="none" w:sz="0" w:space="0" w:color="auto"/>
        <w:bottom w:val="none" w:sz="0" w:space="0" w:color="auto"/>
        <w:right w:val="none" w:sz="0" w:space="0" w:color="auto"/>
      </w:divBdr>
    </w:div>
    <w:div w:id="208197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3064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3</cp:revision>
  <dcterms:created xsi:type="dcterms:W3CDTF">2024-08-15T09:21:00Z</dcterms:created>
  <dcterms:modified xsi:type="dcterms:W3CDTF">2024-08-15T09:23:00Z</dcterms:modified>
</cp:coreProperties>
</file>